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autoSpaceDN/>
        <w:bidi w:val="0"/>
        <w:spacing w:line="374" w:lineRule="atLeast"/>
        <w:ind w:firstLine="0" w:firstLineChars="0"/>
        <w:jc w:val="center"/>
        <w:textAlignment w:val="auto"/>
        <w:outlineLvl w:val="9"/>
        <w:rPr>
          <w:rFonts w:ascii="Times New Roman" w:hAnsi="Times New Roman" w:eastAsia="黑体" w:cs="Times New Roman"/>
          <w:b/>
          <w:bCs/>
          <w:color w:val="000000"/>
          <w:kern w:val="3"/>
          <w:sz w:val="44"/>
          <w:szCs w:val="24"/>
        </w:rPr>
      </w:pPr>
      <w:bookmarkStart w:id="0" w:name="_Toc51340613"/>
      <w:bookmarkStart w:id="1" w:name="_Toc21531"/>
      <w:bookmarkStart w:id="2" w:name="_Toc103178240"/>
      <w:bookmarkStart w:id="3" w:name="_Toc54294379"/>
      <w:bookmarkStart w:id="4" w:name="_Toc129520574"/>
    </w:p>
    <w:p>
      <w:pPr>
        <w:keepNext w:val="0"/>
        <w:keepLines w:val="0"/>
        <w:pageBreakBefore w:val="0"/>
        <w:kinsoku/>
        <w:overflowPunct/>
        <w:topLinePunct w:val="0"/>
        <w:autoSpaceDE/>
        <w:autoSpaceDN/>
        <w:bidi w:val="0"/>
        <w:spacing w:line="374" w:lineRule="atLeast"/>
        <w:ind w:firstLine="0" w:firstLineChars="0"/>
        <w:jc w:val="center"/>
        <w:textAlignment w:val="auto"/>
        <w:outlineLvl w:val="9"/>
        <w:rPr>
          <w:rFonts w:ascii="Times New Roman" w:hAnsi="Times New Roman" w:eastAsia="黑体" w:cs="Times New Roman"/>
          <w:b/>
          <w:bCs/>
          <w:color w:val="000000"/>
          <w:kern w:val="3"/>
          <w:sz w:val="44"/>
          <w:szCs w:val="24"/>
        </w:rPr>
      </w:pPr>
    </w:p>
    <w:p>
      <w:pPr>
        <w:keepNext w:val="0"/>
        <w:keepLines w:val="0"/>
        <w:pageBreakBefore w:val="0"/>
        <w:kinsoku/>
        <w:overflowPunct/>
        <w:topLinePunct w:val="0"/>
        <w:autoSpaceDE/>
        <w:autoSpaceDN/>
        <w:bidi w:val="0"/>
        <w:spacing w:line="360" w:lineRule="auto"/>
        <w:ind w:firstLine="0" w:firstLineChars="0"/>
        <w:jc w:val="center"/>
        <w:textAlignment w:val="auto"/>
        <w:outlineLvl w:val="9"/>
        <w:rPr>
          <w:rFonts w:hint="eastAsia" w:ascii="Times New Roman" w:hAnsi="Times New Roman" w:cs="Times New Roman"/>
          <w:b/>
          <w:bCs/>
          <w:color w:val="000000"/>
          <w:sz w:val="44"/>
          <w:szCs w:val="44"/>
        </w:rPr>
      </w:pPr>
      <w:r>
        <w:rPr>
          <w:rFonts w:hint="eastAsia" w:ascii="Times New Roman" w:hAnsi="Times New Roman" w:cs="Times New Roman"/>
          <w:b/>
          <w:bCs/>
          <w:color w:val="000000"/>
          <w:sz w:val="44"/>
          <w:szCs w:val="44"/>
        </w:rPr>
        <w:t>玉溪玉象包装材料有限公司</w:t>
      </w:r>
    </w:p>
    <w:p>
      <w:pPr>
        <w:keepNext w:val="0"/>
        <w:keepLines w:val="0"/>
        <w:pageBreakBefore w:val="0"/>
        <w:kinsoku/>
        <w:overflowPunct/>
        <w:topLinePunct w:val="0"/>
        <w:autoSpaceDE/>
        <w:autoSpaceDN/>
        <w:bidi w:val="0"/>
        <w:spacing w:line="760" w:lineRule="exact"/>
        <w:ind w:firstLine="0" w:firstLineChars="0"/>
        <w:jc w:val="center"/>
        <w:textAlignment w:val="auto"/>
        <w:outlineLvl w:val="9"/>
        <w:rPr>
          <w:rFonts w:ascii="Times New Roman" w:hAnsi="Times New Roman" w:eastAsia="黑体" w:cs="Times New Roman"/>
          <w:b/>
          <w:bCs/>
          <w:color w:val="000000"/>
          <w:kern w:val="3"/>
          <w:sz w:val="52"/>
          <w:szCs w:val="52"/>
        </w:rPr>
      </w:pPr>
      <w:r>
        <w:rPr>
          <w:rFonts w:ascii="Times New Roman" w:hAnsi="Times New Roman" w:eastAsia="黑体" w:cs="Times New Roman"/>
          <w:b/>
          <w:bCs/>
          <w:color w:val="000000"/>
          <w:kern w:val="3"/>
          <w:sz w:val="52"/>
          <w:szCs w:val="52"/>
        </w:rPr>
        <w:t>安全现状评价报告</w:t>
      </w:r>
    </w:p>
    <w:p>
      <w:pPr>
        <w:keepNext w:val="0"/>
        <w:keepLines w:val="0"/>
        <w:pageBreakBefore w:val="0"/>
        <w:kinsoku/>
        <w:overflowPunct/>
        <w:topLinePunct w:val="0"/>
        <w:autoSpaceDE/>
        <w:autoSpaceDN/>
        <w:bidi w:val="0"/>
        <w:spacing w:line="374" w:lineRule="atLeast"/>
        <w:ind w:firstLine="0" w:firstLineChars="0"/>
        <w:jc w:val="center"/>
        <w:textAlignment w:val="auto"/>
        <w:outlineLvl w:val="9"/>
        <w:rPr>
          <w:rFonts w:ascii="Times New Roman" w:hAnsi="Times New Roman" w:eastAsia="仿宋_GB2312" w:cs="Times New Roman"/>
          <w:color w:val="000000"/>
          <w:kern w:val="3"/>
          <w:sz w:val="24"/>
          <w:szCs w:val="24"/>
        </w:rPr>
      </w:pPr>
    </w:p>
    <w:p>
      <w:pPr>
        <w:keepNext w:val="0"/>
        <w:keepLines w:val="0"/>
        <w:pageBreakBefore w:val="0"/>
        <w:kinsoku/>
        <w:overflowPunct/>
        <w:topLinePunct w:val="0"/>
        <w:autoSpaceDE/>
        <w:autoSpaceDN/>
        <w:bidi w:val="0"/>
        <w:spacing w:line="374" w:lineRule="atLeast"/>
        <w:ind w:firstLine="0" w:firstLineChars="0"/>
        <w:jc w:val="center"/>
        <w:textAlignment w:val="auto"/>
        <w:outlineLvl w:val="9"/>
        <w:rPr>
          <w:rFonts w:ascii="Times New Roman" w:hAnsi="Times New Roman" w:cs="Times New Roman"/>
          <w:color w:val="000000"/>
          <w:kern w:val="3"/>
          <w:sz w:val="28"/>
          <w:szCs w:val="28"/>
        </w:rPr>
      </w:pPr>
    </w:p>
    <w:p>
      <w:pPr>
        <w:keepNext w:val="0"/>
        <w:keepLines w:val="0"/>
        <w:pageBreakBefore w:val="0"/>
        <w:kinsoku/>
        <w:overflowPunct/>
        <w:topLinePunct w:val="0"/>
        <w:autoSpaceDE/>
        <w:autoSpaceDN/>
        <w:bidi w:val="0"/>
        <w:spacing w:line="374" w:lineRule="atLeast"/>
        <w:ind w:firstLine="0" w:firstLineChars="0"/>
        <w:jc w:val="center"/>
        <w:textAlignment w:val="auto"/>
        <w:outlineLvl w:val="9"/>
        <w:rPr>
          <w:rFonts w:ascii="Times New Roman" w:hAnsi="Times New Roman" w:cs="Times New Roman"/>
          <w:color w:val="000000"/>
          <w:kern w:val="3"/>
          <w:sz w:val="28"/>
          <w:szCs w:val="28"/>
        </w:rPr>
      </w:pPr>
    </w:p>
    <w:p>
      <w:pPr>
        <w:keepNext w:val="0"/>
        <w:keepLines w:val="0"/>
        <w:pageBreakBefore w:val="0"/>
        <w:kinsoku/>
        <w:overflowPunct/>
        <w:topLinePunct w:val="0"/>
        <w:autoSpaceDE/>
        <w:autoSpaceDN/>
        <w:bidi w:val="0"/>
        <w:adjustRightInd w:val="0"/>
        <w:snapToGrid w:val="0"/>
        <w:spacing w:line="360" w:lineRule="auto"/>
        <w:ind w:firstLine="1205" w:firstLineChars="400"/>
        <w:jc w:val="left"/>
        <w:textAlignment w:val="auto"/>
        <w:outlineLvl w:val="9"/>
        <w:rPr>
          <w:rFonts w:hint="eastAsia" w:ascii="Calibri" w:hAnsi="Calibri" w:eastAsia="宋体" w:cs="Times New Roman"/>
          <w:b/>
          <w:snapToGrid w:val="0"/>
          <w:kern w:val="0"/>
          <w:sz w:val="30"/>
          <w:szCs w:val="30"/>
        </w:rPr>
      </w:pPr>
    </w:p>
    <w:tbl>
      <w:tblPr>
        <w:tblStyle w:val="3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4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Calibri" w:hAnsi="Calibri" w:eastAsia="宋体" w:cs="Times New Roman"/>
                <w:b/>
                <w:snapToGrid w:val="0"/>
                <w:kern w:val="0"/>
                <w:sz w:val="32"/>
                <w:szCs w:val="32"/>
              </w:rPr>
            </w:pPr>
            <w:r>
              <w:rPr>
                <w:rFonts w:hint="eastAsia" w:ascii="Calibri" w:hAnsi="Calibri" w:eastAsia="宋体" w:cs="Times New Roman"/>
                <w:b/>
                <w:snapToGrid w:val="0"/>
                <w:kern w:val="0"/>
                <w:sz w:val="32"/>
                <w:szCs w:val="32"/>
              </w:rPr>
              <w:t>建设单位：玉溪玉象包装材料有限公司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4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ascii="Calibri" w:hAnsi="Calibri" w:eastAsia="宋体" w:cs="Times New Roman"/>
                <w:b/>
                <w:snapToGrid w:val="0"/>
                <w:kern w:val="0"/>
                <w:sz w:val="32"/>
                <w:szCs w:val="32"/>
                <w:vertAlign w:val="baseline"/>
              </w:rPr>
            </w:pPr>
            <w:r>
              <w:rPr>
                <w:rFonts w:hint="eastAsia" w:ascii="Calibri" w:hAnsi="Calibri" w:eastAsia="宋体" w:cs="Times New Roman"/>
                <w:b/>
                <w:snapToGrid w:val="0"/>
                <w:kern w:val="0"/>
                <w:sz w:val="32"/>
                <w:szCs w:val="32"/>
              </w:rPr>
              <w:t>建设单位法定代表人：谢云松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4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ascii="Calibri" w:hAnsi="Calibri" w:eastAsia="宋体" w:cs="Times New Roman"/>
                <w:b/>
                <w:snapToGrid w:val="0"/>
                <w:kern w:val="0"/>
                <w:sz w:val="32"/>
                <w:szCs w:val="32"/>
                <w:vertAlign w:val="baseline"/>
              </w:rPr>
            </w:pPr>
            <w:r>
              <w:rPr>
                <w:rFonts w:hint="eastAsia" w:ascii="Calibri" w:hAnsi="Calibri" w:eastAsia="宋体" w:cs="Times New Roman"/>
                <w:b/>
                <w:snapToGrid w:val="0"/>
                <w:kern w:val="0"/>
                <w:sz w:val="32"/>
                <w:szCs w:val="32"/>
              </w:rPr>
              <w:t>建设项目单位：玉溪玉象包装材料有限公司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4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ascii="Calibri" w:hAnsi="Calibri" w:eastAsia="宋体" w:cs="Times New Roman"/>
                <w:b/>
                <w:snapToGrid w:val="0"/>
                <w:kern w:val="0"/>
                <w:sz w:val="32"/>
                <w:szCs w:val="32"/>
                <w:vertAlign w:val="baseline"/>
              </w:rPr>
            </w:pPr>
            <w:r>
              <w:rPr>
                <w:rFonts w:hint="eastAsia" w:ascii="Calibri" w:hAnsi="Calibri" w:eastAsia="宋体" w:cs="Times New Roman"/>
                <w:b/>
                <w:snapToGrid w:val="0"/>
                <w:kern w:val="0"/>
                <w:sz w:val="32"/>
                <w:szCs w:val="32"/>
              </w:rPr>
              <w:t>建设项目单位联系人：谢云松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664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ascii="Calibri" w:hAnsi="Calibri" w:eastAsia="宋体" w:cs="Times New Roman"/>
                <w:b/>
                <w:snapToGrid w:val="0"/>
                <w:kern w:val="0"/>
                <w:sz w:val="32"/>
                <w:szCs w:val="32"/>
                <w:vertAlign w:val="baseline"/>
              </w:rPr>
            </w:pPr>
            <w:r>
              <w:rPr>
                <w:rFonts w:hint="eastAsia" w:ascii="Calibri" w:hAnsi="Calibri" w:eastAsia="宋体" w:cs="Times New Roman"/>
                <w:b/>
                <w:snapToGrid w:val="0"/>
                <w:kern w:val="0"/>
                <w:sz w:val="32"/>
                <w:szCs w:val="32"/>
              </w:rPr>
              <w:t>建设项目单位联系电话</w:t>
            </w:r>
            <w:r>
              <w:rPr>
                <w:rFonts w:hint="eastAsia" w:asciiTheme="minorEastAsia" w:hAnsiTheme="minorEastAsia" w:eastAsiaTheme="minorEastAsia" w:cstheme="minorEastAsia"/>
                <w:b/>
                <w:snapToGrid w:val="0"/>
                <w:kern w:val="0"/>
                <w:sz w:val="32"/>
                <w:szCs w:val="32"/>
              </w:rPr>
              <w:t>：13987768335</w:t>
            </w:r>
          </w:p>
        </w:tc>
      </w:tr>
    </w:tbl>
    <w:p>
      <w:pPr>
        <w:keepNext w:val="0"/>
        <w:keepLines w:val="0"/>
        <w:pageBreakBefore w:val="0"/>
        <w:kinsoku/>
        <w:overflowPunct/>
        <w:topLinePunct w:val="0"/>
        <w:autoSpaceDE/>
        <w:autoSpaceDN/>
        <w:bidi w:val="0"/>
        <w:spacing w:line="500" w:lineRule="exact"/>
        <w:ind w:firstLine="560" w:firstLineChars="200"/>
        <w:textAlignment w:val="auto"/>
        <w:outlineLvl w:val="9"/>
        <w:rPr>
          <w:rFonts w:ascii="Times New Roman" w:hAnsi="Times New Roman" w:cs="Times New Roman"/>
          <w:sz w:val="28"/>
          <w:szCs w:val="22"/>
        </w:rPr>
      </w:pPr>
    </w:p>
    <w:p>
      <w:pPr>
        <w:keepNext w:val="0"/>
        <w:keepLines w:val="0"/>
        <w:pageBreakBefore w:val="0"/>
        <w:kinsoku/>
        <w:overflowPunct/>
        <w:topLinePunct w:val="0"/>
        <w:autoSpaceDE/>
        <w:autoSpaceDN/>
        <w:bidi w:val="0"/>
        <w:spacing w:line="500" w:lineRule="exact"/>
        <w:ind w:firstLine="560" w:firstLineChars="200"/>
        <w:textAlignment w:val="auto"/>
        <w:outlineLvl w:val="9"/>
        <w:rPr>
          <w:rFonts w:ascii="Times New Roman" w:hAnsi="Times New Roman" w:cs="Times New Roman"/>
          <w:sz w:val="28"/>
          <w:szCs w:val="22"/>
        </w:rPr>
      </w:pPr>
    </w:p>
    <w:p>
      <w:pPr>
        <w:keepNext w:val="0"/>
        <w:keepLines w:val="0"/>
        <w:pageBreakBefore w:val="0"/>
        <w:kinsoku/>
        <w:overflowPunct/>
        <w:topLinePunct w:val="0"/>
        <w:autoSpaceDE/>
        <w:autoSpaceDN/>
        <w:bidi w:val="0"/>
        <w:spacing w:line="500" w:lineRule="exact"/>
        <w:ind w:firstLine="640" w:firstLineChars="200"/>
        <w:textAlignment w:val="auto"/>
        <w:outlineLvl w:val="9"/>
        <w:rPr>
          <w:rFonts w:hint="eastAsia" w:ascii="宋体" w:hAnsi="宋体" w:eastAsia="宋体" w:cs="宋体"/>
          <w:sz w:val="32"/>
          <w:szCs w:val="32"/>
        </w:rPr>
      </w:pP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r>
        <w:rPr>
          <w:rFonts w:hint="eastAsia" w:ascii="宋体" w:hAnsi="宋体" w:eastAsia="宋体" w:cs="宋体"/>
          <w:b/>
          <w:snapToGrid w:val="0"/>
          <w:kern w:val="0"/>
          <w:sz w:val="32"/>
          <w:szCs w:val="32"/>
        </w:rPr>
        <w:t>（建设单位盖章）</w:t>
      </w:r>
    </w:p>
    <w:p>
      <w:pPr>
        <w:keepNext w:val="0"/>
        <w:keepLines w:val="0"/>
        <w:pageBreakBefore w:val="0"/>
        <w:kinsoku/>
        <w:overflowPunct/>
        <w:topLinePunct w:val="0"/>
        <w:autoSpaceDE/>
        <w:autoSpaceDN/>
        <w:bidi w:val="0"/>
        <w:spacing w:line="240" w:lineRule="auto"/>
        <w:ind w:firstLine="0" w:firstLineChars="0"/>
        <w:jc w:val="center"/>
        <w:textAlignment w:val="auto"/>
        <w:outlineLvl w:val="9"/>
        <w:rPr>
          <w:rFonts w:hint="eastAsia" w:ascii="宋体" w:hAnsi="宋体" w:eastAsia="宋体" w:cs="宋体"/>
          <w:b/>
          <w:snapToGrid w:val="0"/>
          <w:kern w:val="0"/>
          <w:sz w:val="32"/>
          <w:szCs w:val="32"/>
        </w:rPr>
      </w:pPr>
      <w:r>
        <w:rPr>
          <w:rFonts w:hint="eastAsia" w:ascii="宋体" w:hAnsi="宋体" w:eastAsia="宋体" w:cs="宋体"/>
          <w:b/>
          <w:snapToGrid w:val="0"/>
          <w:kern w:val="0"/>
          <w:sz w:val="32"/>
          <w:szCs w:val="32"/>
        </w:rPr>
        <w:t>202</w:t>
      </w:r>
      <w:r>
        <w:rPr>
          <w:rFonts w:hint="eastAsia" w:ascii="宋体" w:hAnsi="宋体" w:cs="宋体"/>
          <w:b/>
          <w:snapToGrid w:val="0"/>
          <w:kern w:val="0"/>
          <w:sz w:val="32"/>
          <w:szCs w:val="32"/>
          <w:lang w:val="en-US" w:eastAsia="zh-CN"/>
        </w:rPr>
        <w:t>4</w:t>
      </w:r>
      <w:r>
        <w:rPr>
          <w:rFonts w:hint="eastAsia" w:ascii="宋体" w:hAnsi="宋体" w:eastAsia="宋体" w:cs="宋体"/>
          <w:b/>
          <w:snapToGrid w:val="0"/>
          <w:kern w:val="0"/>
          <w:sz w:val="32"/>
          <w:szCs w:val="32"/>
        </w:rPr>
        <w:t>年</w:t>
      </w:r>
      <w:r>
        <w:rPr>
          <w:rFonts w:hint="eastAsia" w:ascii="宋体" w:hAnsi="宋体" w:cs="宋体"/>
          <w:b/>
          <w:snapToGrid w:val="0"/>
          <w:kern w:val="0"/>
          <w:sz w:val="32"/>
          <w:szCs w:val="32"/>
          <w:lang w:val="en-US" w:eastAsia="zh-CN"/>
        </w:rPr>
        <w:t>3</w:t>
      </w:r>
      <w:r>
        <w:rPr>
          <w:rFonts w:hint="eastAsia" w:ascii="宋体" w:hAnsi="宋体" w:eastAsia="宋体" w:cs="宋体"/>
          <w:b/>
          <w:snapToGrid w:val="0"/>
          <w:kern w:val="0"/>
          <w:sz w:val="32"/>
          <w:szCs w:val="32"/>
        </w:rPr>
        <w:t>月</w:t>
      </w:r>
    </w:p>
    <w:p>
      <w:pPr>
        <w:keepNext w:val="0"/>
        <w:keepLines w:val="0"/>
        <w:pageBreakBefore w:val="0"/>
        <w:kinsoku/>
        <w:overflowPunct/>
        <w:topLinePunct w:val="0"/>
        <w:autoSpaceDE/>
        <w:autoSpaceDN/>
        <w:bidi w:val="0"/>
        <w:spacing w:line="360" w:lineRule="auto"/>
        <w:textAlignment w:val="auto"/>
        <w:outlineLvl w:val="9"/>
        <w:rPr>
          <w:b/>
          <w:snapToGrid w:val="0"/>
          <w:kern w:val="0"/>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1474" w:right="1531" w:bottom="1474" w:left="1531" w:header="624" w:footer="907" w:gutter="0"/>
          <w:pgNumType w:fmt="lowerRoman" w:start="1"/>
          <w:cols w:space="720" w:num="1"/>
          <w:titlePg/>
          <w:docGrid w:linePitch="312" w:charSpace="0"/>
        </w:sectPr>
      </w:pPr>
    </w:p>
    <w:p>
      <w:pPr>
        <w:keepNext w:val="0"/>
        <w:keepLines w:val="0"/>
        <w:pageBreakBefore w:val="0"/>
        <w:kinsoku/>
        <w:overflowPunct/>
        <w:topLinePunct w:val="0"/>
        <w:autoSpaceDE/>
        <w:autoSpaceDN/>
        <w:bidi w:val="0"/>
        <w:spacing w:line="500" w:lineRule="exact"/>
        <w:ind w:firstLine="0" w:firstLineChars="0"/>
        <w:jc w:val="center"/>
        <w:textAlignment w:val="auto"/>
        <w:outlineLvl w:val="9"/>
        <w:rPr>
          <w:rFonts w:ascii="Times New Roman" w:hAnsi="Times New Roman" w:cs="Times New Roman"/>
          <w:b/>
          <w:color w:val="000000"/>
          <w:sz w:val="44"/>
          <w:szCs w:val="44"/>
        </w:rPr>
      </w:pPr>
    </w:p>
    <w:p>
      <w:pPr>
        <w:keepNext w:val="0"/>
        <w:keepLines w:val="0"/>
        <w:pageBreakBefore w:val="0"/>
        <w:widowControl w:val="0"/>
        <w:kinsoku/>
        <w:overflowPunct/>
        <w:topLinePunct w:val="0"/>
        <w:autoSpaceDE/>
        <w:autoSpaceDN/>
        <w:bidi w:val="0"/>
        <w:spacing w:line="500" w:lineRule="exact"/>
        <w:ind w:firstLine="560" w:firstLineChars="200"/>
        <w:jc w:val="both"/>
        <w:textAlignment w:val="auto"/>
        <w:outlineLvl w:val="9"/>
        <w:rPr>
          <w:rFonts w:ascii="宋体" w:hAnsi="Courier New" w:eastAsia="宋体" w:cs="Courier New"/>
          <w:color w:val="000000"/>
          <w:kern w:val="2"/>
          <w:sz w:val="28"/>
          <w:szCs w:val="22"/>
          <w:lang w:val="en-US" w:eastAsia="zh-CN" w:bidi="ar-SA"/>
        </w:rPr>
      </w:pPr>
    </w:p>
    <w:p>
      <w:pPr>
        <w:keepNext w:val="0"/>
        <w:keepLines w:val="0"/>
        <w:pageBreakBefore w:val="0"/>
        <w:kinsoku/>
        <w:overflowPunct/>
        <w:topLinePunct w:val="0"/>
        <w:autoSpaceDE/>
        <w:autoSpaceDN/>
        <w:bidi w:val="0"/>
        <w:spacing w:line="360" w:lineRule="auto"/>
        <w:ind w:firstLine="0" w:firstLineChars="0"/>
        <w:jc w:val="center"/>
        <w:textAlignment w:val="auto"/>
        <w:outlineLvl w:val="9"/>
        <w:rPr>
          <w:rFonts w:ascii="Times New Roman" w:hAnsi="Times New Roman" w:cs="Times New Roman"/>
          <w:b/>
          <w:color w:val="000000"/>
          <w:sz w:val="44"/>
          <w:szCs w:val="44"/>
        </w:rPr>
      </w:pPr>
      <w:r>
        <w:rPr>
          <w:rFonts w:ascii="Times New Roman" w:hAnsi="Times New Roman" w:cs="Times New Roman"/>
          <w:b/>
          <w:sz w:val="44"/>
          <w:szCs w:val="44"/>
        </w:rPr>
        <w:t>玉溪玉象包装材料有限公司</w:t>
      </w:r>
    </w:p>
    <w:p>
      <w:pPr>
        <w:keepNext w:val="0"/>
        <w:keepLines w:val="0"/>
        <w:pageBreakBefore w:val="0"/>
        <w:widowControl/>
        <w:kinsoku/>
        <w:overflowPunct/>
        <w:topLinePunct w:val="0"/>
        <w:autoSpaceDE/>
        <w:autoSpaceDN/>
        <w:bidi w:val="0"/>
        <w:spacing w:before="100" w:beforeAutospacing="1" w:after="100" w:afterAutospacing="1" w:line="360" w:lineRule="auto"/>
        <w:ind w:firstLine="0" w:firstLineChars="0"/>
        <w:jc w:val="center"/>
        <w:textAlignment w:val="auto"/>
        <w:outlineLvl w:val="9"/>
        <w:rPr>
          <w:rFonts w:hint="eastAsia" w:ascii="宋体" w:hAnsi="宋体" w:eastAsia="宋体" w:cs="宋体"/>
          <w:b/>
          <w:bCs/>
          <w:kern w:val="0"/>
          <w:sz w:val="52"/>
          <w:szCs w:val="52"/>
        </w:rPr>
      </w:pPr>
      <w:r>
        <w:rPr>
          <w:rFonts w:hint="eastAsia" w:ascii="宋体" w:hAnsi="宋体" w:eastAsia="宋体" w:cs="宋体"/>
          <w:b/>
          <w:bCs/>
          <w:kern w:val="0"/>
          <w:sz w:val="52"/>
          <w:szCs w:val="52"/>
        </w:rPr>
        <w:t>安全现状评价报告</w:t>
      </w:r>
    </w:p>
    <w:p>
      <w:pPr>
        <w:keepNext w:val="0"/>
        <w:keepLines w:val="0"/>
        <w:pageBreakBefore w:val="0"/>
        <w:kinsoku/>
        <w:overflowPunct/>
        <w:topLinePunct w:val="0"/>
        <w:autoSpaceDE/>
        <w:autoSpaceDN/>
        <w:bidi w:val="0"/>
        <w:spacing w:line="360" w:lineRule="auto"/>
        <w:ind w:firstLine="1680" w:firstLineChars="600"/>
        <w:textAlignment w:val="auto"/>
        <w:outlineLvl w:val="9"/>
        <w:rPr>
          <w:rFonts w:ascii="宋体" w:hAnsi="宋体" w:eastAsia="宋体" w:cs="Times New Roman"/>
          <w:sz w:val="28"/>
          <w:szCs w:val="28"/>
        </w:rPr>
      </w:pPr>
    </w:p>
    <w:p>
      <w:pPr>
        <w:tabs>
          <w:tab w:val="left" w:pos="3291"/>
        </w:tabs>
        <w:bidi w:val="0"/>
        <w:rPr>
          <w:rFonts w:hint="eastAsia" w:eastAsia="宋体"/>
          <w:lang w:eastAsia="zh-CN"/>
        </w:rPr>
      </w:pPr>
      <w:r>
        <w:rPr>
          <w:rFonts w:hint="eastAsia"/>
          <w:lang w:eastAsia="zh-CN"/>
        </w:rPr>
        <w:tab/>
      </w:r>
    </w:p>
    <w:tbl>
      <w:tblPr>
        <w:tblStyle w:val="3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55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ascii="Calibri" w:hAnsi="Calibri" w:eastAsia="宋体" w:cs="Times New Roman"/>
                <w:b/>
                <w:bCs/>
                <w:snapToGrid w:val="0"/>
                <w:kern w:val="0"/>
                <w:sz w:val="40"/>
                <w:szCs w:val="40"/>
                <w:vertAlign w:val="baseline"/>
              </w:rPr>
            </w:pPr>
            <w:r>
              <w:rPr>
                <w:rFonts w:hint="eastAsia" w:ascii="宋体" w:hAnsi="宋体" w:eastAsia="宋体" w:cs="宋体"/>
                <w:b/>
                <w:bCs/>
                <w:color w:val="000000"/>
                <w:kern w:val="0"/>
                <w:sz w:val="28"/>
                <w:szCs w:val="28"/>
              </w:rPr>
              <w:t>评价机构名称：昭通市鼎安科技有限公司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55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ascii="Calibri" w:hAnsi="Calibri" w:eastAsia="宋体" w:cs="Times New Roman"/>
                <w:b/>
                <w:bCs/>
                <w:snapToGrid w:val="0"/>
                <w:kern w:val="0"/>
                <w:sz w:val="40"/>
                <w:szCs w:val="40"/>
                <w:vertAlign w:val="baseline"/>
              </w:rPr>
            </w:pPr>
            <w:r>
              <w:rPr>
                <w:rFonts w:hint="eastAsia" w:ascii="宋体" w:hAnsi="宋体" w:eastAsia="宋体" w:cs="宋体"/>
                <w:b/>
                <w:bCs/>
                <w:color w:val="000000"/>
                <w:kern w:val="0"/>
                <w:sz w:val="28"/>
                <w:szCs w:val="28"/>
              </w:rPr>
              <w:t>资质证书编号：APJ-（云）-005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55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ascii="Calibri" w:hAnsi="Calibri" w:eastAsia="宋体" w:cs="Times New Roman"/>
                <w:b/>
                <w:bCs/>
                <w:snapToGrid w:val="0"/>
                <w:kern w:val="0"/>
                <w:sz w:val="40"/>
                <w:szCs w:val="40"/>
                <w:vertAlign w:val="baseline"/>
              </w:rPr>
            </w:pPr>
            <w:r>
              <w:rPr>
                <w:rFonts w:hint="eastAsia" w:ascii="宋体" w:hAnsi="宋体" w:eastAsia="宋体" w:cs="宋体"/>
                <w:b/>
                <w:bCs/>
                <w:color w:val="000000"/>
                <w:kern w:val="0"/>
                <w:sz w:val="28"/>
                <w:szCs w:val="28"/>
              </w:rPr>
              <w:t>法定代表人：毛卫旭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55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ascii="Calibri" w:hAnsi="Calibri" w:eastAsia="宋体" w:cs="Times New Roman"/>
                <w:b/>
                <w:bCs/>
                <w:snapToGrid w:val="0"/>
                <w:kern w:val="0"/>
                <w:sz w:val="40"/>
                <w:szCs w:val="40"/>
                <w:vertAlign w:val="baseline"/>
              </w:rPr>
            </w:pPr>
            <w:r>
              <w:rPr>
                <w:rFonts w:hint="eastAsia" w:ascii="宋体" w:hAnsi="宋体" w:eastAsia="宋体" w:cs="宋体"/>
                <w:b/>
                <w:bCs/>
                <w:color w:val="000000"/>
                <w:kern w:val="0"/>
                <w:sz w:val="28"/>
                <w:szCs w:val="28"/>
              </w:rPr>
              <w:t>技术负责人：饶旭军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8" w:hRule="atLeast"/>
          <w:jc w:val="center"/>
        </w:trPr>
        <w:tc>
          <w:tcPr>
            <w:tcW w:w="555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both"/>
              <w:textAlignment w:val="auto"/>
              <w:outlineLvl w:val="9"/>
              <w:rPr>
                <w:rFonts w:ascii="Calibri" w:hAnsi="Calibri" w:eastAsia="宋体" w:cs="Times New Roman"/>
                <w:b/>
                <w:bCs/>
                <w:snapToGrid w:val="0"/>
                <w:kern w:val="0"/>
                <w:sz w:val="40"/>
                <w:szCs w:val="40"/>
                <w:vertAlign w:val="baseline"/>
              </w:rPr>
            </w:pPr>
            <w:r>
              <w:rPr>
                <w:rFonts w:hint="eastAsia" w:ascii="宋体" w:hAnsi="宋体" w:eastAsia="宋体" w:cs="宋体"/>
                <w:b/>
                <w:bCs/>
                <w:color w:val="000000"/>
                <w:kern w:val="0"/>
                <w:sz w:val="28"/>
                <w:szCs w:val="28"/>
              </w:rPr>
              <w:t>项目负责人：李晓达</w:t>
            </w:r>
          </w:p>
        </w:tc>
      </w:tr>
    </w:tbl>
    <w:p>
      <w:pPr>
        <w:keepNext w:val="0"/>
        <w:keepLines w:val="0"/>
        <w:pageBreakBefore w:val="0"/>
        <w:kinsoku/>
        <w:overflowPunct/>
        <w:topLinePunct w:val="0"/>
        <w:autoSpaceDE/>
        <w:autoSpaceDN/>
        <w:bidi w:val="0"/>
        <w:adjustRightInd w:val="0"/>
        <w:snapToGrid w:val="0"/>
        <w:spacing w:line="360" w:lineRule="auto"/>
        <w:ind w:firstLine="0" w:firstLineChars="0"/>
        <w:textAlignment w:val="auto"/>
        <w:outlineLvl w:val="9"/>
        <w:rPr>
          <w:rFonts w:ascii="Calibri" w:hAnsi="Calibri" w:eastAsia="宋体" w:cs="Times New Roman"/>
          <w:b/>
          <w:snapToGrid w:val="0"/>
          <w:kern w:val="0"/>
          <w:sz w:val="44"/>
          <w:szCs w:val="44"/>
        </w:rPr>
      </w:pPr>
    </w:p>
    <w:p>
      <w:pPr>
        <w:tabs>
          <w:tab w:val="left" w:pos="4895"/>
        </w:tabs>
        <w:bidi w:val="0"/>
        <w:rPr>
          <w:rFonts w:hint="eastAsia"/>
          <w:lang w:eastAsia="zh-CN"/>
        </w:rPr>
      </w:pPr>
      <w:r>
        <w:rPr>
          <w:rFonts w:hint="eastAsia"/>
          <w:lang w:eastAsia="zh-CN"/>
        </w:rPr>
        <w:tab/>
      </w:r>
    </w:p>
    <w:p>
      <w:pPr>
        <w:keepNext w:val="0"/>
        <w:keepLines w:val="0"/>
        <w:pageBreakBefore w:val="0"/>
        <w:kinsoku/>
        <w:overflowPunct/>
        <w:topLinePunct w:val="0"/>
        <w:autoSpaceDE/>
        <w:autoSpaceDN/>
        <w:bidi w:val="0"/>
        <w:adjustRightInd w:val="0"/>
        <w:snapToGrid w:val="0"/>
        <w:spacing w:line="360" w:lineRule="auto"/>
        <w:ind w:firstLine="0" w:firstLineChars="0"/>
        <w:textAlignment w:val="auto"/>
        <w:outlineLvl w:val="9"/>
        <w:rPr>
          <w:rFonts w:ascii="Calibri" w:hAnsi="Calibri" w:eastAsia="宋体" w:cs="Times New Roman"/>
          <w:b/>
          <w:snapToGrid w:val="0"/>
          <w:kern w:val="0"/>
          <w:sz w:val="44"/>
          <w:szCs w:val="44"/>
        </w:rPr>
      </w:pPr>
    </w:p>
    <w:p>
      <w:pPr>
        <w:bidi w:val="0"/>
        <w:rPr>
          <w:rFonts w:hint="eastAsia"/>
          <w:lang w:eastAsia="zh-CN"/>
        </w:rPr>
      </w:pPr>
    </w:p>
    <w:p>
      <w:pPr>
        <w:keepNext w:val="0"/>
        <w:keepLines w:val="0"/>
        <w:pageBreakBefore w:val="0"/>
        <w:kinsoku/>
        <w:overflowPunct/>
        <w:topLinePunct w:val="0"/>
        <w:autoSpaceDE/>
        <w:autoSpaceDN/>
        <w:bidi w:val="0"/>
        <w:adjustRightInd w:val="0"/>
        <w:snapToGrid w:val="0"/>
        <w:spacing w:line="360" w:lineRule="auto"/>
        <w:ind w:firstLine="0" w:firstLineChars="0"/>
        <w:textAlignment w:val="auto"/>
        <w:outlineLvl w:val="9"/>
        <w:rPr>
          <w:rFonts w:ascii="Calibri" w:hAnsi="Calibri" w:eastAsia="宋体" w:cs="Times New Roman"/>
          <w:b/>
          <w:snapToGrid w:val="0"/>
          <w:kern w:val="0"/>
          <w:sz w:val="44"/>
          <w:szCs w:val="44"/>
        </w:rPr>
      </w:pPr>
    </w:p>
    <w:p>
      <w:pPr>
        <w:bidi w:val="0"/>
      </w:pPr>
    </w:p>
    <w:p>
      <w:pPr>
        <w:bidi w:val="0"/>
      </w:pPr>
    </w:p>
    <w:p>
      <w:pPr>
        <w:bidi w:val="0"/>
      </w:pPr>
    </w:p>
    <w:p>
      <w:pPr>
        <w:keepNext w:val="0"/>
        <w:keepLines w:val="0"/>
        <w:pageBreakBefore w:val="0"/>
        <w:widowControl/>
        <w:kinsoku/>
        <w:overflowPunct/>
        <w:topLinePunct w:val="0"/>
        <w:autoSpaceDE/>
        <w:autoSpaceDN/>
        <w:bidi w:val="0"/>
        <w:snapToGrid w:val="0"/>
        <w:spacing w:line="360" w:lineRule="auto"/>
        <w:ind w:left="0" w:leftChars="0" w:right="0" w:rightChars="0" w:firstLine="0" w:firstLineChars="0"/>
        <w:jc w:val="center"/>
        <w:textAlignment w:val="auto"/>
        <w:outlineLvl w:val="9"/>
        <w:rPr>
          <w:rFonts w:hint="eastAsia" w:ascii="宋体" w:hAnsi="宋体" w:eastAsia="宋体" w:cs="宋体"/>
          <w:b/>
          <w:kern w:val="0"/>
          <w:sz w:val="32"/>
          <w:szCs w:val="32"/>
        </w:rPr>
      </w:pPr>
      <w:r>
        <w:rPr>
          <w:rFonts w:hint="eastAsia" w:ascii="宋体" w:hAnsi="宋体" w:eastAsia="宋体" w:cs="宋体"/>
          <w:b/>
          <w:kern w:val="0"/>
          <w:sz w:val="32"/>
          <w:szCs w:val="32"/>
        </w:rPr>
        <w:t>评价报告完成日期：202</w:t>
      </w:r>
      <w:r>
        <w:rPr>
          <w:rFonts w:hint="eastAsia" w:ascii="宋体" w:hAnsi="宋体" w:cs="宋体"/>
          <w:b/>
          <w:kern w:val="0"/>
          <w:sz w:val="32"/>
          <w:szCs w:val="32"/>
          <w:lang w:val="en-US" w:eastAsia="zh-CN"/>
        </w:rPr>
        <w:t>4</w:t>
      </w:r>
      <w:r>
        <w:rPr>
          <w:rFonts w:hint="eastAsia" w:ascii="宋体" w:hAnsi="宋体" w:eastAsia="宋体" w:cs="宋体"/>
          <w:b/>
          <w:kern w:val="0"/>
          <w:sz w:val="32"/>
          <w:szCs w:val="32"/>
        </w:rPr>
        <w:t>年</w:t>
      </w:r>
      <w:r>
        <w:rPr>
          <w:rFonts w:hint="eastAsia" w:ascii="宋体" w:hAnsi="宋体" w:cs="宋体"/>
          <w:b/>
          <w:kern w:val="0"/>
          <w:sz w:val="32"/>
          <w:szCs w:val="32"/>
          <w:lang w:val="en-US" w:eastAsia="zh-CN"/>
        </w:rPr>
        <w:t>3</w:t>
      </w:r>
      <w:r>
        <w:rPr>
          <w:rFonts w:hint="eastAsia" w:ascii="宋体" w:hAnsi="宋体" w:eastAsia="宋体" w:cs="宋体"/>
          <w:b/>
          <w:kern w:val="0"/>
          <w:sz w:val="32"/>
          <w:szCs w:val="32"/>
        </w:rPr>
        <w:t>月</w:t>
      </w:r>
    </w:p>
    <w:p>
      <w:pPr>
        <w:keepNext w:val="0"/>
        <w:keepLines w:val="0"/>
        <w:pageBreakBefore w:val="0"/>
        <w:widowControl/>
        <w:kinsoku/>
        <w:overflowPunct/>
        <w:topLinePunct w:val="0"/>
        <w:autoSpaceDE/>
        <w:autoSpaceDN/>
        <w:bidi w:val="0"/>
        <w:snapToGrid w:val="0"/>
        <w:spacing w:line="360" w:lineRule="auto"/>
        <w:ind w:left="0" w:leftChars="0" w:right="0" w:rightChars="0" w:firstLine="0" w:firstLineChars="0"/>
        <w:jc w:val="center"/>
        <w:textAlignment w:val="auto"/>
        <w:outlineLvl w:val="9"/>
        <w:rPr>
          <w:rFonts w:hint="eastAsia" w:ascii="宋体" w:hAnsi="宋体" w:eastAsia="宋体" w:cs="宋体"/>
          <w:b/>
          <w:kern w:val="0"/>
          <w:sz w:val="32"/>
          <w:szCs w:val="32"/>
        </w:rPr>
        <w:sectPr>
          <w:headerReference r:id="rId11" w:type="default"/>
          <w:footerReference r:id="rId12" w:type="default"/>
          <w:pgSz w:w="11906" w:h="16838"/>
          <w:pgMar w:top="1440" w:right="1800" w:bottom="1440" w:left="1800" w:header="851" w:footer="992" w:gutter="0"/>
          <w:pgNumType w:fmt="lowerRoman"/>
          <w:cols w:space="425" w:num="1"/>
          <w:docGrid w:type="lines" w:linePitch="312" w:charSpace="0"/>
        </w:sectPr>
      </w:pPr>
      <w:r>
        <w:rPr>
          <w:rFonts w:hint="eastAsia" w:ascii="宋体" w:hAnsi="宋体" w:eastAsia="宋体" w:cs="宋体"/>
          <w:b/>
          <w:kern w:val="0"/>
          <w:sz w:val="32"/>
          <w:szCs w:val="32"/>
        </w:rPr>
        <w:t>（安全评价机构公章）</w:t>
      </w:r>
    </w:p>
    <w:p>
      <w:pPr>
        <w:pageBreakBefore w:val="0"/>
        <w:kinsoku/>
        <w:overflowPunct/>
        <w:topLinePunct w:val="0"/>
        <w:autoSpaceDE/>
        <w:autoSpaceDN/>
        <w:bidi w:val="0"/>
        <w:spacing w:line="500" w:lineRule="exact"/>
        <w:ind w:firstLine="560" w:firstLineChars="200"/>
        <w:textAlignment w:val="auto"/>
        <w:outlineLvl w:val="9"/>
        <w:rPr>
          <w:rFonts w:ascii="Times New Roman" w:hAnsi="Times New Roman" w:cs="Times New Roman"/>
          <w:sz w:val="28"/>
          <w:szCs w:val="22"/>
        </w:rPr>
      </w:pPr>
    </w:p>
    <w:p>
      <w:pPr>
        <w:keepNext/>
        <w:keepLines/>
        <w:pageBreakBefore w:val="0"/>
        <w:widowControl w:val="0"/>
        <w:kinsoku/>
        <w:wordWrap/>
        <w:overflowPunct/>
        <w:topLinePunct w:val="0"/>
        <w:autoSpaceDE/>
        <w:autoSpaceDN/>
        <w:bidi w:val="0"/>
        <w:adjustRightInd w:val="0"/>
        <w:snapToGrid w:val="0"/>
        <w:spacing w:before="240" w:after="240"/>
        <w:ind w:left="0" w:leftChars="0" w:right="0" w:rightChars="0" w:firstLine="0" w:firstLineChars="0"/>
        <w:jc w:val="center"/>
        <w:textAlignment w:val="auto"/>
        <w:outlineLvl w:val="9"/>
        <w:rPr>
          <w:rFonts w:eastAsia="黑体"/>
          <w:b/>
          <w:color w:val="000000" w:themeColor="text1"/>
          <w:kern w:val="44"/>
          <w:sz w:val="44"/>
          <w:szCs w:val="44"/>
          <w14:textFill>
            <w14:solidFill>
              <w14:schemeClr w14:val="tx1"/>
            </w14:solidFill>
          </w14:textFill>
        </w:rPr>
      </w:pPr>
      <w:r>
        <w:rPr>
          <w:rFonts w:hint="eastAsia" w:eastAsia="黑体"/>
          <w:b/>
          <w:color w:val="000000" w:themeColor="text1"/>
          <w:kern w:val="44"/>
          <w:sz w:val="44"/>
          <w:szCs w:val="44"/>
          <w:lang w:val="en-US" w:eastAsia="zh-CN"/>
          <w14:textFill>
            <w14:solidFill>
              <w14:schemeClr w14:val="tx1"/>
            </w14:solidFill>
          </w14:textFill>
        </w:rPr>
        <w:t>评价人员和项目现场</w:t>
      </w:r>
      <w:r>
        <w:rPr>
          <w:rFonts w:hint="eastAsia" w:eastAsia="黑体"/>
          <w:b/>
          <w:color w:val="000000" w:themeColor="text1"/>
          <w:kern w:val="44"/>
          <w:sz w:val="44"/>
          <w:szCs w:val="44"/>
          <w14:textFill>
            <w14:solidFill>
              <w14:schemeClr w14:val="tx1"/>
            </w14:solidFill>
          </w14:textFill>
        </w:rPr>
        <w:t>照片</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评价人员与业主合照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3" w:hRule="atLeast"/>
          <w:jc w:val="center"/>
        </w:trPr>
        <w:tc>
          <w:tcPr>
            <w:tcW w:w="8296" w:type="dxa"/>
            <w:shd w:val="clear" w:color="auto" w:fill="auto"/>
            <w:vAlign w:val="center"/>
          </w:tcPr>
          <w:p>
            <w:pPr>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eastAsia="zh-CN"/>
                <w14:textFill>
                  <w14:solidFill>
                    <w14:schemeClr w14:val="tx1"/>
                  </w14:solidFill>
                </w14:textFill>
              </w:rPr>
              <w:drawing>
                <wp:anchor distT="0" distB="0" distL="114300" distR="114300" simplePos="0" relativeHeight="251662336" behindDoc="0" locked="0" layoutInCell="1" allowOverlap="1">
                  <wp:simplePos x="0" y="0"/>
                  <wp:positionH relativeFrom="column">
                    <wp:posOffset>431800</wp:posOffset>
                  </wp:positionH>
                  <wp:positionV relativeFrom="paragraph">
                    <wp:posOffset>93980</wp:posOffset>
                  </wp:positionV>
                  <wp:extent cx="4381500" cy="3288030"/>
                  <wp:effectExtent l="0" t="0" r="7620" b="3810"/>
                  <wp:wrapTopAndBottom/>
                  <wp:docPr id="26" name="图片 26" descr="66d900a56ac6c28dcc64ba9d588f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66d900a56ac6c28dcc64ba9d588fe14"/>
                          <pic:cNvPicPr>
                            <a:picLocks noChangeAspect="1"/>
                          </pic:cNvPicPr>
                        </pic:nvPicPr>
                        <pic:blipFill>
                          <a:blip r:embed="rId22"/>
                          <a:stretch>
                            <a:fillRect/>
                          </a:stretch>
                        </pic:blipFill>
                        <pic:spPr>
                          <a:xfrm>
                            <a:off x="0" y="0"/>
                            <a:ext cx="4381500" cy="3288030"/>
                          </a:xfrm>
                          <a:prstGeom prst="rect">
                            <a:avLst/>
                          </a:prstGeom>
                        </pic:spPr>
                      </pic:pic>
                    </a:graphicData>
                  </a:graphic>
                </wp:anchor>
              </w:drawing>
            </w:r>
            <w:r>
              <w:rPr>
                <w:rFonts w:hint="eastAsia"/>
                <w:color w:val="000000" w:themeColor="text1"/>
                <w:kern w:val="0"/>
                <w:sz w:val="21"/>
                <w:szCs w:val="21"/>
                <w:lang w:val="en-US" w:eastAsia="zh-CN"/>
                <w14:textFill>
                  <w14:solidFill>
                    <w14:schemeClr w14:val="tx1"/>
                  </w14:solidFill>
                </w14:textFill>
              </w:rPr>
              <w:t>左：评价人员李毅雄 右：业主方人员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5" w:hRule="atLeast"/>
          <w:jc w:val="center"/>
        </w:trPr>
        <w:tc>
          <w:tcPr>
            <w:tcW w:w="8296" w:type="dxa"/>
            <w:shd w:val="clear" w:color="auto" w:fill="auto"/>
            <w:vAlign w:val="center"/>
          </w:tcPr>
          <w:p>
            <w:pPr>
              <w:spacing w:line="240" w:lineRule="auto"/>
              <w:ind w:firstLine="0" w:firstLineChars="0"/>
              <w:jc w:val="center"/>
              <w:rPr>
                <w:rFonts w:hint="default"/>
                <w:lang w:val="en-US" w:eastAsia="zh-CN"/>
              </w:rPr>
            </w:pPr>
            <w:r>
              <w:rPr>
                <w:rFonts w:hint="eastAsia"/>
                <w:color w:val="000000" w:themeColor="text1"/>
                <w:kern w:val="0"/>
                <w:sz w:val="21"/>
                <w:szCs w:val="21"/>
                <w:lang w:eastAsia="zh-CN"/>
                <w14:textFill>
                  <w14:solidFill>
                    <w14:schemeClr w14:val="tx1"/>
                  </w14:solidFill>
                </w14:textFill>
              </w:rPr>
              <w:drawing>
                <wp:anchor distT="0" distB="0" distL="114300" distR="114300" simplePos="0" relativeHeight="251663360" behindDoc="0" locked="0" layoutInCell="1" allowOverlap="1">
                  <wp:simplePos x="0" y="0"/>
                  <wp:positionH relativeFrom="column">
                    <wp:posOffset>422275</wp:posOffset>
                  </wp:positionH>
                  <wp:positionV relativeFrom="paragraph">
                    <wp:posOffset>31750</wp:posOffset>
                  </wp:positionV>
                  <wp:extent cx="4392295" cy="3154045"/>
                  <wp:effectExtent l="0" t="0" r="12065" b="635"/>
                  <wp:wrapTopAndBottom/>
                  <wp:docPr id="32" name="图片 32" descr="00963cb24ad946d3167833e36bb7f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00963cb24ad946d3167833e36bb7ff1"/>
                          <pic:cNvPicPr>
                            <a:picLocks noChangeAspect="1"/>
                          </pic:cNvPicPr>
                        </pic:nvPicPr>
                        <pic:blipFill>
                          <a:blip r:embed="rId23"/>
                          <a:stretch>
                            <a:fillRect/>
                          </a:stretch>
                        </pic:blipFill>
                        <pic:spPr>
                          <a:xfrm>
                            <a:off x="0" y="0"/>
                            <a:ext cx="4392295" cy="3154045"/>
                          </a:xfrm>
                          <a:prstGeom prst="rect">
                            <a:avLst/>
                          </a:prstGeom>
                        </pic:spPr>
                      </pic:pic>
                    </a:graphicData>
                  </a:graphic>
                </wp:anchor>
              </w:drawing>
            </w:r>
            <w:r>
              <w:rPr>
                <w:rFonts w:hint="eastAsia"/>
                <w:color w:val="000000" w:themeColor="text1"/>
                <w:kern w:val="0"/>
                <w:sz w:val="21"/>
                <w:szCs w:val="21"/>
                <w:lang w:val="en-US" w:eastAsia="zh-CN"/>
                <w14:textFill>
                  <w14:solidFill>
                    <w14:schemeClr w14:val="tx1"/>
                  </w14:solidFill>
                </w14:textFill>
              </w:rPr>
              <w:t>左：评价人员李晓达 右：业主方人员</w:t>
            </w:r>
          </w:p>
        </w:tc>
      </w:tr>
    </w:tbl>
    <w:p/>
    <w:p>
      <w:pPr>
        <w:pStyle w:val="2"/>
      </w:pPr>
    </w:p>
    <w:p>
      <w:pPr>
        <w:pStyle w:val="2"/>
      </w:pP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5"/>
        <w:gridCol w:w="4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255"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中空吹塑机</w:t>
            </w:r>
          </w:p>
        </w:tc>
        <w:tc>
          <w:tcPr>
            <w:tcW w:w="4104"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粉碎机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9" w:hRule="atLeast"/>
          <w:jc w:val="center"/>
        </w:trPr>
        <w:tc>
          <w:tcPr>
            <w:tcW w:w="4255"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drawing>
                <wp:inline distT="0" distB="0" distL="0" distR="0">
                  <wp:extent cx="2400300" cy="1680845"/>
                  <wp:effectExtent l="0" t="0" r="7620" b="1079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4"/>
                          <a:stretch>
                            <a:fillRect/>
                          </a:stretch>
                        </pic:blipFill>
                        <pic:spPr>
                          <a:xfrm>
                            <a:off x="0" y="0"/>
                            <a:ext cx="2400300" cy="1680845"/>
                          </a:xfrm>
                          <a:prstGeom prst="rect">
                            <a:avLst/>
                          </a:prstGeom>
                        </pic:spPr>
                      </pic:pic>
                    </a:graphicData>
                  </a:graphic>
                </wp:inline>
              </w:drawing>
            </w:r>
          </w:p>
        </w:tc>
        <w:tc>
          <w:tcPr>
            <w:tcW w:w="4104"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drawing>
                <wp:inline distT="0" distB="0" distL="0" distR="0">
                  <wp:extent cx="2426335" cy="1542415"/>
                  <wp:effectExtent l="0" t="0" r="12065" b="1206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5"/>
                          <a:stretch>
                            <a:fillRect/>
                          </a:stretch>
                        </pic:blipFill>
                        <pic:spPr>
                          <a:xfrm>
                            <a:off x="0" y="0"/>
                            <a:ext cx="2426335" cy="15424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255"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自动贴标机</w:t>
            </w:r>
          </w:p>
        </w:tc>
        <w:tc>
          <w:tcPr>
            <w:tcW w:w="4104"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装袋机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jc w:val="center"/>
        </w:trPr>
        <w:tc>
          <w:tcPr>
            <w:tcW w:w="4255"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drawing>
                <wp:anchor distT="0" distB="0" distL="114300" distR="114300" simplePos="0" relativeHeight="251661312" behindDoc="0" locked="0" layoutInCell="1" allowOverlap="1">
                  <wp:simplePos x="0" y="0"/>
                  <wp:positionH relativeFrom="margin">
                    <wp:posOffset>-20320</wp:posOffset>
                  </wp:positionH>
                  <wp:positionV relativeFrom="margin">
                    <wp:posOffset>31750</wp:posOffset>
                  </wp:positionV>
                  <wp:extent cx="2491105" cy="1537335"/>
                  <wp:effectExtent l="0" t="0" r="8255" b="1905"/>
                  <wp:wrapSquare wrapText="bothSides"/>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491105" cy="1537335"/>
                          </a:xfrm>
                          <a:prstGeom prst="rect">
                            <a:avLst/>
                          </a:prstGeom>
                        </pic:spPr>
                      </pic:pic>
                    </a:graphicData>
                  </a:graphic>
                </wp:anchor>
              </w:drawing>
            </w:r>
          </w:p>
        </w:tc>
        <w:tc>
          <w:tcPr>
            <w:tcW w:w="4104" w:type="dxa"/>
            <w:shd w:val="clear" w:color="auto" w:fill="auto"/>
            <w:vAlign w:val="center"/>
          </w:tcPr>
          <w:p>
            <w:pPr>
              <w:spacing w:line="240" w:lineRule="auto"/>
              <w:ind w:firstLine="0" w:firstLineChars="0"/>
              <w:jc w:val="center"/>
              <w:rPr>
                <w:color w:val="000000" w:themeColor="text1"/>
                <w:kern w:val="0"/>
                <w:sz w:val="21"/>
                <w:szCs w:val="21"/>
                <w14:textFill>
                  <w14:solidFill>
                    <w14:schemeClr w14:val="tx1"/>
                  </w14:solidFill>
                </w14:textFill>
              </w:rPr>
            </w:pPr>
            <w:r>
              <w:drawing>
                <wp:anchor distT="0" distB="0" distL="114300" distR="114300" simplePos="0" relativeHeight="251660288" behindDoc="0" locked="0" layoutInCell="1" allowOverlap="1">
                  <wp:simplePos x="0" y="0"/>
                  <wp:positionH relativeFrom="margin">
                    <wp:posOffset>22225</wp:posOffset>
                  </wp:positionH>
                  <wp:positionV relativeFrom="margin">
                    <wp:posOffset>38100</wp:posOffset>
                  </wp:positionV>
                  <wp:extent cx="2486660" cy="1465580"/>
                  <wp:effectExtent l="0" t="0" r="12700" b="12700"/>
                  <wp:wrapSquare wrapText="bothSides"/>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86660" cy="1465580"/>
                          </a:xfrm>
                          <a:prstGeom prst="rect">
                            <a:avLst/>
                          </a:prstGeom>
                        </pic:spPr>
                      </pic:pic>
                    </a:graphicData>
                  </a:graphic>
                </wp:anchor>
              </w:drawing>
            </w:r>
          </w:p>
        </w:tc>
      </w:tr>
    </w:tbl>
    <w:p>
      <w:pPr>
        <w:ind w:firstLine="482"/>
        <w:rPr>
          <w:rFonts w:ascii="宋体" w:hAnsi="宋体"/>
          <w:b/>
          <w:color w:val="000000" w:themeColor="text1"/>
          <w:kern w:val="0"/>
          <w:sz w:val="24"/>
          <w:szCs w:val="24"/>
          <w14:textFill>
            <w14:solidFill>
              <w14:schemeClr w14:val="tx1"/>
            </w14:solidFill>
          </w14:textFill>
        </w:rPr>
      </w:pPr>
    </w:p>
    <w:p>
      <w:pPr>
        <w:ind w:firstLine="1687" w:firstLineChars="700"/>
        <w:jc w:val="left"/>
        <w:rPr>
          <w:rFonts w:ascii="宋体" w:hAnsi="宋体"/>
          <w:b/>
          <w:color w:val="000000" w:themeColor="text1"/>
          <w:kern w:val="0"/>
          <w:sz w:val="24"/>
          <w:szCs w:val="24"/>
          <w14:textFill>
            <w14:solidFill>
              <w14:schemeClr w14:val="tx1"/>
            </w14:solidFill>
          </w14:textFill>
        </w:rPr>
        <w:sectPr>
          <w:headerReference r:id="rId13" w:type="default"/>
          <w:footerReference r:id="rId14" w:type="default"/>
          <w:pgSz w:w="11906" w:h="16838"/>
          <w:pgMar w:top="1440" w:right="1800" w:bottom="1440" w:left="1800" w:header="851" w:footer="992" w:gutter="0"/>
          <w:pgNumType w:fmt="lowerRoman" w:start="1"/>
          <w:cols w:space="425" w:num="1"/>
          <w:docGrid w:type="lines" w:linePitch="312" w:charSpace="0"/>
        </w:sectPr>
      </w:pPr>
    </w:p>
    <w:p>
      <w:pPr>
        <w:keepNext w:val="0"/>
        <w:keepLines w:val="0"/>
        <w:pageBreakBefore w:val="0"/>
        <w:numPr>
          <w:ilvl w:val="0"/>
          <w:numId w:val="0"/>
        </w:numPr>
        <w:kinsoku/>
        <w:overflowPunct/>
        <w:topLinePunct w:val="0"/>
        <w:autoSpaceDE/>
        <w:autoSpaceDN/>
        <w:bidi w:val="0"/>
        <w:ind w:left="0" w:leftChars="0" w:right="0" w:rightChars="0" w:firstLine="0" w:firstLineChars="0"/>
        <w:jc w:val="center"/>
        <w:textAlignment w:val="auto"/>
        <w:outlineLvl w:val="9"/>
        <w:rPr>
          <w:b/>
          <w:bCs/>
          <w:color w:val="000000" w:themeColor="text1"/>
          <w:sz w:val="40"/>
          <w:szCs w:val="32"/>
          <w14:textFill>
            <w14:solidFill>
              <w14:schemeClr w14:val="tx1"/>
            </w14:solidFill>
          </w14:textFill>
        </w:rPr>
      </w:pPr>
      <w:bookmarkStart w:id="5" w:name="_Toc128670555"/>
      <w:bookmarkStart w:id="6" w:name="_Toc151629973"/>
      <w:bookmarkStart w:id="7" w:name="_Toc376602484"/>
      <w:bookmarkStart w:id="8" w:name="_Toc13685769"/>
      <w:bookmarkStart w:id="9" w:name="_Toc129520713"/>
      <w:bookmarkStart w:id="10" w:name="_Toc11193"/>
      <w:bookmarkStart w:id="11" w:name="_Toc130196801"/>
      <w:bookmarkStart w:id="12" w:name="_Toc129520572"/>
      <w:bookmarkStart w:id="13" w:name="_Toc12876726"/>
      <w:bookmarkStart w:id="14" w:name="_Toc458245923"/>
      <w:r>
        <w:rPr>
          <w:b/>
          <w:bCs/>
          <w:color w:val="000000" w:themeColor="text1"/>
          <w:sz w:val="40"/>
          <w:szCs w:val="32"/>
          <w14:textFill>
            <w14:solidFill>
              <w14:schemeClr w14:val="tx1"/>
            </w14:solidFill>
          </w14:textFill>
        </w:rPr>
        <w:t>前</w:t>
      </w:r>
      <w:r>
        <w:rPr>
          <w:rFonts w:hint="eastAsia"/>
          <w:b/>
          <w:bCs/>
          <w:color w:val="000000" w:themeColor="text1"/>
          <w:sz w:val="40"/>
          <w:szCs w:val="32"/>
          <w14:textFill>
            <w14:solidFill>
              <w14:schemeClr w14:val="tx1"/>
            </w14:solidFill>
          </w14:textFill>
        </w:rPr>
        <w:t xml:space="preserve"> </w:t>
      </w:r>
      <w:r>
        <w:rPr>
          <w:b/>
          <w:bCs/>
          <w:color w:val="000000" w:themeColor="text1"/>
          <w:sz w:val="40"/>
          <w:szCs w:val="32"/>
          <w14:textFill>
            <w14:solidFill>
              <w14:schemeClr w14:val="tx1"/>
            </w14:solidFill>
          </w14:textFill>
        </w:rPr>
        <w:t xml:space="preserve"> 言</w:t>
      </w:r>
      <w:bookmarkEnd w:id="5"/>
      <w:bookmarkEnd w:id="6"/>
      <w:bookmarkEnd w:id="7"/>
      <w:bookmarkEnd w:id="8"/>
      <w:bookmarkEnd w:id="9"/>
      <w:bookmarkEnd w:id="10"/>
      <w:bookmarkEnd w:id="11"/>
      <w:bookmarkEnd w:id="12"/>
      <w:bookmarkEnd w:id="13"/>
      <w:bookmarkEnd w:id="14"/>
    </w:p>
    <w:p>
      <w:pPr>
        <w:keepNext w:val="0"/>
        <w:keepLines w:val="0"/>
        <w:pageBreakBefore w:val="0"/>
        <w:kinsoku/>
        <w:overflowPunct/>
        <w:topLinePunct w:val="0"/>
        <w:autoSpaceDE/>
        <w:autoSpaceDN/>
        <w:bidi w:val="0"/>
        <w:adjustRightInd w:val="0"/>
        <w:snapToGrid w:val="0"/>
        <w:ind w:firstLine="560"/>
        <w:textAlignment w:val="auto"/>
        <w:outlineLvl w:val="9"/>
        <w:rPr>
          <w:color w:val="000000" w:themeColor="text1"/>
          <w:szCs w:val="28"/>
          <w14:textFill>
            <w14:solidFill>
              <w14:schemeClr w14:val="tx1"/>
            </w14:solidFill>
          </w14:textFill>
        </w:rPr>
      </w:pPr>
      <w:r>
        <w:rPr>
          <w:color w:val="000000" w:themeColor="text1"/>
          <w:szCs w:val="28"/>
          <w14:textFill>
            <w14:solidFill>
              <w14:schemeClr w14:val="tx1"/>
            </w14:solidFill>
          </w14:textFill>
        </w:rPr>
        <w:t>随着我国法制化的日趋健全和完善，安全生产监督管理体系也逐步向科学化、规范化、制度化发展，安全评价作为现代先进安全生产管理模式的主要内容之一</w:t>
      </w:r>
      <w:r>
        <w:rPr>
          <w:color w:val="000000" w:themeColor="text1"/>
          <w:szCs w:val="24"/>
          <w14:textFill>
            <w14:solidFill>
              <w14:schemeClr w14:val="tx1"/>
            </w14:solidFill>
          </w14:textFill>
        </w:rPr>
        <w:t>越来越</w:t>
      </w:r>
      <w:r>
        <w:rPr>
          <w:color w:val="000000" w:themeColor="text1"/>
          <w:szCs w:val="28"/>
          <w14:textFill>
            <w14:solidFill>
              <w14:schemeClr w14:val="tx1"/>
            </w14:solidFill>
          </w14:textFill>
        </w:rPr>
        <w:t>受到重视。</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安全第一、预防为主、综合治理</w:t>
      </w:r>
      <w:r>
        <w:rPr>
          <w:rFonts w:hint="eastAsia" w:ascii="宋体" w:hAnsi="宋体"/>
          <w:color w:val="000000" w:themeColor="text1"/>
          <w:szCs w:val="28"/>
          <w14:textFill>
            <w14:solidFill>
              <w14:schemeClr w14:val="tx1"/>
            </w14:solidFill>
          </w14:textFill>
        </w:rPr>
        <w:t>”</w:t>
      </w:r>
      <w:r>
        <w:rPr>
          <w:color w:val="000000" w:themeColor="text1"/>
          <w:szCs w:val="28"/>
          <w14:textFill>
            <w14:solidFill>
              <w14:schemeClr w14:val="tx1"/>
            </w14:solidFill>
          </w14:textFill>
        </w:rPr>
        <w:t>是我们党和国家始终不渝的安全生产方针，开展安全评价正是突出</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安全第一</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、体现</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预防为主</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的一项重要工作，是</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安全第一、预防为主、综合治理</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方针在企业</w:t>
      </w:r>
      <w:r>
        <w:rPr>
          <w:color w:val="000000" w:themeColor="text1"/>
          <w:szCs w:val="24"/>
          <w14:textFill>
            <w14:solidFill>
              <w14:schemeClr w14:val="tx1"/>
            </w14:solidFill>
          </w14:textFill>
        </w:rPr>
        <w:t>安全生产</w:t>
      </w:r>
      <w:r>
        <w:rPr>
          <w:color w:val="000000" w:themeColor="text1"/>
          <w:szCs w:val="28"/>
          <w14:textFill>
            <w14:solidFill>
              <w14:schemeClr w14:val="tx1"/>
            </w14:solidFill>
          </w14:textFill>
        </w:rPr>
        <w:t>中的具体体现。安全评价不仅能有效地提高企业和生产设备的本质安全程度，而且可以为各级应急管理部门的决策和监督检查提供有力的技术支撑。</w:t>
      </w:r>
    </w:p>
    <w:p>
      <w:pPr>
        <w:keepNext w:val="0"/>
        <w:keepLines w:val="0"/>
        <w:pageBreakBefore w:val="0"/>
        <w:kinsoku/>
        <w:overflowPunct/>
        <w:topLinePunct w:val="0"/>
        <w:autoSpaceDE/>
        <w:autoSpaceDN/>
        <w:bidi w:val="0"/>
        <w:adjustRightInd w:val="0"/>
        <w:snapToGrid w:val="0"/>
        <w:ind w:firstLine="560"/>
        <w:textAlignment w:val="auto"/>
        <w:outlineLvl w:val="9"/>
        <w:rPr>
          <w:color w:val="000000" w:themeColor="text1"/>
          <w:szCs w:val="20"/>
          <w14:textFill>
            <w14:solidFill>
              <w14:schemeClr w14:val="tx1"/>
            </w14:solidFill>
          </w14:textFill>
        </w:rPr>
      </w:pPr>
      <w:r>
        <w:rPr>
          <w:rFonts w:hint="eastAsia"/>
          <w:color w:val="000000" w:themeColor="text1"/>
          <w:szCs w:val="20"/>
          <w14:textFill>
            <w14:solidFill>
              <w14:schemeClr w14:val="tx1"/>
            </w14:solidFill>
          </w14:textFill>
        </w:rPr>
        <w:t>玉溪玉象包装材料有限公司成立于20</w:t>
      </w:r>
      <w:r>
        <w:rPr>
          <w:color w:val="000000" w:themeColor="text1"/>
          <w:szCs w:val="20"/>
          <w14:textFill>
            <w14:solidFill>
              <w14:schemeClr w14:val="tx1"/>
            </w14:solidFill>
          </w14:textFill>
        </w:rPr>
        <w:t>09</w:t>
      </w:r>
      <w:r>
        <w:rPr>
          <w:rFonts w:hint="eastAsia"/>
          <w:color w:val="000000" w:themeColor="text1"/>
          <w:szCs w:val="20"/>
          <w14:textFill>
            <w14:solidFill>
              <w14:schemeClr w14:val="tx1"/>
            </w14:solidFill>
          </w14:textFill>
        </w:rPr>
        <w:t>年0</w:t>
      </w:r>
      <w:r>
        <w:rPr>
          <w:color w:val="000000" w:themeColor="text1"/>
          <w:szCs w:val="20"/>
          <w14:textFill>
            <w14:solidFill>
              <w14:schemeClr w14:val="tx1"/>
            </w14:solidFill>
          </w14:textFill>
        </w:rPr>
        <w:t>5</w:t>
      </w:r>
      <w:r>
        <w:rPr>
          <w:rFonts w:hint="eastAsia"/>
          <w:color w:val="000000" w:themeColor="text1"/>
          <w:szCs w:val="20"/>
          <w14:textFill>
            <w14:solidFill>
              <w14:schemeClr w14:val="tx1"/>
            </w14:solidFill>
          </w14:textFill>
        </w:rPr>
        <w:t>月07日，位于云南省玉溪市红塔区李棋街道办事处农贸市场旁，现建设有年产</w:t>
      </w:r>
      <w:r>
        <w:rPr>
          <w:color w:val="000000" w:themeColor="text1"/>
          <w:szCs w:val="20"/>
          <w14:textFill>
            <w14:solidFill>
              <w14:schemeClr w14:val="tx1"/>
            </w14:solidFill>
          </w14:textFill>
        </w:rPr>
        <w:t>2000</w:t>
      </w:r>
      <w:r>
        <w:rPr>
          <w:rFonts w:hint="eastAsia"/>
          <w:color w:val="000000" w:themeColor="text1"/>
          <w:szCs w:val="20"/>
          <w14:textFill>
            <w14:solidFill>
              <w14:schemeClr w14:val="tx1"/>
            </w14:solidFill>
          </w14:textFill>
        </w:rPr>
        <w:t>万只食品用塑料包装容器生产线一条，配套建设有配电室、仓库、办公楼等，现有员工</w:t>
      </w:r>
      <w:r>
        <w:rPr>
          <w:color w:val="000000" w:themeColor="text1"/>
          <w:szCs w:val="20"/>
          <w14:textFill>
            <w14:solidFill>
              <w14:schemeClr w14:val="tx1"/>
            </w14:solidFill>
          </w14:textFill>
        </w:rPr>
        <w:t>25</w:t>
      </w:r>
      <w:r>
        <w:rPr>
          <w:rFonts w:hint="eastAsia"/>
          <w:color w:val="000000" w:themeColor="text1"/>
          <w:szCs w:val="20"/>
          <w14:textFill>
            <w14:solidFill>
              <w14:schemeClr w14:val="tx1"/>
            </w14:solidFill>
          </w14:textFill>
        </w:rPr>
        <w:t>名。</w:t>
      </w:r>
    </w:p>
    <w:p>
      <w:pPr>
        <w:keepNext w:val="0"/>
        <w:keepLines w:val="0"/>
        <w:pageBreakBefore w:val="0"/>
        <w:kinsoku/>
        <w:overflowPunct/>
        <w:topLinePunct w:val="0"/>
        <w:autoSpaceDE/>
        <w:autoSpaceDN/>
        <w:bidi w:val="0"/>
        <w:adjustRightInd w:val="0"/>
        <w:snapToGrid w:val="0"/>
        <w:ind w:firstLine="560"/>
        <w:textAlignment w:val="auto"/>
        <w:outlineLvl w:val="9"/>
        <w:rPr>
          <w:snapToGrid w:val="0"/>
          <w:color w:val="000000" w:themeColor="text1"/>
          <w:kern w:val="0"/>
          <w:szCs w:val="28"/>
          <w14:textFill>
            <w14:solidFill>
              <w14:schemeClr w14:val="tx1"/>
            </w14:solidFill>
          </w14:textFill>
        </w:rPr>
      </w:pPr>
      <w:r>
        <w:rPr>
          <w:color w:val="000000" w:themeColor="text1"/>
          <w:szCs w:val="20"/>
          <w14:textFill>
            <w14:solidFill>
              <w14:schemeClr w14:val="tx1"/>
            </w14:solidFill>
          </w14:textFill>
        </w:rPr>
        <w:t>根据《中华人民共和国安全生产法》等国家相关安全生产</w:t>
      </w:r>
      <w:r>
        <w:rPr>
          <w:rFonts w:hint="eastAsia"/>
          <w:color w:val="000000" w:themeColor="text1"/>
          <w:szCs w:val="20"/>
          <w:lang w:eastAsia="zh-CN"/>
          <w14:textFill>
            <w14:solidFill>
              <w14:schemeClr w14:val="tx1"/>
            </w14:solidFill>
          </w14:textFill>
        </w:rPr>
        <w:t>法律法规</w:t>
      </w:r>
      <w:r>
        <w:rPr>
          <w:color w:val="000000" w:themeColor="text1"/>
          <w:szCs w:val="20"/>
          <w14:textFill>
            <w14:solidFill>
              <w14:schemeClr w14:val="tx1"/>
            </w14:solidFill>
          </w14:textFill>
        </w:rPr>
        <w:t>的</w:t>
      </w:r>
      <w:r>
        <w:rPr>
          <w:color w:val="000000" w:themeColor="text1"/>
          <w:szCs w:val="28"/>
          <w14:textFill>
            <w14:solidFill>
              <w14:schemeClr w14:val="tx1"/>
            </w14:solidFill>
          </w14:textFill>
        </w:rPr>
        <w:t>规定，并</w:t>
      </w:r>
      <w:r>
        <w:rPr>
          <w:snapToGrid w:val="0"/>
          <w:color w:val="000000" w:themeColor="text1"/>
          <w:szCs w:val="28"/>
          <w14:textFill>
            <w14:solidFill>
              <w14:schemeClr w14:val="tx1"/>
            </w14:solidFill>
          </w14:textFill>
        </w:rPr>
        <w:t>按照各级应急管理部门的要求，</w:t>
      </w:r>
      <w:r>
        <w:rPr>
          <w:rFonts w:hint="eastAsia"/>
          <w:color w:val="000000" w:themeColor="text1"/>
          <w:szCs w:val="20"/>
          <w14:textFill>
            <w14:solidFill>
              <w14:schemeClr w14:val="tx1"/>
            </w14:solidFill>
          </w14:textFill>
        </w:rPr>
        <w:t>玉溪玉象包装材料有限公司</w:t>
      </w:r>
      <w:r>
        <w:rPr>
          <w:color w:val="000000" w:themeColor="text1"/>
          <w:szCs w:val="28"/>
          <w14:textFill>
            <w14:solidFill>
              <w14:schemeClr w14:val="tx1"/>
            </w14:solidFill>
          </w14:textFill>
        </w:rPr>
        <w:t>为</w:t>
      </w:r>
      <w:r>
        <w:rPr>
          <w:snapToGrid w:val="0"/>
          <w:color w:val="000000" w:themeColor="text1"/>
          <w:kern w:val="0"/>
          <w:szCs w:val="28"/>
          <w14:textFill>
            <w14:solidFill>
              <w14:schemeClr w14:val="tx1"/>
            </w14:solidFill>
          </w14:textFill>
        </w:rPr>
        <w:t>了向应急管理部门提供安全监管依据，</w:t>
      </w:r>
      <w:r>
        <w:rPr>
          <w:color w:val="000000" w:themeColor="text1"/>
          <w:szCs w:val="28"/>
          <w14:textFill>
            <w14:solidFill>
              <w14:schemeClr w14:val="tx1"/>
            </w14:solidFill>
          </w14:textFill>
        </w:rPr>
        <w:t>特委托</w:t>
      </w:r>
      <w:r>
        <w:rPr>
          <w:rFonts w:hint="eastAsia"/>
          <w:lang w:eastAsia="zh-CN"/>
        </w:rPr>
        <w:t>昭通市鼎安科技有限公司</w:t>
      </w:r>
      <w:r>
        <w:rPr>
          <w:color w:val="000000" w:themeColor="text1"/>
          <w:szCs w:val="28"/>
          <w14:textFill>
            <w14:solidFill>
              <w14:schemeClr w14:val="tx1"/>
            </w14:solidFill>
          </w14:textFill>
        </w:rPr>
        <w:t>对</w:t>
      </w:r>
      <w:r>
        <w:rPr>
          <w:rFonts w:hint="eastAsia"/>
          <w:color w:val="000000" w:themeColor="text1"/>
          <w:szCs w:val="28"/>
          <w14:textFill>
            <w14:solidFill>
              <w14:schemeClr w14:val="tx1"/>
            </w14:solidFill>
          </w14:textFill>
        </w:rPr>
        <w:t>其食品用塑料包装容器生产项目</w:t>
      </w:r>
      <w:r>
        <w:rPr>
          <w:color w:val="000000" w:themeColor="text1"/>
          <w:szCs w:val="28"/>
          <w14:textFill>
            <w14:solidFill>
              <w14:schemeClr w14:val="tx1"/>
            </w14:solidFill>
          </w14:textFill>
        </w:rPr>
        <w:t>进行安全现状评价工作。</w:t>
      </w:r>
    </w:p>
    <w:p>
      <w:pPr>
        <w:keepNext w:val="0"/>
        <w:keepLines w:val="0"/>
        <w:pageBreakBefore w:val="0"/>
        <w:kinsoku/>
        <w:overflowPunct/>
        <w:topLinePunct w:val="0"/>
        <w:autoSpaceDE/>
        <w:autoSpaceDN/>
        <w:bidi w:val="0"/>
        <w:adjustRightInd w:val="0"/>
        <w:snapToGrid w:val="0"/>
        <w:ind w:firstLine="560"/>
        <w:textAlignment w:val="auto"/>
        <w:outlineLvl w:val="9"/>
        <w:rPr>
          <w:snapToGrid w:val="0"/>
          <w:color w:val="000000" w:themeColor="text1"/>
          <w:kern w:val="0"/>
          <w:szCs w:val="28"/>
          <w14:textFill>
            <w14:solidFill>
              <w14:schemeClr w14:val="tx1"/>
            </w14:solidFill>
          </w14:textFill>
        </w:rPr>
      </w:pPr>
      <w:r>
        <w:rPr>
          <w:color w:val="000000" w:themeColor="text1"/>
          <w:szCs w:val="28"/>
          <w14:textFill>
            <w14:solidFill>
              <w14:schemeClr w14:val="tx1"/>
            </w14:solidFill>
          </w14:textFill>
        </w:rPr>
        <w:t>在接</w:t>
      </w:r>
      <w:r>
        <w:rPr>
          <w:rFonts w:hint="eastAsia"/>
          <w:color w:val="000000" w:themeColor="text1"/>
          <w:szCs w:val="20"/>
          <w14:textFill>
            <w14:solidFill>
              <w14:schemeClr w14:val="tx1"/>
            </w14:solidFill>
          </w14:textFill>
        </w:rPr>
        <w:t>玉溪玉象包装材料有限公司食品用</w:t>
      </w:r>
      <w:r>
        <w:rPr>
          <w:rFonts w:hint="eastAsia"/>
          <w:color w:val="000000" w:themeColor="text1"/>
          <w:szCs w:val="28"/>
          <w14:textFill>
            <w14:solidFill>
              <w14:schemeClr w14:val="tx1"/>
            </w14:solidFill>
          </w14:textFill>
        </w:rPr>
        <w:t>塑料包装容器</w:t>
      </w:r>
      <w:r>
        <w:rPr>
          <w:rFonts w:hint="eastAsia"/>
          <w:snapToGrid w:val="0"/>
          <w:color w:val="000000" w:themeColor="text1"/>
          <w:szCs w:val="28"/>
          <w14:textFill>
            <w14:solidFill>
              <w14:schemeClr w14:val="tx1"/>
            </w14:solidFill>
          </w14:textFill>
        </w:rPr>
        <w:t>生产项目</w:t>
      </w:r>
      <w:r>
        <w:rPr>
          <w:snapToGrid w:val="0"/>
          <w:color w:val="000000" w:themeColor="text1"/>
          <w:szCs w:val="28"/>
          <w14:textFill>
            <w14:solidFill>
              <w14:schemeClr w14:val="tx1"/>
            </w14:solidFill>
          </w14:textFill>
        </w:rPr>
        <w:t>安全</w:t>
      </w:r>
      <w:r>
        <w:rPr>
          <w:rFonts w:hint="eastAsia"/>
          <w:snapToGrid w:val="0"/>
          <w:color w:val="000000" w:themeColor="text1"/>
          <w:szCs w:val="28"/>
          <w14:textFill>
            <w14:solidFill>
              <w14:schemeClr w14:val="tx1"/>
            </w14:solidFill>
          </w14:textFill>
        </w:rPr>
        <w:t>现状</w:t>
      </w:r>
      <w:r>
        <w:rPr>
          <w:snapToGrid w:val="0"/>
          <w:color w:val="000000" w:themeColor="text1"/>
          <w:szCs w:val="28"/>
          <w14:textFill>
            <w14:solidFill>
              <w14:schemeClr w14:val="tx1"/>
            </w14:solidFill>
          </w14:textFill>
        </w:rPr>
        <w:t>评价工作的委托之后，</w:t>
      </w:r>
      <w:r>
        <w:rPr>
          <w:rFonts w:hint="eastAsia"/>
          <w:lang w:eastAsia="zh-CN"/>
        </w:rPr>
        <w:t>昭通市鼎安科技有限公司</w:t>
      </w:r>
      <w:r>
        <w:rPr>
          <w:snapToGrid w:val="0"/>
          <w:color w:val="000000" w:themeColor="text1"/>
          <w:szCs w:val="28"/>
          <w14:textFill>
            <w14:solidFill>
              <w14:schemeClr w14:val="tx1"/>
            </w14:solidFill>
          </w14:textFill>
        </w:rPr>
        <w:t>立即组成安全评价组，组织评</w:t>
      </w:r>
      <w:r>
        <w:rPr>
          <w:color w:val="000000" w:themeColor="text1"/>
          <w:szCs w:val="28"/>
          <w14:textFill>
            <w14:solidFill>
              <w14:schemeClr w14:val="tx1"/>
            </w14:solidFill>
          </w14:textFill>
        </w:rPr>
        <w:t>价人员投入到本项目的安全评价工作中。</w:t>
      </w:r>
      <w:r>
        <w:rPr>
          <w:rFonts w:hint="eastAsia"/>
          <w:lang w:eastAsia="zh-CN"/>
        </w:rPr>
        <w:t>昭通市鼎安科技有限公司</w:t>
      </w:r>
      <w:r>
        <w:rPr>
          <w:color w:val="000000" w:themeColor="text1"/>
          <w:szCs w:val="24"/>
          <w14:textFill>
            <w14:solidFill>
              <w14:schemeClr w14:val="tx1"/>
            </w14:solidFill>
          </w14:textFill>
        </w:rPr>
        <w:t>评价组经过现场情况调查和对相关资料的调研，编写了本安全现状评价</w:t>
      </w:r>
      <w:r>
        <w:rPr>
          <w:snapToGrid w:val="0"/>
          <w:color w:val="000000" w:themeColor="text1"/>
          <w:kern w:val="0"/>
          <w:szCs w:val="28"/>
          <w14:textFill>
            <w14:solidFill>
              <w14:schemeClr w14:val="tx1"/>
            </w14:solidFill>
          </w14:textFill>
        </w:rPr>
        <w:t>报告。</w:t>
      </w:r>
    </w:p>
    <w:p>
      <w:pPr>
        <w:keepNext w:val="0"/>
        <w:keepLines w:val="0"/>
        <w:pageBreakBefore w:val="0"/>
        <w:kinsoku/>
        <w:overflowPunct/>
        <w:topLinePunct w:val="0"/>
        <w:autoSpaceDE/>
        <w:autoSpaceDN/>
        <w:bidi w:val="0"/>
        <w:adjustRightInd w:val="0"/>
        <w:snapToGrid w:val="0"/>
        <w:ind w:firstLine="560"/>
        <w:textAlignment w:val="auto"/>
        <w:outlineLvl w:val="9"/>
        <w:rPr>
          <w:color w:val="000000" w:themeColor="text1"/>
          <w:szCs w:val="28"/>
          <w14:textFill>
            <w14:solidFill>
              <w14:schemeClr w14:val="tx1"/>
            </w14:solidFill>
          </w14:textFill>
        </w:rPr>
      </w:pPr>
      <w:r>
        <w:rPr>
          <w:color w:val="000000" w:themeColor="text1"/>
          <w:szCs w:val="28"/>
          <w14:textFill>
            <w14:solidFill>
              <w14:schemeClr w14:val="tx1"/>
            </w14:solidFill>
          </w14:textFill>
        </w:rPr>
        <w:t>在评价报告编写过程中，得到了</w:t>
      </w:r>
      <w:r>
        <w:rPr>
          <w:rFonts w:hint="eastAsia"/>
          <w:color w:val="000000" w:themeColor="text1"/>
          <w:szCs w:val="28"/>
          <w14:textFill>
            <w14:solidFill>
              <w14:schemeClr w14:val="tx1"/>
            </w14:solidFill>
          </w14:textFill>
        </w:rPr>
        <w:t>红塔区应急管理局、</w:t>
      </w:r>
      <w:r>
        <w:rPr>
          <w:rFonts w:hint="eastAsia"/>
          <w:color w:val="000000" w:themeColor="text1"/>
          <w:szCs w:val="20"/>
          <w14:textFill>
            <w14:solidFill>
              <w14:schemeClr w14:val="tx1"/>
            </w14:solidFill>
          </w14:textFill>
        </w:rPr>
        <w:t>玉溪玉象包装材料有限公司</w:t>
      </w:r>
      <w:r>
        <w:rPr>
          <w:color w:val="000000" w:themeColor="text1"/>
          <w:szCs w:val="28"/>
          <w14:textFill>
            <w14:solidFill>
              <w14:schemeClr w14:val="tx1"/>
            </w14:solidFill>
          </w14:textFill>
        </w:rPr>
        <w:t>有关领导和技术人员的大力支持，同时引用了一些专家学者的研究成果和技术资料，在此一并表示感谢。</w:t>
      </w:r>
    </w:p>
    <w:p>
      <w:pPr>
        <w:adjustRightInd w:val="0"/>
        <w:snapToGrid w:val="0"/>
        <w:ind w:firstLine="560"/>
        <w:rPr>
          <w:color w:val="000000" w:themeColor="text1"/>
          <w:szCs w:val="28"/>
          <w14:textFill>
            <w14:solidFill>
              <w14:schemeClr w14:val="tx1"/>
            </w14:solidFill>
          </w14:textFill>
        </w:rPr>
        <w:sectPr>
          <w:footerReference r:id="rId15" w:type="default"/>
          <w:pgSz w:w="11906" w:h="16838"/>
          <w:pgMar w:top="1440" w:right="1800" w:bottom="1440" w:left="1800" w:header="851" w:footer="992" w:gutter="0"/>
          <w:pgNumType w:fmt="lowerRoman" w:start="1"/>
          <w:cols w:space="425" w:num="1"/>
          <w:docGrid w:type="lines" w:linePitch="312" w:charSpace="0"/>
        </w:sectPr>
      </w:pPr>
    </w:p>
    <w:p>
      <w:pPr>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0" w:leftChars="0" w:right="0" w:rightChars="0" w:firstLine="0" w:firstLineChars="0"/>
        <w:jc w:val="center"/>
        <w:textAlignment w:val="auto"/>
        <w:outlineLvl w:val="9"/>
      </w:pPr>
      <w:bookmarkStart w:id="15" w:name="_Toc129520573"/>
      <w:bookmarkStart w:id="16" w:name="_Toc130196661"/>
      <w:bookmarkStart w:id="17" w:name="_Toc130196802"/>
      <w:bookmarkStart w:id="18" w:name="_Toc128670556"/>
      <w:bookmarkStart w:id="19" w:name="_Toc129520714"/>
      <w:bookmarkStart w:id="20" w:name="_Toc151629974"/>
      <w:r>
        <w:rPr>
          <w:b/>
          <w:bCs/>
          <w:color w:val="000000" w:themeColor="text1"/>
          <w:sz w:val="32"/>
          <w:szCs w:val="24"/>
          <w14:textFill>
            <w14:solidFill>
              <w14:schemeClr w14:val="tx1"/>
            </w14:solidFill>
          </w14:textFill>
        </w:rPr>
        <w:t>目</w:t>
      </w:r>
      <w:r>
        <w:rPr>
          <w:rFonts w:hint="eastAsia"/>
          <w:b/>
          <w:bCs/>
          <w:color w:val="000000" w:themeColor="text1"/>
          <w:sz w:val="32"/>
          <w:szCs w:val="24"/>
          <w14:textFill>
            <w14:solidFill>
              <w14:schemeClr w14:val="tx1"/>
            </w14:solidFill>
          </w14:textFill>
        </w:rPr>
        <w:t xml:space="preserve"> </w:t>
      </w:r>
      <w:r>
        <w:rPr>
          <w:b/>
          <w:bCs/>
          <w:color w:val="000000" w:themeColor="text1"/>
          <w:sz w:val="32"/>
          <w:szCs w:val="24"/>
          <w14:textFill>
            <w14:solidFill>
              <w14:schemeClr w14:val="tx1"/>
            </w14:solidFill>
          </w14:textFill>
        </w:rPr>
        <w:t xml:space="preserve"> 录</w:t>
      </w:r>
      <w:bookmarkEnd w:id="15"/>
      <w:bookmarkEnd w:id="16"/>
      <w:bookmarkEnd w:id="17"/>
      <w:bookmarkEnd w:id="18"/>
      <w:bookmarkEnd w:id="19"/>
      <w:bookmarkEnd w:id="20"/>
    </w:p>
    <w:sdt>
      <w:sdtPr>
        <w:rPr>
          <w:rFonts w:ascii="宋体" w:hAnsi="宋体" w:eastAsia="宋体" w:cs="Times New Roman"/>
          <w:kern w:val="2"/>
          <w:sz w:val="21"/>
          <w:szCs w:val="22"/>
          <w:lang w:val="en-US" w:eastAsia="zh-CN" w:bidi="ar-SA"/>
        </w:rPr>
        <w:id w:val="147454508"/>
        <w15:color w:val="DBDBDB"/>
        <w:docPartObj>
          <w:docPartGallery w:val="Table of Contents"/>
          <w:docPartUnique/>
        </w:docPartObj>
      </w:sdtPr>
      <w:sdtEndPr>
        <w:rPr>
          <w:rFonts w:eastAsia="宋体" w:asciiTheme="minorAscii" w:hAnsiTheme="minorAscii" w:cstheme="minorHAnsi"/>
          <w:b w:val="0"/>
          <w:bCs/>
          <w:i w:val="0"/>
          <w:caps/>
          <w:color w:val="000000" w:themeColor="text1"/>
          <w:kern w:val="2"/>
          <w:sz w:val="24"/>
          <w:szCs w:val="24"/>
          <w:lang w:val="en-US" w:eastAsia="zh-CN" w:bidi="ar-SA"/>
          <w14:textFill>
            <w14:solidFill>
              <w14:schemeClr w14:val="tx1"/>
            </w14:solidFill>
          </w14:textFill>
        </w:rPr>
      </w:sdtEndPr>
      <w:sdtContent>
        <w:p>
          <w:pPr>
            <w:keepNext/>
            <w:keepLines/>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outlineLvl w:val="9"/>
            <w:rPr>
              <w:rFonts w:ascii="Times New Roman" w:hAnsi="Times New Roman" w:eastAsia="宋体" w:cs="Times New Roman"/>
              <w:color w:val="000000" w:themeColor="text1"/>
              <w:kern w:val="2"/>
              <w:sz w:val="28"/>
              <w:szCs w:val="24"/>
              <w:lang w:val="en-US" w:eastAsia="zh-CN" w:bidi="ar-SA"/>
              <w14:textFill>
                <w14:solidFill>
                  <w14:schemeClr w14:val="tx1"/>
                </w14:solidFill>
              </w14:textFill>
            </w:rPr>
          </w:pPr>
          <w:r>
            <w:rPr>
              <w:b w:val="0"/>
              <w:color w:val="000000" w:themeColor="text1"/>
              <w:sz w:val="24"/>
              <w:szCs w:val="24"/>
              <w14:textFill>
                <w14:solidFill>
                  <w14:schemeClr w14:val="tx1"/>
                </w14:solidFill>
              </w14:textFill>
            </w:rPr>
            <w:fldChar w:fldCharType="begin"/>
          </w:r>
          <w:r>
            <w:rPr>
              <w:b w:val="0"/>
              <w:color w:val="000000" w:themeColor="text1"/>
              <w:sz w:val="24"/>
              <w:szCs w:val="24"/>
              <w14:textFill>
                <w14:solidFill>
                  <w14:schemeClr w14:val="tx1"/>
                </w14:solidFill>
              </w14:textFill>
            </w:rPr>
            <w:instrText xml:space="preserve">TOC \o "1-3" \h \u </w:instrText>
          </w:r>
          <w:r>
            <w:rPr>
              <w:b w:val="0"/>
              <w:color w:val="000000" w:themeColor="text1"/>
              <w:sz w:val="24"/>
              <w:szCs w:val="24"/>
              <w14:textFill>
                <w14:solidFill>
                  <w14:schemeClr w14:val="tx1"/>
                </w14:solidFill>
              </w14:textFill>
            </w:rPr>
            <w:fldChar w:fldCharType="separate"/>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_Toc6188 </w:instrText>
          </w:r>
          <w:r>
            <w:rPr>
              <w:szCs w:val="24"/>
            </w:rPr>
            <w:fldChar w:fldCharType="separate"/>
          </w:r>
          <w:r>
            <w:rPr>
              <w:rFonts w:hint="default" w:ascii="Times New Roman" w:hAnsi="Times New Roman" w:eastAsia="黑体"/>
              <w:i w:val="0"/>
            </w:rPr>
            <w:t xml:space="preserve">第1章 </w:t>
          </w:r>
          <w:r>
            <w:t>编制说明</w:t>
          </w:r>
          <w:r>
            <w:tab/>
          </w:r>
          <w:r>
            <w:fldChar w:fldCharType="begin"/>
          </w:r>
          <w:r>
            <w:instrText xml:space="preserve"> PAGEREF _Toc6188 \h </w:instrText>
          </w:r>
          <w:r>
            <w:fldChar w:fldCharType="separate"/>
          </w:r>
          <w:r>
            <w:t>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_Toc25000 </w:instrText>
          </w:r>
          <w:r>
            <w:rPr>
              <w:szCs w:val="24"/>
            </w:rPr>
            <w:fldChar w:fldCharType="separate"/>
          </w:r>
          <w:r>
            <w:rPr>
              <w:rFonts w:hint="default" w:ascii="Times New Roman" w:hAnsi="Times New Roman" w:eastAsia="黑体"/>
              <w:i w:val="0"/>
            </w:rPr>
            <w:t xml:space="preserve">1.1 </w:t>
          </w:r>
          <w:r>
            <w:t>评价目的</w:t>
          </w:r>
          <w:r>
            <w:tab/>
          </w:r>
          <w:r>
            <w:fldChar w:fldCharType="begin"/>
          </w:r>
          <w:r>
            <w:instrText xml:space="preserve"> PAGEREF _Toc25000 \h </w:instrText>
          </w:r>
          <w:r>
            <w:fldChar w:fldCharType="separate"/>
          </w:r>
          <w:r>
            <w:t>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_Toc23768 </w:instrText>
          </w:r>
          <w:r>
            <w:rPr>
              <w:szCs w:val="24"/>
            </w:rPr>
            <w:fldChar w:fldCharType="separate"/>
          </w:r>
          <w:r>
            <w:rPr>
              <w:rFonts w:hint="default" w:ascii="Times New Roman" w:hAnsi="Times New Roman" w:eastAsia="黑体"/>
              <w:i w:val="0"/>
              <w:snapToGrid w:val="0"/>
            </w:rPr>
            <w:t xml:space="preserve">1.2 </w:t>
          </w:r>
          <w:r>
            <w:rPr>
              <w:snapToGrid w:val="0"/>
            </w:rPr>
            <w:t>评价依据</w:t>
          </w:r>
          <w:r>
            <w:tab/>
          </w:r>
          <w:r>
            <w:fldChar w:fldCharType="begin"/>
          </w:r>
          <w:r>
            <w:instrText xml:space="preserve"> PAGEREF _Toc23768 \h </w:instrText>
          </w:r>
          <w:r>
            <w:fldChar w:fldCharType="separate"/>
          </w:r>
          <w:r>
            <w:t>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_Toc2380 </w:instrText>
          </w:r>
          <w:r>
            <w:rPr>
              <w:szCs w:val="24"/>
            </w:rPr>
            <w:fldChar w:fldCharType="separate"/>
          </w:r>
          <w:r>
            <w:rPr>
              <w:rFonts w:hint="default" w:ascii="Times New Roman" w:hAnsi="Times New Roman" w:eastAsia="黑体"/>
              <w:i w:val="0"/>
            </w:rPr>
            <w:t xml:space="preserve">1.2.1 </w:t>
          </w:r>
          <w:r>
            <w:t>国家法律</w:t>
          </w:r>
          <w:r>
            <w:tab/>
          </w:r>
          <w:r>
            <w:fldChar w:fldCharType="begin"/>
          </w:r>
          <w:r>
            <w:instrText xml:space="preserve"> PAGEREF _Toc2380 \h </w:instrText>
          </w:r>
          <w:r>
            <w:fldChar w:fldCharType="separate"/>
          </w:r>
          <w:r>
            <w:t>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_Toc31513 </w:instrText>
          </w:r>
          <w:r>
            <w:rPr>
              <w:szCs w:val="24"/>
            </w:rPr>
            <w:fldChar w:fldCharType="separate"/>
          </w:r>
          <w:r>
            <w:rPr>
              <w:rFonts w:hint="default" w:ascii="Times New Roman" w:hAnsi="Times New Roman" w:eastAsia="黑体"/>
              <w:i w:val="0"/>
            </w:rPr>
            <w:t xml:space="preserve">1.2.2 </w:t>
          </w:r>
          <w:r>
            <w:t>行政法规</w:t>
          </w:r>
          <w:r>
            <w:tab/>
          </w:r>
          <w:r>
            <w:fldChar w:fldCharType="begin"/>
          </w:r>
          <w:r>
            <w:instrText xml:space="preserve"> PAGEREF _Toc31513 \h </w:instrText>
          </w:r>
          <w:r>
            <w:fldChar w:fldCharType="separate"/>
          </w:r>
          <w:r>
            <w:t>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_Toc3239 </w:instrText>
          </w:r>
          <w:r>
            <w:rPr>
              <w:szCs w:val="24"/>
            </w:rPr>
            <w:fldChar w:fldCharType="separate"/>
          </w:r>
          <w:r>
            <w:rPr>
              <w:rFonts w:hint="default" w:ascii="Times New Roman" w:hAnsi="Times New Roman" w:eastAsia="黑体"/>
              <w:i w:val="0"/>
            </w:rPr>
            <w:t xml:space="preserve">1.2.3 </w:t>
          </w:r>
          <w:r>
            <w:rPr>
              <w:rFonts w:hint="eastAsia"/>
            </w:rPr>
            <w:t>部门规章及规范性文件</w:t>
          </w:r>
          <w:r>
            <w:tab/>
          </w:r>
          <w:r>
            <w:fldChar w:fldCharType="begin"/>
          </w:r>
          <w:r>
            <w:instrText xml:space="preserve"> PAGEREF _Toc3239 \h </w:instrText>
          </w:r>
          <w:r>
            <w:fldChar w:fldCharType="separate"/>
          </w:r>
          <w:r>
            <w:t>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_Toc32200 </w:instrText>
          </w:r>
          <w:r>
            <w:rPr>
              <w:szCs w:val="24"/>
            </w:rPr>
            <w:fldChar w:fldCharType="separate"/>
          </w:r>
          <w:r>
            <w:rPr>
              <w:rFonts w:hint="default" w:ascii="Times New Roman" w:hAnsi="Times New Roman" w:eastAsia="黑体"/>
              <w:i w:val="0"/>
            </w:rPr>
            <w:t xml:space="preserve">1.2.4 </w:t>
          </w:r>
          <w:r>
            <w:rPr>
              <w:rFonts w:hint="eastAsia"/>
            </w:rPr>
            <w:t>地方</w:t>
          </w:r>
          <w:r>
            <w:t>有关法规</w:t>
          </w:r>
          <w:r>
            <w:rPr>
              <w:rFonts w:hint="eastAsia"/>
            </w:rPr>
            <w:t>及规范性文件</w:t>
          </w:r>
          <w:r>
            <w:tab/>
          </w:r>
          <w:r>
            <w:fldChar w:fldCharType="begin"/>
          </w:r>
          <w:r>
            <w:instrText xml:space="preserve"> PAGEREF _Toc32200 \h </w:instrText>
          </w:r>
          <w:r>
            <w:fldChar w:fldCharType="separate"/>
          </w:r>
          <w:r>
            <w:t>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_Toc26868 </w:instrText>
          </w:r>
          <w:r>
            <w:rPr>
              <w:szCs w:val="24"/>
            </w:rPr>
            <w:fldChar w:fldCharType="separate"/>
          </w:r>
          <w:r>
            <w:rPr>
              <w:rFonts w:hint="default" w:ascii="Times New Roman" w:hAnsi="Times New Roman" w:eastAsia="黑体"/>
              <w:i w:val="0"/>
            </w:rPr>
            <w:t xml:space="preserve">1.2.5 </w:t>
          </w:r>
          <w:r>
            <w:rPr>
              <w:rFonts w:hint="eastAsia"/>
            </w:rPr>
            <w:t>国家标准</w:t>
          </w:r>
          <w:r>
            <w:tab/>
          </w:r>
          <w:r>
            <w:fldChar w:fldCharType="begin"/>
          </w:r>
          <w:r>
            <w:instrText xml:space="preserve"> PAGEREF _Toc26868 \h </w:instrText>
          </w:r>
          <w:r>
            <w:fldChar w:fldCharType="separate"/>
          </w:r>
          <w:r>
            <w:t>7</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_Toc7158 </w:instrText>
          </w:r>
          <w:r>
            <w:rPr>
              <w:szCs w:val="24"/>
            </w:rPr>
            <w:fldChar w:fldCharType="separate"/>
          </w:r>
          <w:r>
            <w:rPr>
              <w:rFonts w:hint="default" w:ascii="Times New Roman" w:hAnsi="Times New Roman" w:eastAsia="黑体"/>
              <w:i w:val="0"/>
            </w:rPr>
            <w:t xml:space="preserve">1.2.6 </w:t>
          </w:r>
          <w:r>
            <w:rPr>
              <w:rFonts w:hint="eastAsia"/>
            </w:rPr>
            <w:t>行业标准</w:t>
          </w:r>
          <w:r>
            <w:tab/>
          </w:r>
          <w:r>
            <w:fldChar w:fldCharType="begin"/>
          </w:r>
          <w:r>
            <w:instrText xml:space="preserve"> PAGEREF _Toc7158 \h </w:instrText>
          </w:r>
          <w:r>
            <w:fldChar w:fldCharType="separate"/>
          </w:r>
          <w:r>
            <w:t>10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_Toc21713 </w:instrText>
          </w:r>
          <w:r>
            <w:rPr>
              <w:szCs w:val="24"/>
            </w:rPr>
            <w:fldChar w:fldCharType="separate"/>
          </w:r>
          <w:r>
            <w:rPr>
              <w:rFonts w:hint="default" w:ascii="Times New Roman" w:hAnsi="Times New Roman" w:eastAsia="黑体"/>
              <w:i w:val="0"/>
            </w:rPr>
            <w:t xml:space="preserve">1.2.7 </w:t>
          </w:r>
          <w:r>
            <w:t>其他文件、参考资料</w:t>
          </w:r>
          <w:r>
            <w:tab/>
          </w:r>
          <w:r>
            <w:fldChar w:fldCharType="begin"/>
          </w:r>
          <w:r>
            <w:instrText xml:space="preserve"> PAGEREF _Toc21713 \h </w:instrText>
          </w:r>
          <w:r>
            <w:fldChar w:fldCharType="separate"/>
          </w:r>
          <w:r>
            <w:t>10</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_Toc26189 </w:instrText>
          </w:r>
          <w:r>
            <w:rPr>
              <w:szCs w:val="24"/>
            </w:rPr>
            <w:fldChar w:fldCharType="separate"/>
          </w:r>
          <w:r>
            <w:rPr>
              <w:rFonts w:hint="default" w:ascii="Times New Roman" w:hAnsi="Times New Roman" w:eastAsia="黑体"/>
              <w:i w:val="0"/>
              <w:snapToGrid w:val="0"/>
            </w:rPr>
            <w:t xml:space="preserve">1.3 </w:t>
          </w:r>
          <w:r>
            <w:rPr>
              <w:snapToGrid w:val="0"/>
            </w:rPr>
            <w:t>评价原则</w:t>
          </w:r>
          <w:r>
            <w:tab/>
          </w:r>
          <w:r>
            <w:fldChar w:fldCharType="begin"/>
          </w:r>
          <w:r>
            <w:instrText xml:space="preserve"> PAGEREF _Toc26189 \h </w:instrText>
          </w:r>
          <w:r>
            <w:fldChar w:fldCharType="separate"/>
          </w:r>
          <w:r>
            <w:t>10</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_Toc10399 </w:instrText>
          </w:r>
          <w:r>
            <w:rPr>
              <w:szCs w:val="24"/>
            </w:rPr>
            <w:fldChar w:fldCharType="separate"/>
          </w:r>
          <w:r>
            <w:rPr>
              <w:rFonts w:hint="default" w:ascii="Times New Roman" w:hAnsi="Times New Roman" w:eastAsia="黑体"/>
              <w:i w:val="0"/>
              <w:snapToGrid w:val="0"/>
            </w:rPr>
            <w:t xml:space="preserve">1.4 </w:t>
          </w:r>
          <w:r>
            <w:rPr>
              <w:snapToGrid w:val="0"/>
            </w:rPr>
            <w:t>评价范围</w:t>
          </w:r>
          <w:r>
            <w:tab/>
          </w:r>
          <w:r>
            <w:fldChar w:fldCharType="begin"/>
          </w:r>
          <w:r>
            <w:instrText xml:space="preserve"> PAGEREF _Toc10399 \h </w:instrText>
          </w:r>
          <w:r>
            <w:fldChar w:fldCharType="separate"/>
          </w:r>
          <w:r>
            <w:t>11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_Toc15495 </w:instrText>
          </w:r>
          <w:r>
            <w:rPr>
              <w:szCs w:val="24"/>
            </w:rPr>
            <w:fldChar w:fldCharType="separate"/>
          </w:r>
          <w:r>
            <w:rPr>
              <w:rFonts w:hint="default" w:ascii="Times New Roman" w:hAnsi="Times New Roman" w:eastAsia="黑体"/>
              <w:i w:val="0"/>
              <w:snapToGrid w:val="0"/>
            </w:rPr>
            <w:t xml:space="preserve">1.5 </w:t>
          </w:r>
          <w:r>
            <w:rPr>
              <w:snapToGrid w:val="0"/>
            </w:rPr>
            <w:t>评价程序</w:t>
          </w:r>
          <w:r>
            <w:tab/>
          </w:r>
          <w:r>
            <w:fldChar w:fldCharType="begin"/>
          </w:r>
          <w:r>
            <w:instrText xml:space="preserve"> PAGEREF _Toc15495 \h </w:instrText>
          </w:r>
          <w:r>
            <w:fldChar w:fldCharType="separate"/>
          </w:r>
          <w:r>
            <w:t>11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_Toc29350 </w:instrText>
          </w:r>
          <w:r>
            <w:rPr>
              <w:szCs w:val="24"/>
            </w:rPr>
            <w:fldChar w:fldCharType="separate"/>
          </w:r>
          <w:r>
            <w:rPr>
              <w:rFonts w:hint="default" w:ascii="Times New Roman" w:hAnsi="Times New Roman" w:eastAsia="黑体"/>
              <w:i w:val="0"/>
              <w:snapToGrid w:val="0"/>
            </w:rPr>
            <w:t xml:space="preserve">1.6 </w:t>
          </w:r>
          <w:r>
            <w:rPr>
              <w:snapToGrid w:val="0"/>
            </w:rPr>
            <w:t>评价基准日</w:t>
          </w:r>
          <w:r>
            <w:tab/>
          </w:r>
          <w:r>
            <w:fldChar w:fldCharType="begin"/>
          </w:r>
          <w:r>
            <w:instrText xml:space="preserve"> PAGEREF _Toc29350 \h </w:instrText>
          </w:r>
          <w:r>
            <w:fldChar w:fldCharType="separate"/>
          </w:r>
          <w:r>
            <w:t>12</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_Toc13174 </w:instrText>
          </w:r>
          <w:r>
            <w:rPr>
              <w:szCs w:val="24"/>
            </w:rPr>
            <w:fldChar w:fldCharType="separate"/>
          </w:r>
          <w:r>
            <w:rPr>
              <w:rFonts w:hint="default" w:ascii="Times New Roman" w:hAnsi="Times New Roman" w:eastAsia="黑体"/>
              <w:i w:val="0"/>
              <w:snapToGrid w:val="0"/>
            </w:rPr>
            <w:t xml:space="preserve">1.7 </w:t>
          </w:r>
          <w:r>
            <w:rPr>
              <w:snapToGrid w:val="0"/>
            </w:rPr>
            <w:t>评价报告使用权声明</w:t>
          </w:r>
          <w:r>
            <w:tab/>
          </w:r>
          <w:r>
            <w:fldChar w:fldCharType="begin"/>
          </w:r>
          <w:r>
            <w:instrText xml:space="preserve"> PAGEREF _Toc13174 \h </w:instrText>
          </w:r>
          <w:r>
            <w:fldChar w:fldCharType="separate"/>
          </w:r>
          <w:r>
            <w:t>12</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_Toc23921 </w:instrText>
          </w:r>
          <w:r>
            <w:rPr>
              <w:szCs w:val="24"/>
            </w:rPr>
            <w:fldChar w:fldCharType="separate"/>
          </w:r>
          <w:r>
            <w:rPr>
              <w:rFonts w:hint="default" w:ascii="Times New Roman" w:hAnsi="Times New Roman" w:eastAsia="黑体"/>
              <w:i w:val="0"/>
            </w:rPr>
            <w:t xml:space="preserve">第2章 </w:t>
          </w:r>
          <w:r>
            <w:t>项目概况</w:t>
          </w:r>
          <w:r>
            <w:tab/>
          </w:r>
          <w:r>
            <w:fldChar w:fldCharType="begin"/>
          </w:r>
          <w:r>
            <w:instrText xml:space="preserve"> PAGEREF _Toc23921 \h </w:instrText>
          </w:r>
          <w:r>
            <w:fldChar w:fldCharType="separate"/>
          </w:r>
          <w:r>
            <w:t>13</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_Toc6258 </w:instrText>
          </w:r>
          <w:r>
            <w:rPr>
              <w:szCs w:val="24"/>
            </w:rPr>
            <w:fldChar w:fldCharType="separate"/>
          </w:r>
          <w:r>
            <w:rPr>
              <w:rFonts w:hint="default" w:ascii="Times New Roman" w:hAnsi="Times New Roman" w:eastAsia="黑体"/>
              <w:i w:val="0"/>
              <w:snapToGrid w:val="0"/>
            </w:rPr>
            <w:t xml:space="preserve">2.1 </w:t>
          </w:r>
          <w:r>
            <w:rPr>
              <w:snapToGrid w:val="0"/>
            </w:rPr>
            <w:t>企业概况</w:t>
          </w:r>
          <w:r>
            <w:tab/>
          </w:r>
          <w:r>
            <w:fldChar w:fldCharType="begin"/>
          </w:r>
          <w:r>
            <w:instrText xml:space="preserve"> PAGEREF _Toc6258 \h </w:instrText>
          </w:r>
          <w:r>
            <w:fldChar w:fldCharType="separate"/>
          </w:r>
          <w:r>
            <w:t>13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_Toc518 </w:instrText>
          </w:r>
          <w:r>
            <w:rPr>
              <w:szCs w:val="24"/>
            </w:rPr>
            <w:fldChar w:fldCharType="separate"/>
          </w:r>
          <w:r>
            <w:rPr>
              <w:rFonts w:hint="default" w:ascii="Times New Roman" w:hAnsi="Times New Roman" w:eastAsia="黑体"/>
              <w:i w:val="0"/>
            </w:rPr>
            <w:t xml:space="preserve">2.1.1 </w:t>
          </w:r>
          <w:r>
            <w:rPr>
              <w:rFonts w:hint="eastAsia"/>
            </w:rPr>
            <w:t>企业简介</w:t>
          </w:r>
          <w:r>
            <w:tab/>
          </w:r>
          <w:r>
            <w:fldChar w:fldCharType="begin"/>
          </w:r>
          <w:r>
            <w:instrText xml:space="preserve"> PAGEREF _Toc518 \h </w:instrText>
          </w:r>
          <w:r>
            <w:fldChar w:fldCharType="separate"/>
          </w:r>
          <w:r>
            <w:t>13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_Toc25907 </w:instrText>
          </w:r>
          <w:r>
            <w:rPr>
              <w:szCs w:val="24"/>
            </w:rPr>
            <w:fldChar w:fldCharType="separate"/>
          </w:r>
          <w:r>
            <w:rPr>
              <w:rFonts w:hint="default" w:ascii="Times New Roman" w:hAnsi="Times New Roman" w:eastAsia="黑体"/>
              <w:i w:val="0"/>
            </w:rPr>
            <w:t xml:space="preserve">2.1.2 </w:t>
          </w:r>
          <w:r>
            <w:t>交通条件</w:t>
          </w:r>
          <w:r>
            <w:tab/>
          </w:r>
          <w:r>
            <w:fldChar w:fldCharType="begin"/>
          </w:r>
          <w:r>
            <w:instrText xml:space="preserve"> PAGEREF _Toc25907 \h </w:instrText>
          </w:r>
          <w:r>
            <w:fldChar w:fldCharType="separate"/>
          </w:r>
          <w:r>
            <w:t>13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_Toc19685 </w:instrText>
          </w:r>
          <w:r>
            <w:rPr>
              <w:szCs w:val="24"/>
            </w:rPr>
            <w:fldChar w:fldCharType="separate"/>
          </w:r>
          <w:r>
            <w:rPr>
              <w:rFonts w:hint="default" w:ascii="Times New Roman" w:hAnsi="Times New Roman" w:eastAsia="黑体"/>
              <w:i w:val="0"/>
            </w:rPr>
            <w:t xml:space="preserve">2.1.3 </w:t>
          </w:r>
          <w:r>
            <w:t>周边情况</w:t>
          </w:r>
          <w:r>
            <w:tab/>
          </w:r>
          <w:r>
            <w:fldChar w:fldCharType="begin"/>
          </w:r>
          <w:r>
            <w:instrText xml:space="preserve"> PAGEREF _Toc19685 \h </w:instrText>
          </w:r>
          <w:r>
            <w:fldChar w:fldCharType="separate"/>
          </w:r>
          <w:r>
            <w:t>14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_Toc20305 </w:instrText>
          </w:r>
          <w:r>
            <w:rPr>
              <w:szCs w:val="24"/>
            </w:rPr>
            <w:fldChar w:fldCharType="separate"/>
          </w:r>
          <w:r>
            <w:rPr>
              <w:rFonts w:hint="default" w:ascii="Times New Roman" w:hAnsi="Times New Roman" w:eastAsia="黑体"/>
              <w:i w:val="0"/>
            </w:rPr>
            <w:t xml:space="preserve">2.1.4 </w:t>
          </w:r>
          <w:r>
            <w:rPr>
              <w:rFonts w:hint="eastAsia"/>
            </w:rPr>
            <w:t>气象条件</w:t>
          </w:r>
          <w:r>
            <w:tab/>
          </w:r>
          <w:r>
            <w:fldChar w:fldCharType="begin"/>
          </w:r>
          <w:r>
            <w:instrText xml:space="preserve"> PAGEREF _Toc20305 \h </w:instrText>
          </w:r>
          <w:r>
            <w:fldChar w:fldCharType="separate"/>
          </w:r>
          <w:r>
            <w:t>15</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_Toc5107 </w:instrText>
          </w:r>
          <w:r>
            <w:rPr>
              <w:szCs w:val="24"/>
            </w:rPr>
            <w:fldChar w:fldCharType="separate"/>
          </w:r>
          <w:r>
            <w:rPr>
              <w:rFonts w:hint="default" w:ascii="Times New Roman" w:hAnsi="Times New Roman" w:eastAsia="黑体"/>
              <w:i w:val="0"/>
            </w:rPr>
            <w:t xml:space="preserve">2.1.5 </w:t>
          </w:r>
          <w:r>
            <w:rPr>
              <w:rFonts w:hint="eastAsia"/>
            </w:rPr>
            <w:t>地质、地震</w:t>
          </w:r>
          <w:r>
            <w:tab/>
          </w:r>
          <w:r>
            <w:fldChar w:fldCharType="begin"/>
          </w:r>
          <w:r>
            <w:instrText xml:space="preserve"> PAGEREF _Toc5107 \h </w:instrText>
          </w:r>
          <w:r>
            <w:fldChar w:fldCharType="separate"/>
          </w:r>
          <w:r>
            <w:t>16</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_Toc14604 </w:instrText>
          </w:r>
          <w:r>
            <w:rPr>
              <w:szCs w:val="24"/>
            </w:rPr>
            <w:fldChar w:fldCharType="separate"/>
          </w:r>
          <w:r>
            <w:rPr>
              <w:rFonts w:hint="default" w:ascii="Times New Roman" w:hAnsi="Times New Roman" w:eastAsia="黑体"/>
              <w:i w:val="0"/>
              <w:snapToGrid w:val="0"/>
            </w:rPr>
            <w:t xml:space="preserve">2.2 </w:t>
          </w:r>
          <w:r>
            <w:rPr>
              <w:snapToGrid w:val="0"/>
            </w:rPr>
            <w:t>总图</w:t>
          </w:r>
          <w:r>
            <w:rPr>
              <w:rFonts w:hint="eastAsia"/>
              <w:snapToGrid w:val="0"/>
            </w:rPr>
            <w:t>布置及</w:t>
          </w:r>
          <w:r>
            <w:rPr>
              <w:snapToGrid w:val="0"/>
            </w:rPr>
            <w:t>运输</w:t>
          </w:r>
          <w:r>
            <w:tab/>
          </w:r>
          <w:r>
            <w:fldChar w:fldCharType="begin"/>
          </w:r>
          <w:r>
            <w:instrText xml:space="preserve"> PAGEREF _Toc14604 \h </w:instrText>
          </w:r>
          <w:r>
            <w:fldChar w:fldCharType="separate"/>
          </w:r>
          <w:r>
            <w:t>17</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_Toc11447 </w:instrText>
          </w:r>
          <w:r>
            <w:rPr>
              <w:szCs w:val="24"/>
            </w:rPr>
            <w:fldChar w:fldCharType="separate"/>
          </w:r>
          <w:r>
            <w:rPr>
              <w:rFonts w:hint="default" w:ascii="Times New Roman" w:hAnsi="Times New Roman" w:eastAsia="黑体"/>
              <w:i w:val="0"/>
            </w:rPr>
            <w:t xml:space="preserve">2.2.1 </w:t>
          </w:r>
          <w:r>
            <w:t>竖向布置</w:t>
          </w:r>
          <w:r>
            <w:rPr>
              <w:rFonts w:hint="eastAsia"/>
            </w:rPr>
            <w:t>及运输</w:t>
          </w:r>
          <w:r>
            <w:tab/>
          </w:r>
          <w:r>
            <w:fldChar w:fldCharType="begin"/>
          </w:r>
          <w:r>
            <w:instrText xml:space="preserve"> PAGEREF _Toc11447 \h </w:instrText>
          </w:r>
          <w:r>
            <w:fldChar w:fldCharType="separate"/>
          </w:r>
          <w:r>
            <w:t>18</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_Toc13574 </w:instrText>
          </w:r>
          <w:r>
            <w:rPr>
              <w:szCs w:val="24"/>
            </w:rPr>
            <w:fldChar w:fldCharType="separate"/>
          </w:r>
          <w:r>
            <w:rPr>
              <w:rFonts w:hint="default" w:ascii="Times New Roman" w:hAnsi="Times New Roman" w:eastAsia="黑体"/>
              <w:i w:val="0"/>
              <w:snapToGrid w:val="0"/>
            </w:rPr>
            <w:t xml:space="preserve">2.3 </w:t>
          </w:r>
          <w:r>
            <w:rPr>
              <w:rFonts w:hint="eastAsia"/>
              <w:snapToGrid w:val="0"/>
            </w:rPr>
            <w:t>主要生产工艺</w:t>
          </w:r>
          <w:r>
            <w:tab/>
          </w:r>
          <w:r>
            <w:fldChar w:fldCharType="begin"/>
          </w:r>
          <w:r>
            <w:instrText xml:space="preserve"> PAGEREF _Toc13574 \h </w:instrText>
          </w:r>
          <w:r>
            <w:fldChar w:fldCharType="separate"/>
          </w:r>
          <w:r>
            <w:t>19</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_Toc3480 </w:instrText>
          </w:r>
          <w:r>
            <w:rPr>
              <w:szCs w:val="24"/>
            </w:rPr>
            <w:fldChar w:fldCharType="separate"/>
          </w:r>
          <w:r>
            <w:rPr>
              <w:rFonts w:hint="default" w:ascii="Times New Roman" w:hAnsi="Times New Roman" w:eastAsia="黑体"/>
              <w:i w:val="0"/>
            </w:rPr>
            <w:t xml:space="preserve">2.3.1 </w:t>
          </w:r>
          <w:r>
            <w:rPr>
              <w:rFonts w:hint="eastAsia"/>
            </w:rPr>
            <w:t>原、辅料及产品</w:t>
          </w:r>
          <w:r>
            <w:tab/>
          </w:r>
          <w:r>
            <w:fldChar w:fldCharType="begin"/>
          </w:r>
          <w:r>
            <w:instrText xml:space="preserve"> PAGEREF _Toc3480 \h </w:instrText>
          </w:r>
          <w:r>
            <w:fldChar w:fldCharType="separate"/>
          </w:r>
          <w:r>
            <w:t>19</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_Toc7442 </w:instrText>
          </w:r>
          <w:r>
            <w:rPr>
              <w:szCs w:val="24"/>
            </w:rPr>
            <w:fldChar w:fldCharType="separate"/>
          </w:r>
          <w:r>
            <w:rPr>
              <w:rFonts w:hint="default" w:ascii="Times New Roman" w:hAnsi="Times New Roman" w:eastAsia="黑体"/>
              <w:i w:val="0"/>
            </w:rPr>
            <w:t xml:space="preserve">2.3.2 </w:t>
          </w:r>
          <w:r>
            <w:t>主要设备设施</w:t>
          </w:r>
          <w:r>
            <w:tab/>
          </w:r>
          <w:r>
            <w:fldChar w:fldCharType="begin"/>
          </w:r>
          <w:r>
            <w:instrText xml:space="preserve"> PAGEREF _Toc7442 \h </w:instrText>
          </w:r>
          <w:r>
            <w:fldChar w:fldCharType="separate"/>
          </w:r>
          <w:r>
            <w:t>19</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_Toc6657 </w:instrText>
          </w:r>
          <w:r>
            <w:rPr>
              <w:szCs w:val="24"/>
            </w:rPr>
            <w:fldChar w:fldCharType="separate"/>
          </w:r>
          <w:r>
            <w:rPr>
              <w:rFonts w:hint="default" w:ascii="Times New Roman" w:hAnsi="Times New Roman" w:eastAsia="黑体"/>
              <w:i w:val="0"/>
            </w:rPr>
            <w:t xml:space="preserve">2.3.3 </w:t>
          </w:r>
          <w:r>
            <w:rPr>
              <w:rFonts w:hint="eastAsia"/>
            </w:rPr>
            <w:t>生产工艺</w:t>
          </w:r>
          <w:r>
            <w:tab/>
          </w:r>
          <w:r>
            <w:fldChar w:fldCharType="begin"/>
          </w:r>
          <w:r>
            <w:instrText xml:space="preserve"> PAGEREF _Toc6657 \h </w:instrText>
          </w:r>
          <w:r>
            <w:fldChar w:fldCharType="separate"/>
          </w:r>
          <w:r>
            <w:t>20</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_Toc31822 </w:instrText>
          </w:r>
          <w:r>
            <w:rPr>
              <w:szCs w:val="24"/>
            </w:rPr>
            <w:fldChar w:fldCharType="separate"/>
          </w:r>
          <w:r>
            <w:rPr>
              <w:rFonts w:hint="default" w:ascii="Times New Roman" w:hAnsi="Times New Roman" w:eastAsia="黑体"/>
              <w:i w:val="0"/>
              <w:snapToGrid w:val="0"/>
            </w:rPr>
            <w:t xml:space="preserve">2.4 </w:t>
          </w:r>
          <w:r>
            <w:rPr>
              <w:snapToGrid w:val="0"/>
            </w:rPr>
            <w:t>主要建</w:t>
          </w:r>
          <w:r>
            <w:rPr>
              <w:rFonts w:hint="eastAsia"/>
              <w:snapToGrid w:val="0"/>
            </w:rPr>
            <w:t>（</w:t>
          </w:r>
          <w:r>
            <w:rPr>
              <w:snapToGrid w:val="0"/>
            </w:rPr>
            <w:t>构</w:t>
          </w:r>
          <w:r>
            <w:rPr>
              <w:rFonts w:hint="eastAsia"/>
              <w:snapToGrid w:val="0"/>
            </w:rPr>
            <w:t>）</w:t>
          </w:r>
          <w:r>
            <w:rPr>
              <w:snapToGrid w:val="0"/>
            </w:rPr>
            <w:t>筑物</w:t>
          </w:r>
          <w:r>
            <w:tab/>
          </w:r>
          <w:r>
            <w:fldChar w:fldCharType="begin"/>
          </w:r>
          <w:r>
            <w:instrText xml:space="preserve"> PAGEREF _Toc31822 \h </w:instrText>
          </w:r>
          <w:r>
            <w:fldChar w:fldCharType="separate"/>
          </w:r>
          <w:r>
            <w:t>21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_Toc30858 </w:instrText>
          </w:r>
          <w:r>
            <w:rPr>
              <w:szCs w:val="24"/>
            </w:rPr>
            <w:fldChar w:fldCharType="separate"/>
          </w:r>
          <w:r>
            <w:rPr>
              <w:rFonts w:hint="default" w:ascii="Times New Roman" w:hAnsi="Times New Roman" w:eastAsia="黑体"/>
              <w:i w:val="0"/>
              <w:snapToGrid w:val="0"/>
            </w:rPr>
            <w:t xml:space="preserve">2.5 </w:t>
          </w:r>
          <w:r>
            <w:rPr>
              <w:snapToGrid w:val="0"/>
            </w:rPr>
            <w:t>公用工程及辅助设施</w:t>
          </w:r>
          <w:r>
            <w:tab/>
          </w:r>
          <w:r>
            <w:fldChar w:fldCharType="begin"/>
          </w:r>
          <w:r>
            <w:instrText xml:space="preserve"> PAGEREF _Toc30858 \h </w:instrText>
          </w:r>
          <w:r>
            <w:fldChar w:fldCharType="separate"/>
          </w:r>
          <w:r>
            <w:t>22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_Toc20246 </w:instrText>
          </w:r>
          <w:r>
            <w:rPr>
              <w:szCs w:val="24"/>
            </w:rPr>
            <w:fldChar w:fldCharType="separate"/>
          </w:r>
          <w:r>
            <w:rPr>
              <w:rFonts w:hint="default" w:ascii="Times New Roman" w:hAnsi="Times New Roman" w:eastAsia="黑体"/>
              <w:i w:val="0"/>
            </w:rPr>
            <w:t xml:space="preserve">2.5.1 </w:t>
          </w:r>
          <w:r>
            <w:t>供配电</w:t>
          </w:r>
          <w:r>
            <w:tab/>
          </w:r>
          <w:r>
            <w:fldChar w:fldCharType="begin"/>
          </w:r>
          <w:r>
            <w:instrText xml:space="preserve"> PAGEREF _Toc20246 \h </w:instrText>
          </w:r>
          <w:r>
            <w:fldChar w:fldCharType="separate"/>
          </w:r>
          <w:r>
            <w:t>22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_Toc2980 </w:instrText>
          </w:r>
          <w:r>
            <w:rPr>
              <w:szCs w:val="24"/>
            </w:rPr>
            <w:fldChar w:fldCharType="separate"/>
          </w:r>
          <w:r>
            <w:rPr>
              <w:rFonts w:hint="default" w:ascii="Times New Roman" w:hAnsi="Times New Roman" w:eastAsia="黑体"/>
              <w:i w:val="0"/>
            </w:rPr>
            <w:t xml:space="preserve">2.5.2 </w:t>
          </w:r>
          <w:r>
            <w:t>给排水</w:t>
          </w:r>
          <w:r>
            <w:tab/>
          </w:r>
          <w:r>
            <w:fldChar w:fldCharType="begin"/>
          </w:r>
          <w:r>
            <w:instrText xml:space="preserve"> PAGEREF _Toc2980 \h </w:instrText>
          </w:r>
          <w:r>
            <w:fldChar w:fldCharType="separate"/>
          </w:r>
          <w:r>
            <w:t>22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_Toc28570 </w:instrText>
          </w:r>
          <w:r>
            <w:rPr>
              <w:szCs w:val="24"/>
            </w:rPr>
            <w:fldChar w:fldCharType="separate"/>
          </w:r>
          <w:r>
            <w:rPr>
              <w:rFonts w:hint="default" w:ascii="Times New Roman" w:hAnsi="Times New Roman" w:eastAsia="黑体"/>
              <w:i w:val="0"/>
            </w:rPr>
            <w:t xml:space="preserve">2.5.3 </w:t>
          </w:r>
          <w:r>
            <w:rPr>
              <w:rFonts w:hint="eastAsia"/>
            </w:rPr>
            <w:t>消防</w:t>
          </w:r>
          <w:r>
            <w:tab/>
          </w:r>
          <w:r>
            <w:fldChar w:fldCharType="begin"/>
          </w:r>
          <w:r>
            <w:instrText xml:space="preserve"> PAGEREF _Toc28570 \h </w:instrText>
          </w:r>
          <w:r>
            <w:fldChar w:fldCharType="separate"/>
          </w:r>
          <w:r>
            <w:t>23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_Toc10319 </w:instrText>
          </w:r>
          <w:r>
            <w:rPr>
              <w:szCs w:val="24"/>
            </w:rPr>
            <w:fldChar w:fldCharType="separate"/>
          </w:r>
          <w:r>
            <w:rPr>
              <w:rFonts w:hint="default" w:ascii="Times New Roman" w:hAnsi="Times New Roman" w:eastAsia="黑体"/>
              <w:i w:val="0"/>
            </w:rPr>
            <w:t xml:space="preserve">2.5.4 </w:t>
          </w:r>
          <w:r>
            <w:rPr>
              <w:rFonts w:hint="eastAsia"/>
            </w:rPr>
            <w:t>通风采暖</w:t>
          </w:r>
          <w:r>
            <w:tab/>
          </w:r>
          <w:r>
            <w:fldChar w:fldCharType="begin"/>
          </w:r>
          <w:r>
            <w:instrText xml:space="preserve"> PAGEREF _Toc10319 \h </w:instrText>
          </w:r>
          <w:r>
            <w:fldChar w:fldCharType="separate"/>
          </w:r>
          <w:r>
            <w:t>23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_Toc31770 </w:instrText>
          </w:r>
          <w:r>
            <w:rPr>
              <w:szCs w:val="24"/>
            </w:rPr>
            <w:fldChar w:fldCharType="separate"/>
          </w:r>
          <w:r>
            <w:rPr>
              <w:rFonts w:hint="default" w:ascii="Times New Roman" w:hAnsi="Times New Roman" w:eastAsia="黑体"/>
              <w:i w:val="0"/>
            </w:rPr>
            <w:t xml:space="preserve">2.5.5 </w:t>
          </w:r>
          <w:r>
            <w:rPr>
              <w:rFonts w:hint="eastAsia"/>
            </w:rPr>
            <w:t>供气系统</w:t>
          </w:r>
          <w:r>
            <w:tab/>
          </w:r>
          <w:r>
            <w:fldChar w:fldCharType="begin"/>
          </w:r>
          <w:r>
            <w:instrText xml:space="preserve"> PAGEREF _Toc31770 \h </w:instrText>
          </w:r>
          <w:r>
            <w:fldChar w:fldCharType="separate"/>
          </w:r>
          <w:r>
            <w:t>23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_Toc17385 </w:instrText>
          </w:r>
          <w:r>
            <w:rPr>
              <w:szCs w:val="24"/>
            </w:rPr>
            <w:fldChar w:fldCharType="separate"/>
          </w:r>
          <w:r>
            <w:rPr>
              <w:rFonts w:hint="default" w:ascii="Times New Roman" w:hAnsi="Times New Roman" w:eastAsia="黑体"/>
              <w:i w:val="0"/>
            </w:rPr>
            <w:t xml:space="preserve">2.5.6 </w:t>
          </w:r>
          <w:r>
            <w:rPr>
              <w:rFonts w:hint="eastAsia"/>
            </w:rPr>
            <w:t>危险物质储存</w:t>
          </w:r>
          <w:r>
            <w:tab/>
          </w:r>
          <w:r>
            <w:fldChar w:fldCharType="begin"/>
          </w:r>
          <w:r>
            <w:instrText xml:space="preserve"> PAGEREF _Toc17385 \h </w:instrText>
          </w:r>
          <w:r>
            <w:fldChar w:fldCharType="separate"/>
          </w:r>
          <w:r>
            <w:t>24</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_Toc11290 </w:instrText>
          </w:r>
          <w:r>
            <w:rPr>
              <w:szCs w:val="24"/>
            </w:rPr>
            <w:fldChar w:fldCharType="separate"/>
          </w:r>
          <w:r>
            <w:rPr>
              <w:rFonts w:hint="default" w:ascii="Times New Roman" w:hAnsi="Times New Roman" w:eastAsia="黑体"/>
              <w:i w:val="0"/>
              <w:snapToGrid w:val="0"/>
            </w:rPr>
            <w:t xml:space="preserve">2.6 </w:t>
          </w:r>
          <w:r>
            <w:rPr>
              <w:snapToGrid w:val="0"/>
            </w:rPr>
            <w:t>安全防护设施设备</w:t>
          </w:r>
          <w:r>
            <w:tab/>
          </w:r>
          <w:r>
            <w:fldChar w:fldCharType="begin"/>
          </w:r>
          <w:r>
            <w:instrText xml:space="preserve"> PAGEREF _Toc11290 \h </w:instrText>
          </w:r>
          <w:r>
            <w:fldChar w:fldCharType="separate"/>
          </w:r>
          <w:r>
            <w:t>24</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_Toc22813 </w:instrText>
          </w:r>
          <w:r>
            <w:rPr>
              <w:szCs w:val="24"/>
            </w:rPr>
            <w:fldChar w:fldCharType="separate"/>
          </w:r>
          <w:r>
            <w:rPr>
              <w:rFonts w:hint="default" w:ascii="Times New Roman" w:hAnsi="Times New Roman" w:eastAsia="黑体"/>
              <w:i w:val="0"/>
              <w:snapToGrid w:val="0"/>
            </w:rPr>
            <w:t xml:space="preserve">2.7 </w:t>
          </w:r>
          <w:r>
            <w:rPr>
              <w:snapToGrid w:val="0"/>
            </w:rPr>
            <w:t>安全生产管理</w:t>
          </w:r>
          <w:r>
            <w:tab/>
          </w:r>
          <w:r>
            <w:fldChar w:fldCharType="begin"/>
          </w:r>
          <w:r>
            <w:instrText xml:space="preserve"> PAGEREF _Toc22813 \h </w:instrText>
          </w:r>
          <w:r>
            <w:fldChar w:fldCharType="separate"/>
          </w:r>
          <w:r>
            <w:t>24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_Toc29701 </w:instrText>
          </w:r>
          <w:r>
            <w:rPr>
              <w:szCs w:val="24"/>
            </w:rPr>
            <w:fldChar w:fldCharType="separate"/>
          </w:r>
          <w:r>
            <w:rPr>
              <w:rFonts w:hint="default" w:ascii="Times New Roman" w:hAnsi="Times New Roman" w:eastAsia="黑体"/>
              <w:i w:val="0"/>
            </w:rPr>
            <w:t xml:space="preserve">2.7.1 </w:t>
          </w:r>
          <w:r>
            <w:t>安全管理组织机构</w:t>
          </w:r>
          <w:r>
            <w:tab/>
          </w:r>
          <w:r>
            <w:fldChar w:fldCharType="begin"/>
          </w:r>
          <w:r>
            <w:instrText xml:space="preserve"> PAGEREF _Toc29701 \h </w:instrText>
          </w:r>
          <w:r>
            <w:fldChar w:fldCharType="separate"/>
          </w:r>
          <w:r>
            <w:t>24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_Toc1384 </w:instrText>
          </w:r>
          <w:r>
            <w:rPr>
              <w:szCs w:val="24"/>
            </w:rPr>
            <w:fldChar w:fldCharType="separate"/>
          </w:r>
          <w:r>
            <w:rPr>
              <w:rFonts w:hint="default" w:ascii="Times New Roman" w:hAnsi="Times New Roman" w:eastAsia="黑体"/>
              <w:i w:val="0"/>
            </w:rPr>
            <w:t xml:space="preserve">2.7.2 </w:t>
          </w:r>
          <w:r>
            <w:rPr>
              <w:rFonts w:hint="eastAsia"/>
            </w:rPr>
            <w:t>安生产投入</w:t>
          </w:r>
          <w:r>
            <w:tab/>
          </w:r>
          <w:r>
            <w:fldChar w:fldCharType="begin"/>
          </w:r>
          <w:r>
            <w:instrText xml:space="preserve"> PAGEREF _Toc1384 \h </w:instrText>
          </w:r>
          <w:r>
            <w:fldChar w:fldCharType="separate"/>
          </w:r>
          <w:r>
            <w:t>25</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_Toc4890 </w:instrText>
          </w:r>
          <w:r>
            <w:rPr>
              <w:szCs w:val="24"/>
            </w:rPr>
            <w:fldChar w:fldCharType="separate"/>
          </w:r>
          <w:r>
            <w:rPr>
              <w:rFonts w:hint="default" w:ascii="Times New Roman" w:hAnsi="Times New Roman" w:eastAsia="黑体"/>
              <w:i w:val="0"/>
            </w:rPr>
            <w:t xml:space="preserve">2.7.3 </w:t>
          </w:r>
          <w:r>
            <w:rPr>
              <w:rFonts w:hint="eastAsia"/>
            </w:rPr>
            <w:t>管理制度、操作规程</w:t>
          </w:r>
          <w:r>
            <w:tab/>
          </w:r>
          <w:r>
            <w:fldChar w:fldCharType="begin"/>
          </w:r>
          <w:r>
            <w:instrText xml:space="preserve"> PAGEREF _Toc4890 \h </w:instrText>
          </w:r>
          <w:r>
            <w:fldChar w:fldCharType="separate"/>
          </w:r>
          <w:r>
            <w:t>26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_Toc11235 </w:instrText>
          </w:r>
          <w:r>
            <w:rPr>
              <w:szCs w:val="24"/>
            </w:rPr>
            <w:fldChar w:fldCharType="separate"/>
          </w:r>
          <w:r>
            <w:rPr>
              <w:rFonts w:hint="default" w:ascii="Times New Roman" w:hAnsi="Times New Roman" w:eastAsia="黑体"/>
              <w:i w:val="0"/>
            </w:rPr>
            <w:t xml:space="preserve">2.7.4 </w:t>
          </w:r>
          <w:r>
            <w:rPr>
              <w:rFonts w:hint="eastAsia"/>
            </w:rPr>
            <w:t>劳动定员、安全教育培训、人员持证情况</w:t>
          </w:r>
          <w:r>
            <w:tab/>
          </w:r>
          <w:r>
            <w:fldChar w:fldCharType="begin"/>
          </w:r>
          <w:r>
            <w:instrText xml:space="preserve"> PAGEREF _Toc11235 \h </w:instrText>
          </w:r>
          <w:r>
            <w:fldChar w:fldCharType="separate"/>
          </w:r>
          <w:r>
            <w:t>26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_Toc17819 </w:instrText>
          </w:r>
          <w:r>
            <w:rPr>
              <w:szCs w:val="24"/>
            </w:rPr>
            <w:fldChar w:fldCharType="separate"/>
          </w:r>
          <w:r>
            <w:rPr>
              <w:rFonts w:hint="default" w:ascii="Times New Roman" w:hAnsi="Times New Roman" w:eastAsia="黑体"/>
              <w:i w:val="0"/>
            </w:rPr>
            <w:t xml:space="preserve">2.7.5 </w:t>
          </w:r>
          <w:r>
            <w:rPr>
              <w:rFonts w:hint="eastAsia"/>
            </w:rPr>
            <w:t>应急救援</w:t>
          </w:r>
          <w:r>
            <w:tab/>
          </w:r>
          <w:r>
            <w:fldChar w:fldCharType="begin"/>
          </w:r>
          <w:r>
            <w:instrText xml:space="preserve"> PAGEREF _Toc17819 \h </w:instrText>
          </w:r>
          <w:r>
            <w:fldChar w:fldCharType="separate"/>
          </w:r>
          <w:r>
            <w:t>27</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_Toc3881 </w:instrText>
          </w:r>
          <w:r>
            <w:rPr>
              <w:szCs w:val="24"/>
            </w:rPr>
            <w:fldChar w:fldCharType="separate"/>
          </w:r>
          <w:r>
            <w:rPr>
              <w:rFonts w:hint="default" w:ascii="Times New Roman" w:hAnsi="Times New Roman" w:eastAsia="黑体"/>
              <w:i w:val="0"/>
            </w:rPr>
            <w:t xml:space="preserve">2.8 </w:t>
          </w:r>
          <w:r>
            <w:rPr>
              <w:rFonts w:hint="eastAsia"/>
              <w:bCs/>
            </w:rPr>
            <w:t>项目投产以来的安全生产情况</w:t>
          </w:r>
          <w:r>
            <w:tab/>
          </w:r>
          <w:r>
            <w:fldChar w:fldCharType="begin"/>
          </w:r>
          <w:r>
            <w:instrText xml:space="preserve"> PAGEREF _Toc3881 \h </w:instrText>
          </w:r>
          <w:r>
            <w:fldChar w:fldCharType="separate"/>
          </w:r>
          <w:r>
            <w:t>27</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_Toc26001 </w:instrText>
          </w:r>
          <w:r>
            <w:rPr>
              <w:szCs w:val="24"/>
            </w:rPr>
            <w:fldChar w:fldCharType="separate"/>
          </w:r>
          <w:r>
            <w:rPr>
              <w:rFonts w:hint="default" w:ascii="Times New Roman" w:hAnsi="Times New Roman" w:eastAsia="黑体"/>
              <w:i w:val="0"/>
            </w:rPr>
            <w:t xml:space="preserve">第3章 </w:t>
          </w:r>
          <w:r>
            <w:t>主要危险、有害因素识别</w:t>
          </w:r>
          <w:r>
            <w:tab/>
          </w:r>
          <w:r>
            <w:fldChar w:fldCharType="begin"/>
          </w:r>
          <w:r>
            <w:instrText xml:space="preserve"> PAGEREF _Toc26001 \h </w:instrText>
          </w:r>
          <w:r>
            <w:fldChar w:fldCharType="separate"/>
          </w:r>
          <w:r>
            <w:t>29</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_Toc9102 </w:instrText>
          </w:r>
          <w:r>
            <w:rPr>
              <w:szCs w:val="24"/>
            </w:rPr>
            <w:fldChar w:fldCharType="separate"/>
          </w:r>
          <w:r>
            <w:rPr>
              <w:rFonts w:hint="default" w:ascii="Times New Roman" w:hAnsi="Times New Roman" w:eastAsia="黑体"/>
              <w:i w:val="0"/>
              <w:snapToGrid w:val="0"/>
            </w:rPr>
            <w:t xml:space="preserve">3.1 </w:t>
          </w:r>
          <w:r>
            <w:rPr>
              <w:snapToGrid w:val="0"/>
            </w:rPr>
            <w:t>辨识与分析的目的</w:t>
          </w:r>
          <w:r>
            <w:tab/>
          </w:r>
          <w:r>
            <w:fldChar w:fldCharType="begin"/>
          </w:r>
          <w:r>
            <w:instrText xml:space="preserve"> PAGEREF _Toc9102 \h </w:instrText>
          </w:r>
          <w:r>
            <w:fldChar w:fldCharType="separate"/>
          </w:r>
          <w:r>
            <w:t>29</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_Toc22187 </w:instrText>
          </w:r>
          <w:r>
            <w:rPr>
              <w:szCs w:val="24"/>
            </w:rPr>
            <w:fldChar w:fldCharType="separate"/>
          </w:r>
          <w:r>
            <w:rPr>
              <w:rFonts w:hint="default" w:ascii="Times New Roman" w:hAnsi="Times New Roman" w:eastAsia="黑体"/>
              <w:i w:val="0"/>
              <w:snapToGrid w:val="0"/>
            </w:rPr>
            <w:t xml:space="preserve">3.2 </w:t>
          </w:r>
          <w:r>
            <w:rPr>
              <w:snapToGrid w:val="0"/>
            </w:rPr>
            <w:t>辨识与分析的依据</w:t>
          </w:r>
          <w:r>
            <w:tab/>
          </w:r>
          <w:r>
            <w:fldChar w:fldCharType="begin"/>
          </w:r>
          <w:r>
            <w:instrText xml:space="preserve"> PAGEREF _Toc22187 \h </w:instrText>
          </w:r>
          <w:r>
            <w:fldChar w:fldCharType="separate"/>
          </w:r>
          <w:r>
            <w:t>29</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_Toc9226 </w:instrText>
          </w:r>
          <w:r>
            <w:rPr>
              <w:szCs w:val="24"/>
            </w:rPr>
            <w:fldChar w:fldCharType="separate"/>
          </w:r>
          <w:r>
            <w:rPr>
              <w:rFonts w:hint="default" w:ascii="Times New Roman" w:hAnsi="Times New Roman" w:eastAsia="黑体"/>
              <w:i w:val="0"/>
              <w:snapToGrid w:val="0"/>
            </w:rPr>
            <w:t xml:space="preserve">3.3 </w:t>
          </w:r>
          <w:r>
            <w:rPr>
              <w:snapToGrid w:val="0"/>
            </w:rPr>
            <w:t>危险、有害因素产生的原因</w:t>
          </w:r>
          <w:r>
            <w:tab/>
          </w:r>
          <w:r>
            <w:fldChar w:fldCharType="begin"/>
          </w:r>
          <w:r>
            <w:instrText xml:space="preserve"> PAGEREF _Toc9226 \h </w:instrText>
          </w:r>
          <w:r>
            <w:fldChar w:fldCharType="separate"/>
          </w:r>
          <w:r>
            <w:t>30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_Toc15863 </w:instrText>
          </w:r>
          <w:r>
            <w:rPr>
              <w:szCs w:val="24"/>
            </w:rPr>
            <w:fldChar w:fldCharType="separate"/>
          </w:r>
          <w:r>
            <w:rPr>
              <w:rFonts w:hint="default" w:ascii="Times New Roman" w:hAnsi="Times New Roman" w:eastAsia="黑体"/>
              <w:i w:val="0"/>
            </w:rPr>
            <w:t xml:space="preserve">3.3.1 </w:t>
          </w:r>
          <w:r>
            <w:t>运行失控与设备故障</w:t>
          </w:r>
          <w:r>
            <w:tab/>
          </w:r>
          <w:r>
            <w:fldChar w:fldCharType="begin"/>
          </w:r>
          <w:r>
            <w:instrText xml:space="preserve"> PAGEREF _Toc15863 \h </w:instrText>
          </w:r>
          <w:r>
            <w:fldChar w:fldCharType="separate"/>
          </w:r>
          <w:r>
            <w:t>30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_Toc1925 </w:instrText>
          </w:r>
          <w:r>
            <w:rPr>
              <w:szCs w:val="24"/>
            </w:rPr>
            <w:fldChar w:fldCharType="separate"/>
          </w:r>
          <w:r>
            <w:rPr>
              <w:rFonts w:hint="default" w:ascii="Times New Roman" w:hAnsi="Times New Roman" w:eastAsia="黑体"/>
              <w:i w:val="0"/>
            </w:rPr>
            <w:t xml:space="preserve">3.3.2 </w:t>
          </w:r>
          <w:r>
            <w:t>人员失误</w:t>
          </w:r>
          <w:r>
            <w:tab/>
          </w:r>
          <w:r>
            <w:fldChar w:fldCharType="begin"/>
          </w:r>
          <w:r>
            <w:instrText xml:space="preserve"> PAGEREF _Toc1925 \h </w:instrText>
          </w:r>
          <w:r>
            <w:fldChar w:fldCharType="separate"/>
          </w:r>
          <w:r>
            <w:t>30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_Toc19594 </w:instrText>
          </w:r>
          <w:r>
            <w:rPr>
              <w:szCs w:val="24"/>
            </w:rPr>
            <w:fldChar w:fldCharType="separate"/>
          </w:r>
          <w:r>
            <w:rPr>
              <w:rFonts w:hint="default" w:ascii="Times New Roman" w:hAnsi="Times New Roman" w:eastAsia="黑体"/>
              <w:i w:val="0"/>
            </w:rPr>
            <w:t xml:space="preserve">3.3.3 </w:t>
          </w:r>
          <w:r>
            <w:t>管理缺陷</w:t>
          </w:r>
          <w:r>
            <w:tab/>
          </w:r>
          <w:r>
            <w:fldChar w:fldCharType="begin"/>
          </w:r>
          <w:r>
            <w:instrText xml:space="preserve"> PAGEREF _Toc19594 \h </w:instrText>
          </w:r>
          <w:r>
            <w:fldChar w:fldCharType="separate"/>
          </w:r>
          <w:r>
            <w:t>31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_Toc8544 </w:instrText>
          </w:r>
          <w:r>
            <w:rPr>
              <w:szCs w:val="24"/>
            </w:rPr>
            <w:fldChar w:fldCharType="separate"/>
          </w:r>
          <w:r>
            <w:rPr>
              <w:rFonts w:hint="default" w:ascii="Times New Roman" w:hAnsi="Times New Roman" w:eastAsia="黑体"/>
              <w:i w:val="0"/>
            </w:rPr>
            <w:t xml:space="preserve">3.3.4 </w:t>
          </w:r>
          <w:r>
            <w:t>环境因素</w:t>
          </w:r>
          <w:r>
            <w:tab/>
          </w:r>
          <w:r>
            <w:fldChar w:fldCharType="begin"/>
          </w:r>
          <w:r>
            <w:instrText xml:space="preserve"> PAGEREF _Toc8544 \h </w:instrText>
          </w:r>
          <w:r>
            <w:fldChar w:fldCharType="separate"/>
          </w:r>
          <w:r>
            <w:t>31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_Toc23640 </w:instrText>
          </w:r>
          <w:r>
            <w:rPr>
              <w:szCs w:val="24"/>
            </w:rPr>
            <w:fldChar w:fldCharType="separate"/>
          </w:r>
          <w:r>
            <w:rPr>
              <w:rFonts w:hint="default" w:ascii="Times New Roman" w:hAnsi="Times New Roman" w:eastAsia="黑体"/>
              <w:i w:val="0"/>
              <w:snapToGrid w:val="0"/>
            </w:rPr>
            <w:t xml:space="preserve">3.4 </w:t>
          </w:r>
          <w:r>
            <w:rPr>
              <w:rFonts w:hint="eastAsia"/>
              <w:snapToGrid w:val="0"/>
            </w:rPr>
            <w:t>主要危险、有害物质及危险特性</w:t>
          </w:r>
          <w:r>
            <w:tab/>
          </w:r>
          <w:r>
            <w:fldChar w:fldCharType="begin"/>
          </w:r>
          <w:r>
            <w:instrText xml:space="preserve"> PAGEREF _Toc23640 \h </w:instrText>
          </w:r>
          <w:r>
            <w:fldChar w:fldCharType="separate"/>
          </w:r>
          <w:r>
            <w:t>31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_Toc20341 </w:instrText>
          </w:r>
          <w:r>
            <w:rPr>
              <w:szCs w:val="24"/>
            </w:rPr>
            <w:fldChar w:fldCharType="separate"/>
          </w:r>
          <w:r>
            <w:rPr>
              <w:rFonts w:hint="default" w:ascii="Times New Roman" w:hAnsi="Times New Roman" w:eastAsia="黑体"/>
              <w:i w:val="0"/>
            </w:rPr>
            <w:t xml:space="preserve">3.4.1 </w:t>
          </w:r>
          <w:r>
            <w:rPr>
              <w:rFonts w:hint="eastAsia"/>
            </w:rPr>
            <w:t>主要危险、有害物质</w:t>
          </w:r>
          <w:r>
            <w:t>辨识</w:t>
          </w:r>
          <w:r>
            <w:tab/>
          </w:r>
          <w:r>
            <w:fldChar w:fldCharType="begin"/>
          </w:r>
          <w:r>
            <w:instrText xml:space="preserve"> PAGEREF _Toc20341 \h </w:instrText>
          </w:r>
          <w:r>
            <w:fldChar w:fldCharType="separate"/>
          </w:r>
          <w:r>
            <w:t>31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_Toc22721 </w:instrText>
          </w:r>
          <w:r>
            <w:rPr>
              <w:szCs w:val="24"/>
            </w:rPr>
            <w:fldChar w:fldCharType="separate"/>
          </w:r>
          <w:r>
            <w:rPr>
              <w:rFonts w:hint="default" w:ascii="Times New Roman" w:hAnsi="Times New Roman" w:eastAsia="黑体"/>
              <w:i w:val="0"/>
            </w:rPr>
            <w:t xml:space="preserve">3.4.2 </w:t>
          </w:r>
          <w:r>
            <w:rPr>
              <w:rFonts w:hint="eastAsia"/>
            </w:rPr>
            <w:t>危险</w:t>
          </w:r>
          <w:r>
            <w:t>化学品辨识</w:t>
          </w:r>
          <w:r>
            <w:tab/>
          </w:r>
          <w:r>
            <w:fldChar w:fldCharType="begin"/>
          </w:r>
          <w:r>
            <w:instrText xml:space="preserve"> PAGEREF _Toc22721 \h </w:instrText>
          </w:r>
          <w:r>
            <w:fldChar w:fldCharType="separate"/>
          </w:r>
          <w:r>
            <w:t>32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_Toc26849 </w:instrText>
          </w:r>
          <w:r>
            <w:rPr>
              <w:szCs w:val="24"/>
            </w:rPr>
            <w:fldChar w:fldCharType="separate"/>
          </w:r>
          <w:r>
            <w:rPr>
              <w:rFonts w:hint="default" w:ascii="Times New Roman" w:hAnsi="Times New Roman" w:eastAsia="黑体"/>
              <w:i w:val="0"/>
            </w:rPr>
            <w:t xml:space="preserve">3.4.3 </w:t>
          </w:r>
          <w:r>
            <w:t>剧毒品、易制毒品</w:t>
          </w:r>
          <w:r>
            <w:rPr>
              <w:rFonts w:hint="eastAsia"/>
            </w:rPr>
            <w:t>、易制爆化学品、</w:t>
          </w:r>
          <w:r>
            <w:t>监控化学品</w:t>
          </w:r>
          <w:r>
            <w:rPr>
              <w:rFonts w:hint="eastAsia"/>
            </w:rPr>
            <w:t>、重点监管危险化学品、特别管控危险化学品辨识</w:t>
          </w:r>
          <w:r>
            <w:tab/>
          </w:r>
          <w:r>
            <w:fldChar w:fldCharType="begin"/>
          </w:r>
          <w:r>
            <w:instrText xml:space="preserve"> PAGEREF _Toc26849 \h </w:instrText>
          </w:r>
          <w:r>
            <w:fldChar w:fldCharType="separate"/>
          </w:r>
          <w:r>
            <w:t>33</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_Toc30887 </w:instrText>
          </w:r>
          <w:r>
            <w:rPr>
              <w:szCs w:val="24"/>
            </w:rPr>
            <w:fldChar w:fldCharType="separate"/>
          </w:r>
          <w:r>
            <w:rPr>
              <w:rFonts w:hint="default" w:ascii="Times New Roman" w:hAnsi="Times New Roman" w:eastAsia="黑体"/>
              <w:i w:val="0"/>
              <w:snapToGrid w:val="0"/>
            </w:rPr>
            <w:t xml:space="preserve">3.5 </w:t>
          </w:r>
          <w:r>
            <w:rPr>
              <w:rFonts w:hint="eastAsia"/>
              <w:snapToGrid w:val="0"/>
            </w:rPr>
            <w:t>选址与总体布局危险、有害因素分析</w:t>
          </w:r>
          <w:r>
            <w:tab/>
          </w:r>
          <w:r>
            <w:fldChar w:fldCharType="begin"/>
          </w:r>
          <w:r>
            <w:instrText xml:space="preserve"> PAGEREF _Toc30887 \h </w:instrText>
          </w:r>
          <w:r>
            <w:fldChar w:fldCharType="separate"/>
          </w:r>
          <w:r>
            <w:t>33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_Toc31828 </w:instrText>
          </w:r>
          <w:r>
            <w:rPr>
              <w:szCs w:val="24"/>
            </w:rPr>
            <w:fldChar w:fldCharType="separate"/>
          </w:r>
          <w:r>
            <w:rPr>
              <w:rFonts w:hint="default" w:ascii="Times New Roman" w:hAnsi="Times New Roman" w:eastAsia="黑体"/>
              <w:i w:val="0"/>
            </w:rPr>
            <w:t xml:space="preserve">3.5.1 </w:t>
          </w:r>
          <w:r>
            <w:rPr>
              <w:rFonts w:hint="eastAsia"/>
            </w:rPr>
            <w:t>地质条件危险、有害因素分析</w:t>
          </w:r>
          <w:r>
            <w:tab/>
          </w:r>
          <w:r>
            <w:fldChar w:fldCharType="begin"/>
          </w:r>
          <w:r>
            <w:instrText xml:space="preserve"> PAGEREF _Toc31828 \h </w:instrText>
          </w:r>
          <w:r>
            <w:fldChar w:fldCharType="separate"/>
          </w:r>
          <w:r>
            <w:t>33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_Toc15875 </w:instrText>
          </w:r>
          <w:r>
            <w:rPr>
              <w:szCs w:val="24"/>
            </w:rPr>
            <w:fldChar w:fldCharType="separate"/>
          </w:r>
          <w:r>
            <w:rPr>
              <w:rFonts w:hint="default" w:ascii="Times New Roman" w:hAnsi="Times New Roman" w:eastAsia="黑体"/>
              <w:i w:val="0"/>
            </w:rPr>
            <w:t xml:space="preserve">3.5.2 </w:t>
          </w:r>
          <w:r>
            <w:rPr>
              <w:rFonts w:hint="eastAsia"/>
            </w:rPr>
            <w:t>气象条件危险、有害因素分析</w:t>
          </w:r>
          <w:r>
            <w:tab/>
          </w:r>
          <w:r>
            <w:fldChar w:fldCharType="begin"/>
          </w:r>
          <w:r>
            <w:instrText xml:space="preserve"> PAGEREF _Toc15875 \h </w:instrText>
          </w:r>
          <w:r>
            <w:fldChar w:fldCharType="separate"/>
          </w:r>
          <w:r>
            <w:t>34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_Toc8642 </w:instrText>
          </w:r>
          <w:r>
            <w:rPr>
              <w:szCs w:val="24"/>
            </w:rPr>
            <w:fldChar w:fldCharType="separate"/>
          </w:r>
          <w:r>
            <w:rPr>
              <w:rFonts w:hint="default" w:ascii="Times New Roman" w:hAnsi="Times New Roman" w:eastAsia="黑体"/>
              <w:i w:val="0"/>
            </w:rPr>
            <w:t xml:space="preserve">3.5.3 </w:t>
          </w:r>
          <w:r>
            <w:rPr>
              <w:rFonts w:hint="eastAsia"/>
            </w:rPr>
            <w:t>周边环境危险、有害因素分析</w:t>
          </w:r>
          <w:r>
            <w:tab/>
          </w:r>
          <w:r>
            <w:fldChar w:fldCharType="begin"/>
          </w:r>
          <w:r>
            <w:instrText xml:space="preserve"> PAGEREF _Toc8642 \h </w:instrText>
          </w:r>
          <w:r>
            <w:fldChar w:fldCharType="separate"/>
          </w:r>
          <w:r>
            <w:t>35</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_Toc3924 </w:instrText>
          </w:r>
          <w:r>
            <w:rPr>
              <w:szCs w:val="24"/>
            </w:rPr>
            <w:fldChar w:fldCharType="separate"/>
          </w:r>
          <w:r>
            <w:rPr>
              <w:rFonts w:hint="default" w:ascii="Times New Roman" w:hAnsi="Times New Roman" w:eastAsia="黑体"/>
              <w:i w:val="0"/>
            </w:rPr>
            <w:t xml:space="preserve">3.5.4 </w:t>
          </w:r>
          <w:r>
            <w:rPr>
              <w:rFonts w:hint="eastAsia"/>
            </w:rPr>
            <w:t>总体布局危险、有害因素分析</w:t>
          </w:r>
          <w:r>
            <w:tab/>
          </w:r>
          <w:r>
            <w:fldChar w:fldCharType="begin"/>
          </w:r>
          <w:r>
            <w:instrText xml:space="preserve"> PAGEREF _Toc3924 \h </w:instrText>
          </w:r>
          <w:r>
            <w:fldChar w:fldCharType="separate"/>
          </w:r>
          <w:r>
            <w:t>35</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_Toc672 </w:instrText>
          </w:r>
          <w:r>
            <w:rPr>
              <w:szCs w:val="24"/>
            </w:rPr>
            <w:fldChar w:fldCharType="separate"/>
          </w:r>
          <w:r>
            <w:rPr>
              <w:rFonts w:hint="default" w:ascii="Times New Roman" w:hAnsi="Times New Roman" w:eastAsia="黑体"/>
              <w:i w:val="0"/>
              <w:snapToGrid w:val="0"/>
            </w:rPr>
            <w:t xml:space="preserve">3.6 </w:t>
          </w:r>
          <w:r>
            <w:rPr>
              <w:rFonts w:hint="eastAsia"/>
              <w:snapToGrid w:val="0"/>
            </w:rPr>
            <w:t>主要危险、有害因素分析</w:t>
          </w:r>
          <w:r>
            <w:tab/>
          </w:r>
          <w:r>
            <w:fldChar w:fldCharType="begin"/>
          </w:r>
          <w:r>
            <w:instrText xml:space="preserve"> PAGEREF _Toc672 \h </w:instrText>
          </w:r>
          <w:r>
            <w:fldChar w:fldCharType="separate"/>
          </w:r>
          <w:r>
            <w:t>36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_Toc8546 </w:instrText>
          </w:r>
          <w:r>
            <w:rPr>
              <w:szCs w:val="24"/>
            </w:rPr>
            <w:fldChar w:fldCharType="separate"/>
          </w:r>
          <w:r>
            <w:rPr>
              <w:rFonts w:hint="default" w:ascii="Times New Roman" w:hAnsi="Times New Roman" w:eastAsia="黑体"/>
              <w:i w:val="0"/>
            </w:rPr>
            <w:t xml:space="preserve">3.6.1 </w:t>
          </w:r>
          <w:r>
            <w:rPr>
              <w:rFonts w:hint="eastAsia"/>
            </w:rPr>
            <w:t>物体打击危险性分析</w:t>
          </w:r>
          <w:r>
            <w:tab/>
          </w:r>
          <w:r>
            <w:fldChar w:fldCharType="begin"/>
          </w:r>
          <w:r>
            <w:instrText xml:space="preserve"> PAGEREF _Toc8546 \h </w:instrText>
          </w:r>
          <w:r>
            <w:fldChar w:fldCharType="separate"/>
          </w:r>
          <w:r>
            <w:t>36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_Toc5404 </w:instrText>
          </w:r>
          <w:r>
            <w:rPr>
              <w:szCs w:val="24"/>
            </w:rPr>
            <w:fldChar w:fldCharType="separate"/>
          </w:r>
          <w:r>
            <w:rPr>
              <w:rFonts w:hint="default" w:ascii="Times New Roman" w:hAnsi="Times New Roman" w:eastAsia="黑体"/>
              <w:i w:val="0"/>
            </w:rPr>
            <w:t xml:space="preserve">3.6.2 </w:t>
          </w:r>
          <w:r>
            <w:rPr>
              <w:rFonts w:hint="eastAsia"/>
            </w:rPr>
            <w:t>车辆伤害危险性分析</w:t>
          </w:r>
          <w:r>
            <w:tab/>
          </w:r>
          <w:r>
            <w:fldChar w:fldCharType="begin"/>
          </w:r>
          <w:r>
            <w:instrText xml:space="preserve"> PAGEREF _Toc5404 \h </w:instrText>
          </w:r>
          <w:r>
            <w:fldChar w:fldCharType="separate"/>
          </w:r>
          <w:r>
            <w:t>36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_Toc23584 </w:instrText>
          </w:r>
          <w:r>
            <w:rPr>
              <w:szCs w:val="24"/>
            </w:rPr>
            <w:fldChar w:fldCharType="separate"/>
          </w:r>
          <w:r>
            <w:rPr>
              <w:rFonts w:hint="default" w:ascii="Times New Roman" w:hAnsi="Times New Roman" w:eastAsia="黑体"/>
              <w:i w:val="0"/>
            </w:rPr>
            <w:t xml:space="preserve">3.6.3 </w:t>
          </w:r>
          <w:r>
            <w:rPr>
              <w:rFonts w:hint="eastAsia"/>
            </w:rPr>
            <w:t>机械伤害危险性分析</w:t>
          </w:r>
          <w:r>
            <w:tab/>
          </w:r>
          <w:r>
            <w:fldChar w:fldCharType="begin"/>
          </w:r>
          <w:r>
            <w:instrText xml:space="preserve"> PAGEREF _Toc23584 \h </w:instrText>
          </w:r>
          <w:r>
            <w:fldChar w:fldCharType="separate"/>
          </w:r>
          <w:r>
            <w:t>38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_Toc10728 </w:instrText>
          </w:r>
          <w:r>
            <w:rPr>
              <w:szCs w:val="24"/>
            </w:rPr>
            <w:fldChar w:fldCharType="separate"/>
          </w:r>
          <w:r>
            <w:rPr>
              <w:rFonts w:hint="default" w:ascii="Times New Roman" w:hAnsi="Times New Roman" w:eastAsia="黑体"/>
              <w:i w:val="0"/>
            </w:rPr>
            <w:t xml:space="preserve">3.6.4 </w:t>
          </w:r>
          <w:r>
            <w:rPr>
              <w:rFonts w:hint="eastAsia"/>
            </w:rPr>
            <w:t>触电危险性分析</w:t>
          </w:r>
          <w:r>
            <w:tab/>
          </w:r>
          <w:r>
            <w:fldChar w:fldCharType="begin"/>
          </w:r>
          <w:r>
            <w:instrText xml:space="preserve"> PAGEREF _Toc10728 \h </w:instrText>
          </w:r>
          <w:r>
            <w:fldChar w:fldCharType="separate"/>
          </w:r>
          <w:r>
            <w:t>38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_Toc31682 </w:instrText>
          </w:r>
          <w:r>
            <w:rPr>
              <w:szCs w:val="24"/>
            </w:rPr>
            <w:fldChar w:fldCharType="separate"/>
          </w:r>
          <w:r>
            <w:rPr>
              <w:rFonts w:hint="default" w:ascii="Times New Roman" w:hAnsi="Times New Roman" w:eastAsia="黑体"/>
              <w:i w:val="0"/>
            </w:rPr>
            <w:t xml:space="preserve">3.6.5 </w:t>
          </w:r>
          <w:r>
            <w:rPr>
              <w:rFonts w:hint="eastAsia"/>
            </w:rPr>
            <w:t>淹溺危</w:t>
          </w:r>
          <w:r>
            <w:rPr>
              <w:rFonts w:hint="eastAsia"/>
              <w:lang w:val="en-US" w:eastAsia="zh-CN"/>
            </w:rPr>
            <w:t>险性</w:t>
          </w:r>
          <w:r>
            <w:t>分析</w:t>
          </w:r>
          <w:r>
            <w:tab/>
          </w:r>
          <w:r>
            <w:fldChar w:fldCharType="begin"/>
          </w:r>
          <w:r>
            <w:instrText xml:space="preserve"> PAGEREF _Toc31682 \h </w:instrText>
          </w:r>
          <w:r>
            <w:fldChar w:fldCharType="separate"/>
          </w:r>
          <w:r>
            <w:t>39</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_Toc10644 </w:instrText>
          </w:r>
          <w:r>
            <w:rPr>
              <w:szCs w:val="24"/>
            </w:rPr>
            <w:fldChar w:fldCharType="separate"/>
          </w:r>
          <w:r>
            <w:rPr>
              <w:rFonts w:hint="default" w:ascii="Times New Roman" w:hAnsi="Times New Roman" w:eastAsia="黑体"/>
              <w:bCs w:val="0"/>
              <w:i w:val="0"/>
            </w:rPr>
            <w:t xml:space="preserve">3.6.6 </w:t>
          </w:r>
          <w:r>
            <w:rPr>
              <w:bCs w:val="0"/>
            </w:rPr>
            <w:t>灼烫危险性分析</w:t>
          </w:r>
          <w:r>
            <w:tab/>
          </w:r>
          <w:r>
            <w:fldChar w:fldCharType="begin"/>
          </w:r>
          <w:r>
            <w:instrText xml:space="preserve"> PAGEREF _Toc10644 \h </w:instrText>
          </w:r>
          <w:r>
            <w:fldChar w:fldCharType="separate"/>
          </w:r>
          <w:r>
            <w:t>40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_Toc30513 </w:instrText>
          </w:r>
          <w:r>
            <w:rPr>
              <w:szCs w:val="24"/>
            </w:rPr>
            <w:fldChar w:fldCharType="separate"/>
          </w:r>
          <w:r>
            <w:rPr>
              <w:rFonts w:hint="default" w:ascii="Times New Roman" w:hAnsi="Times New Roman" w:eastAsia="黑体"/>
              <w:i w:val="0"/>
            </w:rPr>
            <w:t xml:space="preserve">3.6.7 </w:t>
          </w:r>
          <w:r>
            <w:rPr>
              <w:rFonts w:hint="eastAsia"/>
            </w:rPr>
            <w:t>火灾危险性分析</w:t>
          </w:r>
          <w:r>
            <w:tab/>
          </w:r>
          <w:r>
            <w:fldChar w:fldCharType="begin"/>
          </w:r>
          <w:r>
            <w:instrText xml:space="preserve"> PAGEREF _Toc30513 \h </w:instrText>
          </w:r>
          <w:r>
            <w:fldChar w:fldCharType="separate"/>
          </w:r>
          <w:r>
            <w:t>40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_Toc1422 </w:instrText>
          </w:r>
          <w:r>
            <w:rPr>
              <w:szCs w:val="24"/>
            </w:rPr>
            <w:fldChar w:fldCharType="separate"/>
          </w:r>
          <w:r>
            <w:rPr>
              <w:rFonts w:hint="default" w:ascii="Times New Roman" w:hAnsi="Times New Roman" w:eastAsia="黑体"/>
              <w:i w:val="0"/>
            </w:rPr>
            <w:t xml:space="preserve">3.6.8 </w:t>
          </w:r>
          <w:r>
            <w:rPr>
              <w:rFonts w:hint="eastAsia"/>
            </w:rPr>
            <w:t>高处坠落危险性分析</w:t>
          </w:r>
          <w:r>
            <w:tab/>
          </w:r>
          <w:r>
            <w:fldChar w:fldCharType="begin"/>
          </w:r>
          <w:r>
            <w:instrText xml:space="preserve"> PAGEREF _Toc1422 \h </w:instrText>
          </w:r>
          <w:r>
            <w:fldChar w:fldCharType="separate"/>
          </w:r>
          <w:r>
            <w:t>42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_Toc16269 </w:instrText>
          </w:r>
          <w:r>
            <w:rPr>
              <w:szCs w:val="24"/>
            </w:rPr>
            <w:fldChar w:fldCharType="separate"/>
          </w:r>
          <w:r>
            <w:rPr>
              <w:rFonts w:hint="default" w:ascii="Times New Roman" w:hAnsi="Times New Roman" w:eastAsia="黑体"/>
              <w:i w:val="0"/>
            </w:rPr>
            <w:t xml:space="preserve">3.6.9 </w:t>
          </w:r>
          <w:r>
            <w:rPr>
              <w:rFonts w:hint="eastAsia"/>
            </w:rPr>
            <w:t>坍塌危险性分析</w:t>
          </w:r>
          <w:r>
            <w:tab/>
          </w:r>
          <w:r>
            <w:fldChar w:fldCharType="begin"/>
          </w:r>
          <w:r>
            <w:instrText xml:space="preserve"> PAGEREF _Toc16269 \h </w:instrText>
          </w:r>
          <w:r>
            <w:fldChar w:fldCharType="separate"/>
          </w:r>
          <w:r>
            <w:t>42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_Toc16955 </w:instrText>
          </w:r>
          <w:r>
            <w:rPr>
              <w:szCs w:val="24"/>
            </w:rPr>
            <w:fldChar w:fldCharType="separate"/>
          </w:r>
          <w:r>
            <w:rPr>
              <w:rFonts w:hint="default" w:ascii="Times New Roman" w:hAnsi="Times New Roman" w:eastAsia="黑体"/>
              <w:i w:val="0"/>
            </w:rPr>
            <w:t xml:space="preserve">3.6.10 </w:t>
          </w:r>
          <w:r>
            <w:t>容器爆炸危险性分析</w:t>
          </w:r>
          <w:r>
            <w:tab/>
          </w:r>
          <w:r>
            <w:fldChar w:fldCharType="begin"/>
          </w:r>
          <w:r>
            <w:instrText xml:space="preserve"> PAGEREF _Toc16955 \h </w:instrText>
          </w:r>
          <w:r>
            <w:fldChar w:fldCharType="separate"/>
          </w:r>
          <w:r>
            <w:t>43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_Toc18529 </w:instrText>
          </w:r>
          <w:r>
            <w:rPr>
              <w:szCs w:val="24"/>
            </w:rPr>
            <w:fldChar w:fldCharType="separate"/>
          </w:r>
          <w:r>
            <w:rPr>
              <w:rFonts w:hint="default" w:ascii="Times New Roman" w:hAnsi="Times New Roman" w:eastAsia="黑体" w:cs="Times New Roman"/>
              <w:bCs/>
              <w:i w:val="0"/>
              <w:kern w:val="0"/>
              <w:szCs w:val="32"/>
              <w:lang w:val="en-US" w:eastAsia="zh-CN" w:bidi="ar-SA"/>
            </w:rPr>
            <w:t xml:space="preserve">3.6.11 </w:t>
          </w:r>
          <w:r>
            <w:rPr>
              <w:rFonts w:hint="eastAsia" w:cs="Times New Roman"/>
              <w:bCs/>
              <w:kern w:val="0"/>
              <w:szCs w:val="32"/>
              <w:lang w:val="en-US" w:eastAsia="zh-CN" w:bidi="ar-SA"/>
            </w:rPr>
            <w:t>其他爆炸危险性分析</w:t>
          </w:r>
          <w:r>
            <w:tab/>
          </w:r>
          <w:r>
            <w:fldChar w:fldCharType="begin"/>
          </w:r>
          <w:r>
            <w:instrText xml:space="preserve"> PAGEREF _Toc18529 \h </w:instrText>
          </w:r>
          <w:r>
            <w:fldChar w:fldCharType="separate"/>
          </w:r>
          <w:r>
            <w:t>44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_Toc27339 </w:instrText>
          </w:r>
          <w:r>
            <w:rPr>
              <w:szCs w:val="24"/>
            </w:rPr>
            <w:fldChar w:fldCharType="separate"/>
          </w:r>
          <w:r>
            <w:rPr>
              <w:rFonts w:hint="default" w:ascii="Times New Roman" w:hAnsi="Times New Roman" w:eastAsia="黑体"/>
              <w:i w:val="0"/>
            </w:rPr>
            <w:t xml:space="preserve">3.6.12 </w:t>
          </w:r>
          <w:r>
            <w:t>中毒和窒息危险性分析</w:t>
          </w:r>
          <w:r>
            <w:tab/>
          </w:r>
          <w:r>
            <w:fldChar w:fldCharType="begin"/>
          </w:r>
          <w:r>
            <w:instrText xml:space="preserve"> PAGEREF _Toc27339 \h </w:instrText>
          </w:r>
          <w:r>
            <w:fldChar w:fldCharType="separate"/>
          </w:r>
          <w:r>
            <w:t>44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_Toc1704 </w:instrText>
          </w:r>
          <w:r>
            <w:rPr>
              <w:szCs w:val="24"/>
            </w:rPr>
            <w:fldChar w:fldCharType="separate"/>
          </w:r>
          <w:r>
            <w:rPr>
              <w:rFonts w:hint="default" w:ascii="Times New Roman" w:hAnsi="Times New Roman" w:eastAsia="黑体"/>
              <w:i w:val="0"/>
            </w:rPr>
            <w:t xml:space="preserve">3.6.13 </w:t>
          </w:r>
          <w:r>
            <w:rPr>
              <w:rFonts w:hint="eastAsia"/>
            </w:rPr>
            <w:t>其他伤害危险性分析</w:t>
          </w:r>
          <w:r>
            <w:tab/>
          </w:r>
          <w:r>
            <w:fldChar w:fldCharType="begin"/>
          </w:r>
          <w:r>
            <w:instrText xml:space="preserve"> PAGEREF _Toc1704 \h </w:instrText>
          </w:r>
          <w:r>
            <w:fldChar w:fldCharType="separate"/>
          </w:r>
          <w:r>
            <w:t>45</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_Toc1203 </w:instrText>
          </w:r>
          <w:r>
            <w:rPr>
              <w:szCs w:val="24"/>
            </w:rPr>
            <w:fldChar w:fldCharType="separate"/>
          </w:r>
          <w:r>
            <w:rPr>
              <w:rFonts w:hint="default" w:ascii="Times New Roman" w:hAnsi="Times New Roman" w:eastAsia="黑体"/>
              <w:i w:val="0"/>
            </w:rPr>
            <w:t xml:space="preserve">3.7 </w:t>
          </w:r>
          <w:r>
            <w:rPr>
              <w:rFonts w:hint="eastAsia"/>
            </w:rPr>
            <w:t>公用和辅助设备设施危险有害因素辨识与分析</w:t>
          </w:r>
          <w:r>
            <w:tab/>
          </w:r>
          <w:r>
            <w:fldChar w:fldCharType="begin"/>
          </w:r>
          <w:r>
            <w:instrText xml:space="preserve"> PAGEREF _Toc1203 \h </w:instrText>
          </w:r>
          <w:r>
            <w:fldChar w:fldCharType="separate"/>
          </w:r>
          <w:r>
            <w:t>45</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_Toc17628 </w:instrText>
          </w:r>
          <w:r>
            <w:rPr>
              <w:szCs w:val="24"/>
            </w:rPr>
            <w:fldChar w:fldCharType="separate"/>
          </w:r>
          <w:r>
            <w:rPr>
              <w:rFonts w:hint="default" w:ascii="Times New Roman" w:hAnsi="Times New Roman" w:eastAsia="黑体"/>
              <w:i w:val="0"/>
            </w:rPr>
            <w:t xml:space="preserve">3.7.1 </w:t>
          </w:r>
          <w:r>
            <w:rPr>
              <w:rFonts w:hint="eastAsia"/>
            </w:rPr>
            <w:t>供配电系统</w:t>
          </w:r>
          <w:r>
            <w:rPr>
              <w:rFonts w:hint="eastAsia"/>
              <w:lang w:eastAsia="zh-CN"/>
            </w:rPr>
            <w:t>危险有害因素</w:t>
          </w:r>
          <w:r>
            <w:rPr>
              <w:rFonts w:hint="eastAsia"/>
            </w:rPr>
            <w:t>分析</w:t>
          </w:r>
          <w:r>
            <w:tab/>
          </w:r>
          <w:r>
            <w:fldChar w:fldCharType="begin"/>
          </w:r>
          <w:r>
            <w:instrText xml:space="preserve"> PAGEREF _Toc17628 \h </w:instrText>
          </w:r>
          <w:r>
            <w:fldChar w:fldCharType="separate"/>
          </w:r>
          <w:r>
            <w:t>45</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_Toc2035 </w:instrText>
          </w:r>
          <w:r>
            <w:rPr>
              <w:szCs w:val="24"/>
            </w:rPr>
            <w:fldChar w:fldCharType="separate"/>
          </w:r>
          <w:r>
            <w:rPr>
              <w:rFonts w:hint="default" w:ascii="Times New Roman" w:hAnsi="Times New Roman" w:eastAsia="黑体"/>
              <w:i w:val="0"/>
            </w:rPr>
            <w:t xml:space="preserve">3.7.2 </w:t>
          </w:r>
          <w:r>
            <w:rPr>
              <w:rFonts w:hint="eastAsia"/>
            </w:rPr>
            <w:t>给排水系统</w:t>
          </w:r>
          <w:r>
            <w:rPr>
              <w:rFonts w:hint="eastAsia"/>
              <w:lang w:eastAsia="zh-CN"/>
            </w:rPr>
            <w:t>危险有害因素</w:t>
          </w:r>
          <w:r>
            <w:rPr>
              <w:rFonts w:hint="eastAsia"/>
            </w:rPr>
            <w:t>分析</w:t>
          </w:r>
          <w:r>
            <w:tab/>
          </w:r>
          <w:r>
            <w:fldChar w:fldCharType="begin"/>
          </w:r>
          <w:r>
            <w:instrText xml:space="preserve"> PAGEREF _Toc2035 \h </w:instrText>
          </w:r>
          <w:r>
            <w:fldChar w:fldCharType="separate"/>
          </w:r>
          <w:r>
            <w:t>46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_Toc19092 </w:instrText>
          </w:r>
          <w:r>
            <w:rPr>
              <w:szCs w:val="24"/>
            </w:rPr>
            <w:fldChar w:fldCharType="separate"/>
          </w:r>
          <w:r>
            <w:rPr>
              <w:rFonts w:hint="default" w:ascii="Times New Roman" w:hAnsi="Times New Roman" w:eastAsia="黑体"/>
              <w:i w:val="0"/>
            </w:rPr>
            <w:t xml:space="preserve">3.7.3 </w:t>
          </w:r>
          <w:r>
            <w:rPr>
              <w:rFonts w:hint="eastAsia"/>
            </w:rPr>
            <w:t>供气</w:t>
          </w:r>
          <w:r>
            <w:rPr>
              <w:rFonts w:hint="eastAsia"/>
              <w:lang w:eastAsia="zh-CN"/>
            </w:rPr>
            <w:t>系统危险有害因素</w:t>
          </w:r>
          <w:r>
            <w:tab/>
          </w:r>
          <w:r>
            <w:fldChar w:fldCharType="begin"/>
          </w:r>
          <w:r>
            <w:instrText xml:space="preserve"> PAGEREF _Toc19092 \h </w:instrText>
          </w:r>
          <w:r>
            <w:fldChar w:fldCharType="separate"/>
          </w:r>
          <w:r>
            <w:t>46</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_Toc10986 </w:instrText>
          </w:r>
          <w:r>
            <w:rPr>
              <w:szCs w:val="24"/>
            </w:rPr>
            <w:fldChar w:fldCharType="separate"/>
          </w:r>
          <w:r>
            <w:rPr>
              <w:rFonts w:hint="default" w:ascii="Times New Roman" w:hAnsi="Times New Roman" w:eastAsia="黑体"/>
              <w:i w:val="0"/>
              <w:snapToGrid w:val="0"/>
            </w:rPr>
            <w:t xml:space="preserve">3.8 </w:t>
          </w:r>
          <w:r>
            <w:rPr>
              <w:rFonts w:hint="eastAsia"/>
              <w:snapToGrid w:val="0"/>
            </w:rPr>
            <w:t>主要危险、有害因素分布场所</w:t>
          </w:r>
          <w:r>
            <w:tab/>
          </w:r>
          <w:r>
            <w:fldChar w:fldCharType="begin"/>
          </w:r>
          <w:r>
            <w:instrText xml:space="preserve"> PAGEREF _Toc10986 \h </w:instrText>
          </w:r>
          <w:r>
            <w:fldChar w:fldCharType="separate"/>
          </w:r>
          <w:r>
            <w:t>47</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_Toc251 </w:instrText>
          </w:r>
          <w:r>
            <w:rPr>
              <w:szCs w:val="24"/>
            </w:rPr>
            <w:fldChar w:fldCharType="separate"/>
          </w:r>
          <w:r>
            <w:rPr>
              <w:rFonts w:hint="default" w:ascii="Times New Roman" w:hAnsi="Times New Roman" w:eastAsia="黑体"/>
              <w:i w:val="0"/>
              <w:snapToGrid w:val="0"/>
            </w:rPr>
            <w:t xml:space="preserve">3.9 </w:t>
          </w:r>
          <w:r>
            <w:rPr>
              <w:rFonts w:hint="eastAsia"/>
              <w:snapToGrid w:val="0"/>
            </w:rPr>
            <w:t>重大危险源辨识</w:t>
          </w:r>
          <w:r>
            <w:tab/>
          </w:r>
          <w:r>
            <w:fldChar w:fldCharType="begin"/>
          </w:r>
          <w:r>
            <w:instrText xml:space="preserve"> PAGEREF _Toc251 \h </w:instrText>
          </w:r>
          <w:r>
            <w:fldChar w:fldCharType="separate"/>
          </w:r>
          <w:r>
            <w:t>48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_Toc31036 </w:instrText>
          </w:r>
          <w:r>
            <w:rPr>
              <w:szCs w:val="24"/>
            </w:rPr>
            <w:fldChar w:fldCharType="separate"/>
          </w:r>
          <w:r>
            <w:rPr>
              <w:rFonts w:hint="default" w:ascii="Times New Roman" w:hAnsi="Times New Roman" w:eastAsia="黑体"/>
              <w:i w:val="0"/>
            </w:rPr>
            <w:t xml:space="preserve">3.9.1 </w:t>
          </w:r>
          <w:r>
            <w:rPr>
              <w:rFonts w:hint="eastAsia"/>
            </w:rPr>
            <w:t>辨识依据</w:t>
          </w:r>
          <w:r>
            <w:tab/>
          </w:r>
          <w:r>
            <w:fldChar w:fldCharType="begin"/>
          </w:r>
          <w:r>
            <w:instrText xml:space="preserve"> PAGEREF _Toc31036 \h </w:instrText>
          </w:r>
          <w:r>
            <w:fldChar w:fldCharType="separate"/>
          </w:r>
          <w:r>
            <w:t>48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_Toc16909 </w:instrText>
          </w:r>
          <w:r>
            <w:rPr>
              <w:szCs w:val="24"/>
            </w:rPr>
            <w:fldChar w:fldCharType="separate"/>
          </w:r>
          <w:r>
            <w:rPr>
              <w:rFonts w:hint="default" w:ascii="Times New Roman" w:hAnsi="Times New Roman" w:eastAsia="黑体"/>
              <w:i w:val="0"/>
            </w:rPr>
            <w:t xml:space="preserve">3.9.2 </w:t>
          </w:r>
          <w:r>
            <w:rPr>
              <w:rFonts w:hint="eastAsia"/>
            </w:rPr>
            <w:t>辨识过程</w:t>
          </w:r>
          <w:r>
            <w:tab/>
          </w:r>
          <w:r>
            <w:fldChar w:fldCharType="begin"/>
          </w:r>
          <w:r>
            <w:instrText xml:space="preserve"> PAGEREF _Toc16909 \h </w:instrText>
          </w:r>
          <w:r>
            <w:fldChar w:fldCharType="separate"/>
          </w:r>
          <w:r>
            <w:t>49</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_Toc12297 </w:instrText>
          </w:r>
          <w:r>
            <w:rPr>
              <w:szCs w:val="24"/>
            </w:rPr>
            <w:fldChar w:fldCharType="separate"/>
          </w:r>
          <w:r>
            <w:rPr>
              <w:rFonts w:hint="default" w:ascii="Times New Roman" w:hAnsi="Times New Roman" w:eastAsia="黑体"/>
              <w:i w:val="0"/>
            </w:rPr>
            <w:t xml:space="preserve">3.9.3 </w:t>
          </w:r>
          <w:r>
            <w:rPr>
              <w:rFonts w:hint="eastAsia"/>
            </w:rPr>
            <w:t>辨识结果</w:t>
          </w:r>
          <w:r>
            <w:tab/>
          </w:r>
          <w:r>
            <w:fldChar w:fldCharType="begin"/>
          </w:r>
          <w:r>
            <w:instrText xml:space="preserve"> PAGEREF _Toc12297 \h </w:instrText>
          </w:r>
          <w:r>
            <w:fldChar w:fldCharType="separate"/>
          </w:r>
          <w:r>
            <w:t>49</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_Toc13624 </w:instrText>
          </w:r>
          <w:r>
            <w:rPr>
              <w:szCs w:val="24"/>
            </w:rPr>
            <w:fldChar w:fldCharType="separate"/>
          </w:r>
          <w:r>
            <w:rPr>
              <w:rFonts w:hint="default" w:ascii="Times New Roman" w:hAnsi="Times New Roman" w:eastAsia="黑体"/>
              <w:i w:val="0"/>
            </w:rPr>
            <w:t xml:space="preserve">第4章 </w:t>
          </w:r>
          <w:r>
            <w:t>评价方法选择和评价单元划分</w:t>
          </w:r>
          <w:r>
            <w:tab/>
          </w:r>
          <w:r>
            <w:fldChar w:fldCharType="begin"/>
          </w:r>
          <w:r>
            <w:instrText xml:space="preserve"> PAGEREF _Toc13624 \h </w:instrText>
          </w:r>
          <w:r>
            <w:fldChar w:fldCharType="separate"/>
          </w:r>
          <w:r>
            <w:t>50</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_Toc32501 </w:instrText>
          </w:r>
          <w:r>
            <w:rPr>
              <w:szCs w:val="24"/>
            </w:rPr>
            <w:fldChar w:fldCharType="separate"/>
          </w:r>
          <w:r>
            <w:rPr>
              <w:rFonts w:hint="default" w:ascii="Times New Roman" w:hAnsi="Times New Roman" w:eastAsia="黑体"/>
              <w:i w:val="0"/>
              <w:snapToGrid w:val="0"/>
            </w:rPr>
            <w:t xml:space="preserve">4.1 </w:t>
          </w:r>
          <w:r>
            <w:rPr>
              <w:snapToGrid w:val="0"/>
            </w:rPr>
            <w:t>评价单元划分</w:t>
          </w:r>
          <w:r>
            <w:tab/>
          </w:r>
          <w:r>
            <w:fldChar w:fldCharType="begin"/>
          </w:r>
          <w:r>
            <w:instrText xml:space="preserve"> PAGEREF _Toc32501 \h </w:instrText>
          </w:r>
          <w:r>
            <w:fldChar w:fldCharType="separate"/>
          </w:r>
          <w:r>
            <w:t>50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_Toc463 </w:instrText>
          </w:r>
          <w:r>
            <w:rPr>
              <w:szCs w:val="24"/>
            </w:rPr>
            <w:fldChar w:fldCharType="separate"/>
          </w:r>
          <w:r>
            <w:rPr>
              <w:rFonts w:hint="default" w:ascii="Times New Roman" w:hAnsi="Times New Roman" w:eastAsia="黑体"/>
              <w:i w:val="0"/>
            </w:rPr>
            <w:t xml:space="preserve">4.1.1 </w:t>
          </w:r>
          <w:r>
            <w:t>评价单元划分原则</w:t>
          </w:r>
          <w:r>
            <w:tab/>
          </w:r>
          <w:r>
            <w:fldChar w:fldCharType="begin"/>
          </w:r>
          <w:r>
            <w:instrText xml:space="preserve"> PAGEREF _Toc463 \h </w:instrText>
          </w:r>
          <w:r>
            <w:fldChar w:fldCharType="separate"/>
          </w:r>
          <w:r>
            <w:t>50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_Toc21823 </w:instrText>
          </w:r>
          <w:r>
            <w:rPr>
              <w:szCs w:val="24"/>
            </w:rPr>
            <w:fldChar w:fldCharType="separate"/>
          </w:r>
          <w:r>
            <w:rPr>
              <w:rFonts w:hint="default" w:ascii="Times New Roman" w:hAnsi="Times New Roman" w:eastAsia="黑体"/>
              <w:i w:val="0"/>
            </w:rPr>
            <w:t xml:space="preserve">4.1.2 </w:t>
          </w:r>
          <w:r>
            <w:t>评价单元划分方法</w:t>
          </w:r>
          <w:r>
            <w:tab/>
          </w:r>
          <w:r>
            <w:fldChar w:fldCharType="begin"/>
          </w:r>
          <w:r>
            <w:instrText xml:space="preserve"> PAGEREF _Toc21823 \h </w:instrText>
          </w:r>
          <w:r>
            <w:fldChar w:fldCharType="separate"/>
          </w:r>
          <w:r>
            <w:t>50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_Toc4713 </w:instrText>
          </w:r>
          <w:r>
            <w:rPr>
              <w:szCs w:val="24"/>
            </w:rPr>
            <w:fldChar w:fldCharType="separate"/>
          </w:r>
          <w:r>
            <w:rPr>
              <w:rFonts w:hint="default" w:ascii="Times New Roman" w:hAnsi="Times New Roman" w:eastAsia="黑体"/>
              <w:i w:val="0"/>
            </w:rPr>
            <w:t xml:space="preserve">4.1.3 </w:t>
          </w:r>
          <w:r>
            <w:t>评价单元的划分</w:t>
          </w:r>
          <w:r>
            <w:tab/>
          </w:r>
          <w:r>
            <w:fldChar w:fldCharType="begin"/>
          </w:r>
          <w:r>
            <w:instrText xml:space="preserve"> PAGEREF _Toc4713 \h </w:instrText>
          </w:r>
          <w:r>
            <w:fldChar w:fldCharType="separate"/>
          </w:r>
          <w:r>
            <w:t>51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_Toc4647 </w:instrText>
          </w:r>
          <w:r>
            <w:rPr>
              <w:szCs w:val="24"/>
            </w:rPr>
            <w:fldChar w:fldCharType="separate"/>
          </w:r>
          <w:r>
            <w:rPr>
              <w:rFonts w:hint="default" w:ascii="Times New Roman" w:hAnsi="Times New Roman" w:eastAsia="黑体"/>
              <w:i w:val="0"/>
              <w:snapToGrid w:val="0"/>
            </w:rPr>
            <w:t xml:space="preserve">4.2 </w:t>
          </w:r>
          <w:r>
            <w:rPr>
              <w:snapToGrid w:val="0"/>
            </w:rPr>
            <w:t>评价方法的选择</w:t>
          </w:r>
          <w:r>
            <w:tab/>
          </w:r>
          <w:r>
            <w:fldChar w:fldCharType="begin"/>
          </w:r>
          <w:r>
            <w:instrText xml:space="preserve"> PAGEREF _Toc4647 \h </w:instrText>
          </w:r>
          <w:r>
            <w:fldChar w:fldCharType="separate"/>
          </w:r>
          <w:r>
            <w:t>51</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_Toc5158 </w:instrText>
          </w:r>
          <w:r>
            <w:rPr>
              <w:szCs w:val="24"/>
            </w:rPr>
            <w:fldChar w:fldCharType="separate"/>
          </w:r>
          <w:r>
            <w:rPr>
              <w:rFonts w:hint="default" w:ascii="Times New Roman" w:hAnsi="Times New Roman" w:eastAsia="黑体"/>
              <w:i w:val="0"/>
              <w:snapToGrid w:val="0"/>
            </w:rPr>
            <w:t xml:space="preserve">4.3 </w:t>
          </w:r>
          <w:r>
            <w:rPr>
              <w:snapToGrid w:val="0"/>
            </w:rPr>
            <w:t>评价方法介绍</w:t>
          </w:r>
          <w:r>
            <w:tab/>
          </w:r>
          <w:r>
            <w:fldChar w:fldCharType="begin"/>
          </w:r>
          <w:r>
            <w:instrText xml:space="preserve"> PAGEREF _Toc5158 \h </w:instrText>
          </w:r>
          <w:r>
            <w:fldChar w:fldCharType="separate"/>
          </w:r>
          <w:r>
            <w:t>52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_Toc21934 </w:instrText>
          </w:r>
          <w:r>
            <w:rPr>
              <w:szCs w:val="24"/>
            </w:rPr>
            <w:fldChar w:fldCharType="separate"/>
          </w:r>
          <w:r>
            <w:rPr>
              <w:rFonts w:hint="default" w:ascii="Times New Roman" w:hAnsi="Times New Roman" w:eastAsia="黑体"/>
              <w:i w:val="0"/>
            </w:rPr>
            <w:t xml:space="preserve">4.3.1 </w:t>
          </w:r>
          <w:r>
            <w:t>安全检查表法（SCA）</w:t>
          </w:r>
          <w:r>
            <w:tab/>
          </w:r>
          <w:r>
            <w:fldChar w:fldCharType="begin"/>
          </w:r>
          <w:r>
            <w:instrText xml:space="preserve"> PAGEREF _Toc21934 \h </w:instrText>
          </w:r>
          <w:r>
            <w:fldChar w:fldCharType="separate"/>
          </w:r>
          <w:r>
            <w:t>52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_Toc6392 </w:instrText>
          </w:r>
          <w:r>
            <w:rPr>
              <w:szCs w:val="24"/>
            </w:rPr>
            <w:fldChar w:fldCharType="separate"/>
          </w:r>
          <w:r>
            <w:rPr>
              <w:rFonts w:hint="default" w:ascii="Times New Roman" w:hAnsi="Times New Roman" w:eastAsia="黑体"/>
              <w:i w:val="0"/>
            </w:rPr>
            <w:t xml:space="preserve">4.3.2 </w:t>
          </w:r>
          <w:r>
            <w:t>作业条件危险性评价法（LEC）</w:t>
          </w:r>
          <w:r>
            <w:tab/>
          </w:r>
          <w:r>
            <w:fldChar w:fldCharType="begin"/>
          </w:r>
          <w:r>
            <w:instrText xml:space="preserve"> PAGEREF _Toc6392 \h </w:instrText>
          </w:r>
          <w:r>
            <w:fldChar w:fldCharType="separate"/>
          </w:r>
          <w:r>
            <w:t>53</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_Toc23590 </w:instrText>
          </w:r>
          <w:r>
            <w:rPr>
              <w:szCs w:val="24"/>
            </w:rPr>
            <w:fldChar w:fldCharType="separate"/>
          </w:r>
          <w:r>
            <w:rPr>
              <w:rFonts w:hint="default" w:ascii="Times New Roman" w:hAnsi="Times New Roman" w:eastAsia="黑体"/>
              <w:i w:val="0"/>
            </w:rPr>
            <w:t xml:space="preserve">第5章 </w:t>
          </w:r>
          <w:r>
            <w:t>定性定量分析评价</w:t>
          </w:r>
          <w:r>
            <w:tab/>
          </w:r>
          <w:r>
            <w:fldChar w:fldCharType="begin"/>
          </w:r>
          <w:r>
            <w:instrText xml:space="preserve"> PAGEREF _Toc23590 \h </w:instrText>
          </w:r>
          <w:r>
            <w:fldChar w:fldCharType="separate"/>
          </w:r>
          <w:r>
            <w:t>56</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_Toc15721 </w:instrText>
          </w:r>
          <w:r>
            <w:rPr>
              <w:szCs w:val="24"/>
            </w:rPr>
            <w:fldChar w:fldCharType="separate"/>
          </w:r>
          <w:r>
            <w:rPr>
              <w:rFonts w:hint="default" w:ascii="Times New Roman" w:hAnsi="Times New Roman" w:eastAsia="黑体"/>
              <w:i w:val="0"/>
              <w:snapToGrid w:val="0"/>
            </w:rPr>
            <w:t xml:space="preserve">5.1 </w:t>
          </w:r>
          <w:r>
            <w:rPr>
              <w:snapToGrid w:val="0"/>
            </w:rPr>
            <w:t>厂址及总平面布置评价单元</w:t>
          </w:r>
          <w:r>
            <w:tab/>
          </w:r>
          <w:r>
            <w:fldChar w:fldCharType="begin"/>
          </w:r>
          <w:r>
            <w:instrText xml:space="preserve"> PAGEREF _Toc15721 \h </w:instrText>
          </w:r>
          <w:r>
            <w:fldChar w:fldCharType="separate"/>
          </w:r>
          <w:r>
            <w:t>56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_Toc25449 </w:instrText>
          </w:r>
          <w:r>
            <w:rPr>
              <w:szCs w:val="24"/>
            </w:rPr>
            <w:fldChar w:fldCharType="separate"/>
          </w:r>
          <w:r>
            <w:rPr>
              <w:rFonts w:hint="default" w:ascii="Times New Roman" w:hAnsi="Times New Roman" w:eastAsia="黑体"/>
              <w:i w:val="0"/>
            </w:rPr>
            <w:t xml:space="preserve">5.1.1 </w:t>
          </w:r>
          <w:r>
            <w:t>厂址安全检查</w:t>
          </w:r>
          <w:r>
            <w:tab/>
          </w:r>
          <w:r>
            <w:fldChar w:fldCharType="begin"/>
          </w:r>
          <w:r>
            <w:instrText xml:space="preserve"> PAGEREF _Toc25449 \h </w:instrText>
          </w:r>
          <w:r>
            <w:fldChar w:fldCharType="separate"/>
          </w:r>
          <w:r>
            <w:t>56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_Toc30077 </w:instrText>
          </w:r>
          <w:r>
            <w:rPr>
              <w:szCs w:val="24"/>
            </w:rPr>
            <w:fldChar w:fldCharType="separate"/>
          </w:r>
          <w:r>
            <w:rPr>
              <w:rFonts w:hint="default" w:ascii="Times New Roman" w:hAnsi="Times New Roman" w:eastAsia="黑体"/>
              <w:i w:val="0"/>
            </w:rPr>
            <w:t xml:space="preserve">5.1.2 </w:t>
          </w:r>
          <w:r>
            <w:t>总平面布置安全检查</w:t>
          </w:r>
          <w:r>
            <w:tab/>
          </w:r>
          <w:r>
            <w:fldChar w:fldCharType="begin"/>
          </w:r>
          <w:r>
            <w:instrText xml:space="preserve"> PAGEREF _Toc30077 \h </w:instrText>
          </w:r>
          <w:r>
            <w:fldChar w:fldCharType="separate"/>
          </w:r>
          <w:r>
            <w:t>58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_Toc20151 </w:instrText>
          </w:r>
          <w:r>
            <w:rPr>
              <w:szCs w:val="24"/>
            </w:rPr>
            <w:fldChar w:fldCharType="separate"/>
          </w:r>
          <w:r>
            <w:rPr>
              <w:rFonts w:hint="default" w:ascii="Times New Roman" w:hAnsi="Times New Roman" w:eastAsia="黑体"/>
              <w:i w:val="0"/>
            </w:rPr>
            <w:t xml:space="preserve">5.1.3 </w:t>
          </w:r>
          <w:r>
            <w:t>单元小结</w:t>
          </w:r>
          <w:r>
            <w:tab/>
          </w:r>
          <w:r>
            <w:fldChar w:fldCharType="begin"/>
          </w:r>
          <w:r>
            <w:instrText xml:space="preserve"> PAGEREF _Toc20151 \h </w:instrText>
          </w:r>
          <w:r>
            <w:fldChar w:fldCharType="separate"/>
          </w:r>
          <w:r>
            <w:t>60</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_Toc405 </w:instrText>
          </w:r>
          <w:r>
            <w:rPr>
              <w:szCs w:val="24"/>
            </w:rPr>
            <w:fldChar w:fldCharType="separate"/>
          </w:r>
          <w:r>
            <w:rPr>
              <w:rFonts w:hint="default" w:ascii="Times New Roman" w:hAnsi="Times New Roman" w:eastAsia="黑体"/>
              <w:i w:val="0"/>
              <w:snapToGrid w:val="0"/>
            </w:rPr>
            <w:t xml:space="preserve">5.2 </w:t>
          </w:r>
          <w:r>
            <w:rPr>
              <w:snapToGrid w:val="0"/>
            </w:rPr>
            <w:t>生产工艺及设施评价单元</w:t>
          </w:r>
          <w:r>
            <w:tab/>
          </w:r>
          <w:r>
            <w:fldChar w:fldCharType="begin"/>
          </w:r>
          <w:r>
            <w:instrText xml:space="preserve"> PAGEREF _Toc405 \h </w:instrText>
          </w:r>
          <w:r>
            <w:fldChar w:fldCharType="separate"/>
          </w:r>
          <w:r>
            <w:t>61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_Toc9862 </w:instrText>
          </w:r>
          <w:r>
            <w:rPr>
              <w:szCs w:val="24"/>
            </w:rPr>
            <w:fldChar w:fldCharType="separate"/>
          </w:r>
          <w:r>
            <w:rPr>
              <w:rFonts w:hint="default" w:ascii="Times New Roman" w:hAnsi="Times New Roman" w:eastAsia="黑体"/>
              <w:i w:val="0"/>
            </w:rPr>
            <w:t xml:space="preserve">5.2.1 </w:t>
          </w:r>
          <w:r>
            <w:rPr>
              <w:rFonts w:hint="eastAsia"/>
            </w:rPr>
            <w:t>生产工艺及设施</w:t>
          </w:r>
          <w:r>
            <w:t>安全检查</w:t>
          </w:r>
          <w:r>
            <w:tab/>
          </w:r>
          <w:r>
            <w:fldChar w:fldCharType="begin"/>
          </w:r>
          <w:r>
            <w:instrText xml:space="preserve"> PAGEREF _Toc9862 \h </w:instrText>
          </w:r>
          <w:r>
            <w:fldChar w:fldCharType="separate"/>
          </w:r>
          <w:r>
            <w:t>61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_Toc21380 </w:instrText>
          </w:r>
          <w:r>
            <w:rPr>
              <w:szCs w:val="24"/>
            </w:rPr>
            <w:fldChar w:fldCharType="separate"/>
          </w:r>
          <w:r>
            <w:rPr>
              <w:rFonts w:hint="default" w:ascii="Times New Roman" w:hAnsi="Times New Roman" w:eastAsia="黑体"/>
              <w:i w:val="0"/>
            </w:rPr>
            <w:t xml:space="preserve">5.2.2 </w:t>
          </w:r>
          <w:r>
            <w:t>作业条件危险性分析</w:t>
          </w:r>
          <w:r>
            <w:tab/>
          </w:r>
          <w:r>
            <w:fldChar w:fldCharType="begin"/>
          </w:r>
          <w:r>
            <w:instrText xml:space="preserve"> PAGEREF _Toc21380 \h </w:instrText>
          </w:r>
          <w:r>
            <w:fldChar w:fldCharType="separate"/>
          </w:r>
          <w:r>
            <w:t>63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_Toc15304 </w:instrText>
          </w:r>
          <w:r>
            <w:rPr>
              <w:szCs w:val="24"/>
            </w:rPr>
            <w:fldChar w:fldCharType="separate"/>
          </w:r>
          <w:r>
            <w:rPr>
              <w:rFonts w:hint="default" w:ascii="Times New Roman" w:hAnsi="Times New Roman" w:eastAsia="黑体"/>
              <w:i w:val="0"/>
            </w:rPr>
            <w:t xml:space="preserve">5.2.3 </w:t>
          </w:r>
          <w:r>
            <w:t>单元小结</w:t>
          </w:r>
          <w:r>
            <w:tab/>
          </w:r>
          <w:r>
            <w:fldChar w:fldCharType="begin"/>
          </w:r>
          <w:r>
            <w:instrText xml:space="preserve"> PAGEREF _Toc15304 \h </w:instrText>
          </w:r>
          <w:r>
            <w:fldChar w:fldCharType="separate"/>
          </w:r>
          <w:r>
            <w:t>64</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_Toc11573 </w:instrText>
          </w:r>
          <w:r>
            <w:rPr>
              <w:szCs w:val="24"/>
            </w:rPr>
            <w:fldChar w:fldCharType="separate"/>
          </w:r>
          <w:r>
            <w:rPr>
              <w:rFonts w:hint="default" w:ascii="Times New Roman" w:hAnsi="Times New Roman" w:eastAsia="黑体"/>
              <w:i w:val="0"/>
              <w:snapToGrid w:val="0"/>
            </w:rPr>
            <w:t xml:space="preserve">5.3 </w:t>
          </w:r>
          <w:r>
            <w:rPr>
              <w:snapToGrid w:val="0"/>
            </w:rPr>
            <w:t>常规防护设施评价单元</w:t>
          </w:r>
          <w:r>
            <w:tab/>
          </w:r>
          <w:r>
            <w:fldChar w:fldCharType="begin"/>
          </w:r>
          <w:r>
            <w:instrText xml:space="preserve"> PAGEREF _Toc11573 \h </w:instrText>
          </w:r>
          <w:r>
            <w:fldChar w:fldCharType="separate"/>
          </w:r>
          <w:r>
            <w:t>64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_Toc12917 </w:instrText>
          </w:r>
          <w:r>
            <w:rPr>
              <w:szCs w:val="24"/>
            </w:rPr>
            <w:fldChar w:fldCharType="separate"/>
          </w:r>
          <w:r>
            <w:rPr>
              <w:rFonts w:hint="default" w:ascii="Times New Roman" w:hAnsi="Times New Roman" w:eastAsia="黑体"/>
              <w:i w:val="0"/>
            </w:rPr>
            <w:t xml:space="preserve">5.3.1 </w:t>
          </w:r>
          <w:r>
            <w:rPr>
              <w:rFonts w:hint="eastAsia"/>
            </w:rPr>
            <w:t>常规防护设施</w:t>
          </w:r>
          <w:r>
            <w:t>安全检查</w:t>
          </w:r>
          <w:r>
            <w:tab/>
          </w:r>
          <w:r>
            <w:fldChar w:fldCharType="begin"/>
          </w:r>
          <w:r>
            <w:instrText xml:space="preserve"> PAGEREF _Toc12917 \h </w:instrText>
          </w:r>
          <w:r>
            <w:fldChar w:fldCharType="separate"/>
          </w:r>
          <w:r>
            <w:t>64</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_Toc19856 </w:instrText>
          </w:r>
          <w:r>
            <w:rPr>
              <w:szCs w:val="24"/>
            </w:rPr>
            <w:fldChar w:fldCharType="separate"/>
          </w:r>
          <w:r>
            <w:rPr>
              <w:rFonts w:hint="default" w:ascii="Times New Roman" w:hAnsi="Times New Roman" w:eastAsia="黑体"/>
              <w:i w:val="0"/>
            </w:rPr>
            <w:t xml:space="preserve">5.3.2 </w:t>
          </w:r>
          <w:r>
            <w:t>单元小结</w:t>
          </w:r>
          <w:r>
            <w:tab/>
          </w:r>
          <w:r>
            <w:fldChar w:fldCharType="begin"/>
          </w:r>
          <w:r>
            <w:instrText xml:space="preserve"> PAGEREF _Toc19856 \h </w:instrText>
          </w:r>
          <w:r>
            <w:fldChar w:fldCharType="separate"/>
          </w:r>
          <w:r>
            <w:t>66</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_Toc5470 </w:instrText>
          </w:r>
          <w:r>
            <w:rPr>
              <w:szCs w:val="24"/>
            </w:rPr>
            <w:fldChar w:fldCharType="separate"/>
          </w:r>
          <w:r>
            <w:rPr>
              <w:rFonts w:hint="default" w:ascii="Times New Roman" w:hAnsi="Times New Roman" w:eastAsia="黑体"/>
              <w:i w:val="0"/>
              <w:snapToGrid w:val="0"/>
            </w:rPr>
            <w:t xml:space="preserve">5.4 </w:t>
          </w:r>
          <w:r>
            <w:rPr>
              <w:snapToGrid w:val="0"/>
            </w:rPr>
            <w:t>公用工程和辅助设施单元评价</w:t>
          </w:r>
          <w:r>
            <w:tab/>
          </w:r>
          <w:r>
            <w:fldChar w:fldCharType="begin"/>
          </w:r>
          <w:r>
            <w:instrText xml:space="preserve"> PAGEREF _Toc5470 \h </w:instrText>
          </w:r>
          <w:r>
            <w:fldChar w:fldCharType="separate"/>
          </w:r>
          <w:r>
            <w:t>66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_Toc25989 </w:instrText>
          </w:r>
          <w:r>
            <w:rPr>
              <w:szCs w:val="24"/>
            </w:rPr>
            <w:fldChar w:fldCharType="separate"/>
          </w:r>
          <w:r>
            <w:rPr>
              <w:rFonts w:hint="default" w:ascii="Times New Roman" w:hAnsi="Times New Roman" w:eastAsia="黑体"/>
              <w:i w:val="0"/>
            </w:rPr>
            <w:t xml:space="preserve">5.4.1 </w:t>
          </w:r>
          <w:r>
            <w:t>供配电系统</w:t>
          </w:r>
          <w:r>
            <w:rPr>
              <w:rFonts w:hint="eastAsia"/>
            </w:rPr>
            <w:t>评价子单元</w:t>
          </w:r>
          <w:r>
            <w:tab/>
          </w:r>
          <w:r>
            <w:fldChar w:fldCharType="begin"/>
          </w:r>
          <w:r>
            <w:instrText xml:space="preserve"> PAGEREF _Toc25989 \h </w:instrText>
          </w:r>
          <w:r>
            <w:fldChar w:fldCharType="separate"/>
          </w:r>
          <w:r>
            <w:t>66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_Toc26000 </w:instrText>
          </w:r>
          <w:r>
            <w:rPr>
              <w:szCs w:val="24"/>
            </w:rPr>
            <w:fldChar w:fldCharType="separate"/>
          </w:r>
          <w:r>
            <w:rPr>
              <w:rFonts w:hint="default" w:ascii="Times New Roman" w:hAnsi="Times New Roman" w:eastAsia="黑体"/>
              <w:i w:val="0"/>
            </w:rPr>
            <w:t xml:space="preserve">5.4.2 </w:t>
          </w:r>
          <w:r>
            <w:rPr>
              <w:rFonts w:hint="eastAsia"/>
            </w:rPr>
            <w:t>给排水评价子单元</w:t>
          </w:r>
          <w:r>
            <w:tab/>
          </w:r>
          <w:r>
            <w:fldChar w:fldCharType="begin"/>
          </w:r>
          <w:r>
            <w:instrText xml:space="preserve"> PAGEREF _Toc26000 \h </w:instrText>
          </w:r>
          <w:r>
            <w:fldChar w:fldCharType="separate"/>
          </w:r>
          <w:r>
            <w:t>68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_Toc7776 </w:instrText>
          </w:r>
          <w:r>
            <w:rPr>
              <w:szCs w:val="24"/>
            </w:rPr>
            <w:fldChar w:fldCharType="separate"/>
          </w:r>
          <w:r>
            <w:rPr>
              <w:rFonts w:hint="default" w:ascii="Times New Roman" w:hAnsi="Times New Roman" w:eastAsia="黑体"/>
              <w:i w:val="0"/>
            </w:rPr>
            <w:t xml:space="preserve">5.4.3 </w:t>
          </w:r>
          <w:r>
            <w:rPr>
              <w:rFonts w:hint="eastAsia"/>
            </w:rPr>
            <w:t>消防</w:t>
          </w:r>
          <w:r>
            <w:rPr>
              <w:rFonts w:hint="eastAsia"/>
              <w:lang w:val="en-US" w:eastAsia="zh-CN"/>
            </w:rPr>
            <w:t>设施</w:t>
          </w:r>
          <w:r>
            <w:t>评价子单元</w:t>
          </w:r>
          <w:r>
            <w:tab/>
          </w:r>
          <w:r>
            <w:fldChar w:fldCharType="begin"/>
          </w:r>
          <w:r>
            <w:instrText xml:space="preserve"> PAGEREF _Toc7776 \h </w:instrText>
          </w:r>
          <w:r>
            <w:fldChar w:fldCharType="separate"/>
          </w:r>
          <w:r>
            <w:t>71</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_Toc27086 </w:instrText>
          </w:r>
          <w:r>
            <w:rPr>
              <w:szCs w:val="24"/>
            </w:rPr>
            <w:fldChar w:fldCharType="separate"/>
          </w:r>
          <w:r>
            <w:rPr>
              <w:rFonts w:hint="default" w:ascii="Times New Roman" w:hAnsi="Times New Roman" w:eastAsia="黑体" w:cs="Times New Roman"/>
              <w:bCs/>
              <w:i w:val="0"/>
              <w:kern w:val="0"/>
              <w:szCs w:val="32"/>
              <w:lang w:val="en-US" w:eastAsia="zh-CN" w:bidi="ar-SA"/>
            </w:rPr>
            <w:t xml:space="preserve">5.4.4 </w:t>
          </w:r>
          <w:r>
            <w:rPr>
              <w:rFonts w:hint="eastAsia" w:cs="Times New Roman"/>
              <w:bCs/>
              <w:kern w:val="0"/>
              <w:szCs w:val="32"/>
              <w:lang w:val="en-US" w:eastAsia="zh-CN" w:bidi="ar-SA"/>
            </w:rPr>
            <w:t>单元小结</w:t>
          </w:r>
          <w:r>
            <w:tab/>
          </w:r>
          <w:r>
            <w:fldChar w:fldCharType="begin"/>
          </w:r>
          <w:r>
            <w:instrText xml:space="preserve"> PAGEREF _Toc27086 \h </w:instrText>
          </w:r>
          <w:r>
            <w:fldChar w:fldCharType="separate"/>
          </w:r>
          <w:r>
            <w:t>76</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_Toc982 </w:instrText>
          </w:r>
          <w:r>
            <w:rPr>
              <w:szCs w:val="24"/>
            </w:rPr>
            <w:fldChar w:fldCharType="separate"/>
          </w:r>
          <w:r>
            <w:rPr>
              <w:rFonts w:hint="default" w:ascii="Times New Roman" w:hAnsi="Times New Roman" w:eastAsia="黑体"/>
              <w:i w:val="0"/>
            </w:rPr>
            <w:t xml:space="preserve">5.5 </w:t>
          </w:r>
          <w:r>
            <w:t>安全管理评价单元</w:t>
          </w:r>
          <w:r>
            <w:tab/>
          </w:r>
          <w:r>
            <w:fldChar w:fldCharType="begin"/>
          </w:r>
          <w:r>
            <w:instrText xml:space="preserve"> PAGEREF _Toc982 \h </w:instrText>
          </w:r>
          <w:r>
            <w:fldChar w:fldCharType="separate"/>
          </w:r>
          <w:r>
            <w:t>76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_Toc26354 </w:instrText>
          </w:r>
          <w:r>
            <w:rPr>
              <w:szCs w:val="24"/>
            </w:rPr>
            <w:fldChar w:fldCharType="separate"/>
          </w:r>
          <w:r>
            <w:rPr>
              <w:rFonts w:hint="default" w:ascii="Times New Roman" w:hAnsi="Times New Roman" w:eastAsia="黑体"/>
              <w:i w:val="0"/>
              <w:snapToGrid w:val="0"/>
            </w:rPr>
            <w:t xml:space="preserve">5.5.1 </w:t>
          </w:r>
          <w:r>
            <w:rPr>
              <w:snapToGrid w:val="0"/>
            </w:rPr>
            <w:t>安全管理情况及分析评价</w:t>
          </w:r>
          <w:r>
            <w:tab/>
          </w:r>
          <w:r>
            <w:fldChar w:fldCharType="begin"/>
          </w:r>
          <w:r>
            <w:instrText xml:space="preserve"> PAGEREF _Toc26354 \h </w:instrText>
          </w:r>
          <w:r>
            <w:fldChar w:fldCharType="separate"/>
          </w:r>
          <w:r>
            <w:t>76</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_Toc30576 </w:instrText>
          </w:r>
          <w:r>
            <w:rPr>
              <w:szCs w:val="24"/>
            </w:rPr>
            <w:fldChar w:fldCharType="separate"/>
          </w:r>
          <w:r>
            <w:rPr>
              <w:rFonts w:hint="default" w:ascii="Times New Roman" w:hAnsi="Times New Roman" w:eastAsia="黑体"/>
              <w:i w:val="0"/>
              <w:snapToGrid w:val="0"/>
            </w:rPr>
            <w:t xml:space="preserve">5.5.2 </w:t>
          </w:r>
          <w:r>
            <w:rPr>
              <w:snapToGrid w:val="0"/>
            </w:rPr>
            <w:t>应急救援预案</w:t>
          </w:r>
          <w:r>
            <w:tab/>
          </w:r>
          <w:r>
            <w:fldChar w:fldCharType="begin"/>
          </w:r>
          <w:r>
            <w:instrText xml:space="preserve"> PAGEREF _Toc30576 \h </w:instrText>
          </w:r>
          <w:r>
            <w:fldChar w:fldCharType="separate"/>
          </w:r>
          <w:r>
            <w:t>82</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_Toc28720 </w:instrText>
          </w:r>
          <w:r>
            <w:rPr>
              <w:szCs w:val="24"/>
            </w:rPr>
            <w:fldChar w:fldCharType="separate"/>
          </w:r>
          <w:r>
            <w:rPr>
              <w:rFonts w:hint="default" w:ascii="Times New Roman" w:hAnsi="Times New Roman" w:eastAsia="黑体"/>
              <w:i w:val="0"/>
              <w:snapToGrid w:val="0"/>
            </w:rPr>
            <w:t xml:space="preserve">5.5.3 </w:t>
          </w:r>
          <w:r>
            <w:rPr>
              <w:snapToGrid w:val="0"/>
            </w:rPr>
            <w:t>评价单元小结</w:t>
          </w:r>
          <w:r>
            <w:tab/>
          </w:r>
          <w:r>
            <w:fldChar w:fldCharType="begin"/>
          </w:r>
          <w:r>
            <w:instrText xml:space="preserve"> PAGEREF _Toc28720 \h </w:instrText>
          </w:r>
          <w:r>
            <w:fldChar w:fldCharType="separate"/>
          </w:r>
          <w:r>
            <w:t>84</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_Toc16436 </w:instrText>
          </w:r>
          <w:r>
            <w:rPr>
              <w:szCs w:val="24"/>
            </w:rPr>
            <w:fldChar w:fldCharType="separate"/>
          </w:r>
          <w:r>
            <w:rPr>
              <w:rFonts w:hint="default" w:ascii="Times New Roman" w:hAnsi="Times New Roman" w:eastAsia="黑体"/>
              <w:i w:val="0"/>
            </w:rPr>
            <w:t xml:space="preserve">第6章 </w:t>
          </w:r>
          <w:r>
            <w:t>安全对策措施及建议</w:t>
          </w:r>
          <w:r>
            <w:tab/>
          </w:r>
          <w:r>
            <w:fldChar w:fldCharType="begin"/>
          </w:r>
          <w:r>
            <w:instrText xml:space="preserve"> PAGEREF _Toc16436 \h </w:instrText>
          </w:r>
          <w:r>
            <w:fldChar w:fldCharType="separate"/>
          </w:r>
          <w:r>
            <w:t>85</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_Toc13965 </w:instrText>
          </w:r>
          <w:r>
            <w:rPr>
              <w:szCs w:val="24"/>
            </w:rPr>
            <w:fldChar w:fldCharType="separate"/>
          </w:r>
          <w:r>
            <w:rPr>
              <w:rFonts w:hint="default" w:ascii="Times New Roman" w:hAnsi="Times New Roman" w:eastAsia="黑体"/>
              <w:i w:val="0"/>
              <w:snapToGrid w:val="0"/>
            </w:rPr>
            <w:t xml:space="preserve">6.1 </w:t>
          </w:r>
          <w:r>
            <w:rPr>
              <w:snapToGrid w:val="0"/>
            </w:rPr>
            <w:t>存在的问题</w:t>
          </w:r>
          <w:r>
            <w:rPr>
              <w:rFonts w:hint="eastAsia"/>
              <w:snapToGrid w:val="0"/>
            </w:rPr>
            <w:t>及整改情况</w:t>
          </w:r>
          <w:r>
            <w:tab/>
          </w:r>
          <w:r>
            <w:fldChar w:fldCharType="begin"/>
          </w:r>
          <w:r>
            <w:instrText xml:space="preserve"> PAGEREF _Toc13965 \h </w:instrText>
          </w:r>
          <w:r>
            <w:fldChar w:fldCharType="separate"/>
          </w:r>
          <w:r>
            <w:t>85</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_Toc8387 </w:instrText>
          </w:r>
          <w:r>
            <w:rPr>
              <w:szCs w:val="24"/>
            </w:rPr>
            <w:fldChar w:fldCharType="separate"/>
          </w:r>
          <w:r>
            <w:rPr>
              <w:rFonts w:hint="default" w:ascii="Times New Roman" w:hAnsi="Times New Roman" w:eastAsia="黑体"/>
              <w:i w:val="0"/>
            </w:rPr>
            <w:t xml:space="preserve">6.2 </w:t>
          </w:r>
          <w:r>
            <w:t>安全对策措施及建议</w:t>
          </w:r>
          <w:r>
            <w:tab/>
          </w:r>
          <w:r>
            <w:fldChar w:fldCharType="begin"/>
          </w:r>
          <w:r>
            <w:instrText xml:space="preserve"> PAGEREF _Toc8387 \h </w:instrText>
          </w:r>
          <w:r>
            <w:fldChar w:fldCharType="separate"/>
          </w:r>
          <w:r>
            <w:t>88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_Toc14609 </w:instrText>
          </w:r>
          <w:r>
            <w:rPr>
              <w:szCs w:val="24"/>
            </w:rPr>
            <w:fldChar w:fldCharType="separate"/>
          </w:r>
          <w:r>
            <w:rPr>
              <w:rFonts w:hint="default" w:ascii="Times New Roman" w:hAnsi="Times New Roman" w:eastAsia="黑体"/>
              <w:i w:val="0"/>
              <w:snapToGrid w:val="0"/>
            </w:rPr>
            <w:t xml:space="preserve">6.2.1 </w:t>
          </w:r>
          <w:r>
            <w:rPr>
              <w:snapToGrid w:val="0"/>
            </w:rPr>
            <w:t>安全生产条件</w:t>
          </w:r>
          <w:r>
            <w:tab/>
          </w:r>
          <w:r>
            <w:fldChar w:fldCharType="begin"/>
          </w:r>
          <w:r>
            <w:instrText xml:space="preserve"> PAGEREF _Toc14609 \h </w:instrText>
          </w:r>
          <w:r>
            <w:fldChar w:fldCharType="separate"/>
          </w:r>
          <w:r>
            <w:t>88</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_Toc28487 </w:instrText>
          </w:r>
          <w:r>
            <w:rPr>
              <w:szCs w:val="24"/>
            </w:rPr>
            <w:fldChar w:fldCharType="separate"/>
          </w:r>
          <w:r>
            <w:rPr>
              <w:rFonts w:hint="default" w:ascii="Times New Roman" w:hAnsi="Times New Roman" w:eastAsia="黑体"/>
              <w:i w:val="0"/>
              <w:snapToGrid w:val="0"/>
            </w:rPr>
            <w:t xml:space="preserve">6.2.2 </w:t>
          </w:r>
          <w:r>
            <w:rPr>
              <w:snapToGrid w:val="0"/>
            </w:rPr>
            <w:t>安全管理</w:t>
          </w:r>
          <w:r>
            <w:tab/>
          </w:r>
          <w:r>
            <w:fldChar w:fldCharType="begin"/>
          </w:r>
          <w:r>
            <w:instrText xml:space="preserve"> PAGEREF _Toc28487 \h </w:instrText>
          </w:r>
          <w:r>
            <w:fldChar w:fldCharType="separate"/>
          </w:r>
          <w:r>
            <w:t>90</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_Toc887 </w:instrText>
          </w:r>
          <w:r>
            <w:rPr>
              <w:szCs w:val="24"/>
            </w:rPr>
            <w:fldChar w:fldCharType="separate"/>
          </w:r>
          <w:r>
            <w:rPr>
              <w:rFonts w:hint="default" w:ascii="Times New Roman" w:hAnsi="Times New Roman" w:eastAsia="黑体"/>
              <w:i w:val="0"/>
              <w:snapToGrid w:val="0"/>
            </w:rPr>
            <w:t xml:space="preserve">6.2.3 </w:t>
          </w:r>
          <w:r>
            <w:rPr>
              <w:snapToGrid w:val="0"/>
            </w:rPr>
            <w:t>应急救援</w:t>
          </w:r>
          <w:r>
            <w:tab/>
          </w:r>
          <w:r>
            <w:fldChar w:fldCharType="begin"/>
          </w:r>
          <w:r>
            <w:instrText xml:space="preserve"> PAGEREF _Toc887 \h </w:instrText>
          </w:r>
          <w:r>
            <w:fldChar w:fldCharType="separate"/>
          </w:r>
          <w:r>
            <w:t>91</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_Toc17888 </w:instrText>
          </w:r>
          <w:r>
            <w:rPr>
              <w:szCs w:val="24"/>
            </w:rPr>
            <w:fldChar w:fldCharType="separate"/>
          </w:r>
          <w:r>
            <w:rPr>
              <w:rFonts w:hint="default" w:ascii="Times New Roman" w:hAnsi="Times New Roman" w:eastAsia="黑体"/>
              <w:i w:val="0"/>
            </w:rPr>
            <w:t xml:space="preserve">第7章 </w:t>
          </w:r>
          <w:r>
            <w:t>安全现状评价结论</w:t>
          </w:r>
          <w:r>
            <w:tab/>
          </w:r>
          <w:r>
            <w:fldChar w:fldCharType="begin"/>
          </w:r>
          <w:r>
            <w:instrText xml:space="preserve"> PAGEREF _Toc17888 \h </w:instrText>
          </w:r>
          <w:r>
            <w:fldChar w:fldCharType="separate"/>
          </w:r>
          <w:r>
            <w:t>93</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_Toc22376 </w:instrText>
          </w:r>
          <w:r>
            <w:rPr>
              <w:szCs w:val="24"/>
            </w:rPr>
            <w:fldChar w:fldCharType="separate"/>
          </w:r>
          <w:r>
            <w:rPr>
              <w:rFonts w:hint="default" w:ascii="Times New Roman" w:hAnsi="Times New Roman" w:eastAsia="黑体"/>
              <w:i w:val="0"/>
              <w:snapToGrid w:val="0"/>
            </w:rPr>
            <w:t xml:space="preserve">7.1 </w:t>
          </w:r>
          <w:r>
            <w:rPr>
              <w:snapToGrid w:val="0"/>
            </w:rPr>
            <w:t>主要危险有害因素评价结果</w:t>
          </w:r>
          <w:r>
            <w:tab/>
          </w:r>
          <w:r>
            <w:fldChar w:fldCharType="begin"/>
          </w:r>
          <w:r>
            <w:instrText xml:space="preserve"> PAGEREF _Toc22376 \h </w:instrText>
          </w:r>
          <w:r>
            <w:fldChar w:fldCharType="separate"/>
          </w:r>
          <w:r>
            <w:t>93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_Toc22391 </w:instrText>
          </w:r>
          <w:r>
            <w:rPr>
              <w:szCs w:val="24"/>
            </w:rPr>
            <w:fldChar w:fldCharType="separate"/>
          </w:r>
          <w:r>
            <w:rPr>
              <w:rFonts w:hint="default" w:ascii="Times New Roman" w:hAnsi="Times New Roman" w:eastAsia="黑体"/>
              <w:i w:val="0"/>
            </w:rPr>
            <w:t xml:space="preserve">7.1.1 </w:t>
          </w:r>
          <w:r>
            <w:t>项目存在的主要危险、有害物质</w:t>
          </w:r>
          <w:r>
            <w:tab/>
          </w:r>
          <w:r>
            <w:fldChar w:fldCharType="begin"/>
          </w:r>
          <w:r>
            <w:instrText xml:space="preserve"> PAGEREF _Toc22391 \h </w:instrText>
          </w:r>
          <w:r>
            <w:fldChar w:fldCharType="separate"/>
          </w:r>
          <w:r>
            <w:t>93</w:t>
          </w:r>
          <w:r>
            <w:fldChar w:fldCharType="end"/>
          </w:r>
          <w:r>
            <w:rPr>
              <w:color w:val="000000" w:themeColor="text1"/>
              <w:szCs w:val="24"/>
              <w14:textFill>
                <w14:solidFill>
                  <w14:schemeClr w14:val="tx1"/>
                </w14:solidFill>
              </w14:textFill>
            </w:rPr>
            <w:fldChar w:fldCharType="end"/>
          </w:r>
        </w:p>
        <w:p>
          <w:pPr>
            <w:pStyle w:val="19"/>
          </w:pPr>
          <w:r>
            <w:rPr>
              <w:color w:val="000000" w:themeColor="text1"/>
              <w:szCs w:val="24"/>
              <w14:textFill>
                <w14:solidFill>
                  <w14:schemeClr w14:val="tx1"/>
                </w14:solidFill>
              </w14:textFill>
            </w:rPr>
            <w:fldChar w:fldCharType="begin"/>
          </w:r>
          <w:r>
            <w:rPr>
              <w:szCs w:val="24"/>
            </w:rPr>
            <w:instrText xml:space="preserve"> HYPERLINK \l _Toc15493 </w:instrText>
          </w:r>
          <w:r>
            <w:rPr>
              <w:szCs w:val="24"/>
            </w:rPr>
            <w:fldChar w:fldCharType="separate"/>
          </w:r>
          <w:r>
            <w:rPr>
              <w:rFonts w:hint="default" w:ascii="Times New Roman" w:hAnsi="Times New Roman" w:eastAsia="黑体"/>
              <w:i w:val="0"/>
            </w:rPr>
            <w:t xml:space="preserve">7.1.2 </w:t>
          </w:r>
          <w:r>
            <w:t>项目存在的主要危险、有害因素</w:t>
          </w:r>
          <w:r>
            <w:tab/>
          </w:r>
          <w:r>
            <w:fldChar w:fldCharType="begin"/>
          </w:r>
          <w:r>
            <w:instrText xml:space="preserve"> PAGEREF _Toc15493 \h </w:instrText>
          </w:r>
          <w:r>
            <w:fldChar w:fldCharType="separate"/>
          </w:r>
          <w:r>
            <w:t>93</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_Toc5147 </w:instrText>
          </w:r>
          <w:r>
            <w:rPr>
              <w:szCs w:val="24"/>
            </w:rPr>
            <w:fldChar w:fldCharType="separate"/>
          </w:r>
          <w:r>
            <w:rPr>
              <w:rFonts w:hint="default" w:ascii="Times New Roman" w:hAnsi="Times New Roman" w:eastAsia="黑体"/>
              <w:i w:val="0"/>
              <w:snapToGrid w:val="0"/>
            </w:rPr>
            <w:t xml:space="preserve">7.2 </w:t>
          </w:r>
          <w:r>
            <w:rPr>
              <w:snapToGrid w:val="0"/>
            </w:rPr>
            <w:t>本项目应重点防范的重大事故</w:t>
          </w:r>
          <w:r>
            <w:tab/>
          </w:r>
          <w:r>
            <w:fldChar w:fldCharType="begin"/>
          </w:r>
          <w:r>
            <w:instrText xml:space="preserve"> PAGEREF _Toc5147 \h </w:instrText>
          </w:r>
          <w:r>
            <w:fldChar w:fldCharType="separate"/>
          </w:r>
          <w:r>
            <w:t>93</w:t>
          </w:r>
          <w:r>
            <w:fldChar w:fldCharType="end"/>
          </w:r>
          <w:r>
            <w:rPr>
              <w:color w:val="000000" w:themeColor="text1"/>
              <w:szCs w:val="24"/>
              <w14:textFill>
                <w14:solidFill>
                  <w14:schemeClr w14:val="tx1"/>
                </w14:solidFill>
              </w14:textFill>
            </w:rPr>
            <w:fldChar w:fldCharType="end"/>
          </w:r>
        </w:p>
        <w:p>
          <w:pPr>
            <w:pStyle w:val="3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_Toc5579 </w:instrText>
          </w:r>
          <w:r>
            <w:rPr>
              <w:szCs w:val="24"/>
            </w:rPr>
            <w:fldChar w:fldCharType="separate"/>
          </w:r>
          <w:r>
            <w:rPr>
              <w:rFonts w:hint="default" w:ascii="Times New Roman" w:hAnsi="Times New Roman" w:eastAsia="黑体"/>
              <w:i w:val="0"/>
              <w:snapToGrid w:val="0"/>
              <w:szCs w:val="32"/>
            </w:rPr>
            <w:t xml:space="preserve">7.3 </w:t>
          </w:r>
          <w:r>
            <w:rPr>
              <w:snapToGrid w:val="0"/>
              <w:szCs w:val="32"/>
            </w:rPr>
            <w:t>安全评价结论</w:t>
          </w:r>
          <w:r>
            <w:tab/>
          </w:r>
          <w:r>
            <w:fldChar w:fldCharType="begin"/>
          </w:r>
          <w:r>
            <w:instrText xml:space="preserve"> PAGEREF _Toc5579 \h </w:instrText>
          </w:r>
          <w:r>
            <w:fldChar w:fldCharType="separate"/>
          </w:r>
          <w:r>
            <w:t>94</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_Toc24915 </w:instrText>
          </w:r>
          <w:r>
            <w:rPr>
              <w:szCs w:val="24"/>
            </w:rPr>
            <w:fldChar w:fldCharType="separate"/>
          </w:r>
          <w:r>
            <w:rPr>
              <w:rFonts w:hint="default" w:ascii="Times New Roman" w:hAnsi="Times New Roman" w:eastAsia="黑体" w:cs="Times New Roman"/>
              <w:bCs/>
              <w:i w:val="0"/>
              <w:kern w:val="44"/>
              <w:szCs w:val="44"/>
              <w:lang w:val="en-US" w:eastAsia="zh-CN" w:bidi="ar-SA"/>
            </w:rPr>
            <w:t xml:space="preserve">第8章 </w:t>
          </w:r>
          <w:r>
            <w:rPr>
              <w:rFonts w:hint="eastAsia" w:cs="Times New Roman"/>
              <w:bCs/>
              <w:kern w:val="44"/>
              <w:szCs w:val="44"/>
              <w:lang w:val="en-US" w:eastAsia="zh-CN" w:bidi="ar-SA"/>
            </w:rPr>
            <w:t>与被评价单位交换意见的情况</w:t>
          </w:r>
          <w:r>
            <w:tab/>
          </w:r>
          <w:r>
            <w:fldChar w:fldCharType="begin"/>
          </w:r>
          <w:r>
            <w:instrText xml:space="preserve"> PAGEREF _Toc24915 \h </w:instrText>
          </w:r>
          <w:r>
            <w:fldChar w:fldCharType="separate"/>
          </w:r>
          <w:r>
            <w:t>96</w:t>
          </w:r>
          <w:r>
            <w:fldChar w:fldCharType="end"/>
          </w:r>
          <w:r>
            <w:rPr>
              <w:color w:val="000000" w:themeColor="text1"/>
              <w:szCs w:val="24"/>
              <w14:textFill>
                <w14:solidFill>
                  <w14:schemeClr w14:val="tx1"/>
                </w14:solidFill>
              </w14:textFill>
            </w:rPr>
            <w:fldChar w:fldCharType="end"/>
          </w:r>
        </w:p>
        <w:p>
          <w:pPr>
            <w:pStyle w:val="20"/>
            <w:tabs>
              <w:tab w:val="right" w:leader="dot" w:pos="8307"/>
            </w:tabs>
          </w:pPr>
          <w:r>
            <w:rPr>
              <w:color w:val="000000" w:themeColor="text1"/>
              <w:szCs w:val="24"/>
              <w14:textFill>
                <w14:solidFill>
                  <w14:schemeClr w14:val="tx1"/>
                </w14:solidFill>
              </w14:textFill>
            </w:rPr>
            <w:fldChar w:fldCharType="begin"/>
          </w:r>
          <w:r>
            <w:rPr>
              <w:szCs w:val="24"/>
            </w:rPr>
            <w:instrText xml:space="preserve"> HYPERLINK \l _Toc3867 </w:instrText>
          </w:r>
          <w:r>
            <w:rPr>
              <w:szCs w:val="24"/>
            </w:rPr>
            <w:fldChar w:fldCharType="separate"/>
          </w:r>
          <w:r>
            <w:rPr>
              <w:rFonts w:hint="eastAsia"/>
              <w:lang w:val="en-US" w:eastAsia="zh-CN"/>
            </w:rPr>
            <w:t>附件</w:t>
          </w:r>
          <w:r>
            <w:tab/>
          </w:r>
          <w:r>
            <w:fldChar w:fldCharType="begin"/>
          </w:r>
          <w:r>
            <w:instrText xml:space="preserve"> PAGEREF _Toc3867 \h </w:instrText>
          </w:r>
          <w:r>
            <w:fldChar w:fldCharType="separate"/>
          </w:r>
          <w:r>
            <w:t>97</w:t>
          </w:r>
          <w:r>
            <w:fldChar w:fldCharType="end"/>
          </w:r>
          <w:r>
            <w:rPr>
              <w:color w:val="000000" w:themeColor="text1"/>
              <w:szCs w:val="24"/>
              <w14:textFill>
                <w14:solidFill>
                  <w14:schemeClr w14:val="tx1"/>
                </w14:solidFill>
              </w14:textFill>
            </w:rPr>
            <w:fldChar w:fldCharType="end"/>
          </w:r>
        </w:p>
        <w:p>
          <w:pPr>
            <w:pStyle w:val="20"/>
            <w:keepNext w:val="0"/>
            <w:keepLines w:val="0"/>
            <w:pageBreakBefore w:val="0"/>
            <w:widowControl w:val="0"/>
            <w:tabs>
              <w:tab w:val="right" w:leader="dot" w:pos="8296"/>
            </w:tabs>
            <w:kinsoku/>
            <w:wordWrap/>
            <w:overflowPunct/>
            <w:topLinePunct w:val="0"/>
            <w:autoSpaceDE/>
            <w:autoSpaceDN/>
            <w:bidi w:val="0"/>
            <w:adjustRightInd w:val="0"/>
            <w:snapToGrid w:val="0"/>
            <w:spacing w:before="0" w:beforeLines="0" w:after="0" w:afterLines="0" w:line="240" w:lineRule="auto"/>
            <w:ind w:left="0" w:leftChars="0" w:right="0" w:rightChars="0" w:firstLine="0" w:firstLineChars="0"/>
            <w:jc w:val="center"/>
            <w:textAlignment w:val="auto"/>
            <w:outlineLvl w:val="9"/>
            <w:rPr>
              <w:b w:val="0"/>
              <w:color w:val="000000" w:themeColor="text1"/>
              <w:sz w:val="24"/>
              <w:szCs w:val="24"/>
              <w14:textFill>
                <w14:solidFill>
                  <w14:schemeClr w14:val="tx1"/>
                </w14:solidFill>
              </w14:textFill>
            </w:rPr>
          </w:pPr>
          <w:r>
            <w:rPr>
              <w:color w:val="000000" w:themeColor="text1"/>
              <w:szCs w:val="24"/>
              <w14:textFill>
                <w14:solidFill>
                  <w14:schemeClr w14:val="tx1"/>
                </w14:solidFill>
              </w14:textFill>
            </w:rPr>
            <w:fldChar w:fldCharType="end"/>
          </w:r>
        </w:p>
      </w:sdtContent>
    </w:sdt>
    <w:p>
      <w:pPr>
        <w:bidi w:val="0"/>
        <w:sectPr>
          <w:footerReference r:id="rId16" w:type="default"/>
          <w:pgSz w:w="11907" w:h="16840"/>
          <w:pgMar w:top="1440" w:right="1800" w:bottom="1440" w:left="1800" w:header="851" w:footer="992" w:gutter="0"/>
          <w:pgNumType w:fmt="decimalFullWidth" w:start="1"/>
          <w:cols w:space="720" w:num="1"/>
          <w:docGrid w:linePitch="286" w:charSpace="0"/>
        </w:sectPr>
      </w:pPr>
    </w:p>
    <w:p>
      <w:pPr>
        <w:pStyle w:val="4"/>
        <w:ind w:firstLine="883"/>
        <w:rPr>
          <w:color w:val="000000" w:themeColor="text1"/>
          <w14:textFill>
            <w14:solidFill>
              <w14:schemeClr w14:val="tx1"/>
            </w14:solidFill>
          </w14:textFill>
        </w:rPr>
      </w:pPr>
      <w:bookmarkStart w:id="21" w:name="_Toc6188"/>
      <w:r>
        <w:rPr>
          <w:color w:val="000000" w:themeColor="text1"/>
          <w14:textFill>
            <w14:solidFill>
              <w14:schemeClr w14:val="tx1"/>
            </w14:solidFill>
          </w14:textFill>
        </w:rPr>
        <w:t>编制说明</w:t>
      </w:r>
      <w:bookmarkEnd w:id="0"/>
      <w:bookmarkEnd w:id="1"/>
      <w:bookmarkEnd w:id="2"/>
      <w:bookmarkEnd w:id="3"/>
      <w:bookmarkEnd w:id="4"/>
      <w:bookmarkEnd w:id="21"/>
    </w:p>
    <w:p>
      <w:pPr>
        <w:pStyle w:val="5"/>
        <w:rPr>
          <w:color w:val="000000" w:themeColor="text1"/>
          <w14:textFill>
            <w14:solidFill>
              <w14:schemeClr w14:val="tx1"/>
            </w14:solidFill>
          </w14:textFill>
        </w:rPr>
      </w:pPr>
      <w:bookmarkStart w:id="22" w:name="_Toc201697533"/>
      <w:bookmarkStart w:id="23" w:name="_Toc129520575"/>
      <w:bookmarkStart w:id="24" w:name="_Toc51340614"/>
      <w:bookmarkStart w:id="25" w:name="_Toc458245925"/>
      <w:bookmarkStart w:id="26" w:name="_Toc18954"/>
      <w:bookmarkStart w:id="27" w:name="_Toc103178241"/>
      <w:bookmarkStart w:id="28" w:name="_Toc54294380"/>
      <w:bookmarkStart w:id="29" w:name="_Toc25000"/>
      <w:r>
        <w:rPr>
          <w:color w:val="000000" w:themeColor="text1"/>
          <w14:textFill>
            <w14:solidFill>
              <w14:schemeClr w14:val="tx1"/>
            </w14:solidFill>
          </w14:textFill>
        </w:rPr>
        <w:t>评价目的</w:t>
      </w:r>
      <w:bookmarkEnd w:id="22"/>
      <w:bookmarkEnd w:id="23"/>
      <w:bookmarkEnd w:id="24"/>
      <w:bookmarkEnd w:id="25"/>
      <w:bookmarkEnd w:id="26"/>
      <w:bookmarkEnd w:id="27"/>
      <w:bookmarkEnd w:id="28"/>
      <w:bookmarkEnd w:id="29"/>
    </w:p>
    <w:p>
      <w:pPr>
        <w:adjustRightInd w:val="0"/>
        <w:snapToGrid w:val="0"/>
        <w:ind w:firstLine="560"/>
        <w:rPr>
          <w:color w:val="000000" w:themeColor="text1"/>
          <w:szCs w:val="28"/>
          <w14:textFill>
            <w14:solidFill>
              <w14:schemeClr w14:val="tx1"/>
            </w14:solidFill>
          </w14:textFill>
        </w:rPr>
      </w:pPr>
      <w:bookmarkStart w:id="30" w:name="_Toc201697534"/>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为贯彻“安全第一、预防为主、综合治理”的安全生产方针，本次安全评价工作的目的是向</w:t>
      </w:r>
      <w:r>
        <w:rPr>
          <w:rFonts w:hint="eastAsia"/>
          <w:color w:val="000000" w:themeColor="text1"/>
          <w:szCs w:val="20"/>
          <w14:textFill>
            <w14:solidFill>
              <w14:schemeClr w14:val="tx1"/>
            </w14:solidFill>
          </w14:textFill>
        </w:rPr>
        <w:t>玉溪玉象包装材料有限公司</w:t>
      </w:r>
      <w:r>
        <w:rPr>
          <w:color w:val="000000" w:themeColor="text1"/>
          <w:szCs w:val="28"/>
          <w14:textFill>
            <w14:solidFill>
              <w14:schemeClr w14:val="tx1"/>
            </w14:solidFill>
          </w14:textFill>
        </w:rPr>
        <w:t>提供安全评价报告，为各级应急管理部门和上级主管部门实行安全监督提供依据</w:t>
      </w:r>
      <w:r>
        <w:rPr>
          <w:snapToGrid w:val="0"/>
          <w:color w:val="000000" w:themeColor="text1"/>
          <w:kern w:val="0"/>
          <w:szCs w:val="28"/>
          <w14:textFill>
            <w14:solidFill>
              <w14:schemeClr w14:val="tx1"/>
            </w14:solidFill>
          </w14:textFill>
        </w:rPr>
        <w:t>；</w:t>
      </w:r>
    </w:p>
    <w:p>
      <w:pPr>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2</w:t>
      </w:r>
      <w:r>
        <w:rPr>
          <w:rFonts w:hint="eastAsia"/>
          <w:snapToGrid w:val="0"/>
          <w:color w:val="000000" w:themeColor="text1"/>
          <w:kern w:val="0"/>
          <w:szCs w:val="28"/>
          <w14:textFill>
            <w14:solidFill>
              <w14:schemeClr w14:val="tx1"/>
            </w14:solidFill>
          </w14:textFill>
        </w:rPr>
        <w:t>.</w:t>
      </w:r>
      <w:r>
        <w:rPr>
          <w:snapToGrid w:val="0"/>
          <w:color w:val="000000" w:themeColor="text1"/>
          <w:kern w:val="0"/>
          <w:szCs w:val="28"/>
          <w14:textFill>
            <w14:solidFill>
              <w14:schemeClr w14:val="tx1"/>
            </w14:solidFill>
          </w14:textFill>
        </w:rPr>
        <w:t>通过对该公司生产过程中的危险、有害因素辨识，</w:t>
      </w:r>
      <w:r>
        <w:rPr>
          <w:color w:val="000000" w:themeColor="text1"/>
          <w:szCs w:val="28"/>
          <w14:textFill>
            <w14:solidFill>
              <w14:schemeClr w14:val="tx1"/>
            </w14:solidFill>
          </w14:textFill>
        </w:rPr>
        <w:t>分析出存在的主要危险、有害因素及其产生危险、危害后果的主要条件；</w:t>
      </w:r>
      <w:r>
        <w:rPr>
          <w:snapToGrid w:val="0"/>
          <w:color w:val="000000" w:themeColor="text1"/>
          <w:kern w:val="0"/>
          <w:szCs w:val="28"/>
          <w14:textFill>
            <w14:solidFill>
              <w14:schemeClr w14:val="tx1"/>
            </w14:solidFill>
          </w14:textFill>
        </w:rPr>
        <w:t>并提出科学、合理、可行的安全对策措施建议；</w:t>
      </w:r>
    </w:p>
    <w:p>
      <w:pPr>
        <w:adjustRightInd w:val="0"/>
        <w:snapToGrid w:val="0"/>
        <w:ind w:firstLine="560"/>
        <w:rPr>
          <w:snapToGrid w:val="0"/>
          <w:color w:val="000000" w:themeColor="text1"/>
          <w:kern w:val="0"/>
          <w:szCs w:val="24"/>
          <w14:textFill>
            <w14:solidFill>
              <w14:schemeClr w14:val="tx1"/>
            </w14:solidFill>
          </w14:textFill>
        </w:rPr>
      </w:pPr>
      <w:r>
        <w:rPr>
          <w:snapToGrid w:val="0"/>
          <w:color w:val="000000" w:themeColor="text1"/>
          <w:kern w:val="0"/>
          <w:szCs w:val="28"/>
          <w14:textFill>
            <w14:solidFill>
              <w14:schemeClr w14:val="tx1"/>
            </w14:solidFill>
          </w14:textFill>
        </w:rPr>
        <w:t>3</w:t>
      </w:r>
      <w:r>
        <w:rPr>
          <w:rFonts w:hint="eastAsia"/>
          <w:snapToGrid w:val="0"/>
          <w:color w:val="000000" w:themeColor="text1"/>
          <w:kern w:val="0"/>
          <w:szCs w:val="28"/>
          <w14:textFill>
            <w14:solidFill>
              <w14:schemeClr w14:val="tx1"/>
            </w14:solidFill>
          </w14:textFill>
        </w:rPr>
        <w:t>.</w:t>
      </w:r>
      <w:r>
        <w:rPr>
          <w:snapToGrid w:val="0"/>
          <w:color w:val="000000" w:themeColor="text1"/>
          <w:kern w:val="0"/>
          <w:szCs w:val="28"/>
          <w14:textFill>
            <w14:solidFill>
              <w14:schemeClr w14:val="tx1"/>
            </w14:solidFill>
          </w14:textFill>
        </w:rPr>
        <w:t>通过安全评价，该公司可进一步全面了解和掌握企业安全生产条件和安全管理状况，并通过完善安全措施，提高企业本质安全程度，预防事故发生，保障人员的生命安全及企业的财产安全。</w:t>
      </w:r>
    </w:p>
    <w:p>
      <w:pPr>
        <w:pStyle w:val="5"/>
        <w:rPr>
          <w:snapToGrid w:val="0"/>
          <w:color w:val="000000" w:themeColor="text1"/>
          <w14:textFill>
            <w14:solidFill>
              <w14:schemeClr w14:val="tx1"/>
            </w14:solidFill>
          </w14:textFill>
        </w:rPr>
      </w:pPr>
      <w:bookmarkStart w:id="31" w:name="_Toc103178242"/>
      <w:bookmarkStart w:id="32" w:name="_Toc25229"/>
      <w:bookmarkStart w:id="33" w:name="_Toc129520576"/>
      <w:bookmarkStart w:id="34" w:name="_Toc54294381"/>
      <w:bookmarkStart w:id="35" w:name="_Toc458245926"/>
      <w:bookmarkStart w:id="36" w:name="_Toc51340615"/>
      <w:bookmarkStart w:id="37" w:name="_Toc23768"/>
      <w:r>
        <w:rPr>
          <w:snapToGrid w:val="0"/>
          <w:color w:val="000000" w:themeColor="text1"/>
          <w14:textFill>
            <w14:solidFill>
              <w14:schemeClr w14:val="tx1"/>
            </w14:solidFill>
          </w14:textFill>
        </w:rPr>
        <w:t>评价依据</w:t>
      </w:r>
      <w:bookmarkEnd w:id="30"/>
      <w:bookmarkEnd w:id="31"/>
      <w:bookmarkEnd w:id="32"/>
      <w:bookmarkEnd w:id="33"/>
      <w:bookmarkEnd w:id="34"/>
      <w:bookmarkEnd w:id="35"/>
      <w:bookmarkEnd w:id="36"/>
      <w:bookmarkEnd w:id="37"/>
    </w:p>
    <w:p>
      <w:pPr>
        <w:pStyle w:val="6"/>
        <w:rPr>
          <w:color w:val="000000" w:themeColor="text1"/>
          <w14:textFill>
            <w14:solidFill>
              <w14:schemeClr w14:val="tx1"/>
            </w14:solidFill>
          </w14:textFill>
        </w:rPr>
      </w:pPr>
      <w:bookmarkStart w:id="38" w:name="_Toc458245927"/>
      <w:bookmarkStart w:id="39" w:name="_Toc54294382"/>
      <w:bookmarkStart w:id="40" w:name="_Toc201697535"/>
      <w:bookmarkStart w:id="41" w:name="_Toc51340616"/>
      <w:bookmarkStart w:id="42" w:name="_Toc103178243"/>
      <w:bookmarkStart w:id="43" w:name="_Toc390"/>
      <w:bookmarkStart w:id="44" w:name="_Toc129520577"/>
      <w:bookmarkStart w:id="45" w:name="_Toc2380"/>
      <w:r>
        <w:rPr>
          <w:color w:val="000000" w:themeColor="text1"/>
          <w14:textFill>
            <w14:solidFill>
              <w14:schemeClr w14:val="tx1"/>
            </w14:solidFill>
          </w14:textFill>
        </w:rPr>
        <w:t>国家法律</w:t>
      </w:r>
      <w:bookmarkEnd w:id="38"/>
      <w:bookmarkEnd w:id="39"/>
      <w:bookmarkEnd w:id="40"/>
      <w:bookmarkEnd w:id="41"/>
      <w:bookmarkEnd w:id="42"/>
      <w:bookmarkEnd w:id="43"/>
      <w:bookmarkEnd w:id="44"/>
      <w:bookmarkEnd w:id="45"/>
    </w:p>
    <w:p>
      <w:pPr>
        <w:numPr>
          <w:ilvl w:val="0"/>
          <w:numId w:val="3"/>
        </w:numPr>
        <w:tabs>
          <w:tab w:val="left" w:pos="0"/>
          <w:tab w:val="left" w:pos="567"/>
          <w:tab w:val="left" w:pos="630"/>
          <w:tab w:val="left" w:pos="720"/>
          <w:tab w:val="left" w:pos="988"/>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《中华人民共和国安全生产法》</w:t>
      </w:r>
      <w:r>
        <w:rPr>
          <w:rFonts w:hint="eastAsia"/>
          <w:color w:val="000000" w:themeColor="text1"/>
          <w:szCs w:val="28"/>
          <w14:textFill>
            <w14:solidFill>
              <w14:schemeClr w14:val="tx1"/>
            </w14:solidFill>
          </w14:textFill>
        </w:rPr>
        <w:t>（中华人民共和国主席令第七十号，2002年6月29日第九届全国人民代表大会常务委员会第二十八次会议通过　根据2009年8月27日第十一届全国人民代表大会常务委员会第十次会议《关于修改部分法律的决定》第一次修正　根据2014年8月31日第十二届全国人民代表大会常务委员会第十次会议《关于修改&lt;中华人民共和国安全生产法&gt;的决定》第二次修正　根据2021年6月10日第十三届全国人民代表大会常务委员会第二十九次会议《关于修改&lt;中华人民共和国安全生产法&gt;的决定》第三次修正）</w:t>
      </w:r>
      <w:r>
        <w:rPr>
          <w:color w:val="000000" w:themeColor="text1"/>
          <w:szCs w:val="28"/>
          <w14:textFill>
            <w14:solidFill>
              <w14:schemeClr w14:val="tx1"/>
            </w14:solidFill>
          </w14:textFill>
        </w:rPr>
        <w:t>；</w:t>
      </w:r>
    </w:p>
    <w:p>
      <w:pPr>
        <w:numPr>
          <w:ilvl w:val="0"/>
          <w:numId w:val="3"/>
        </w:numPr>
        <w:tabs>
          <w:tab w:val="left" w:pos="0"/>
          <w:tab w:val="left" w:pos="567"/>
          <w:tab w:val="left" w:pos="630"/>
          <w:tab w:val="left" w:pos="720"/>
          <w:tab w:val="left" w:pos="988"/>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《中华人民共和国消防法》</w:t>
      </w:r>
      <w:bookmarkStart w:id="46" w:name="_Hlk127804827"/>
      <w:r>
        <w:rPr>
          <w:color w:val="000000" w:themeColor="text1"/>
          <w:szCs w:val="28"/>
          <w14:textFill>
            <w14:solidFill>
              <w14:schemeClr w14:val="tx1"/>
            </w14:solidFill>
          </w14:textFill>
        </w:rPr>
        <w:t>（</w:t>
      </w:r>
      <w:r>
        <w:rPr>
          <w:rFonts w:hint="eastAsia"/>
          <w:color w:val="000000" w:themeColor="text1"/>
          <w:szCs w:val="28"/>
          <w14:textFill>
            <w14:solidFill>
              <w14:schemeClr w14:val="tx1"/>
            </w14:solidFill>
          </w14:textFill>
        </w:rPr>
        <w:t>中华人民共和国主席令第六号，</w:t>
      </w:r>
      <w:r>
        <w:rPr>
          <w:color w:val="000000" w:themeColor="text1"/>
          <w:szCs w:val="28"/>
          <w14:textFill>
            <w14:solidFill>
              <w14:schemeClr w14:val="tx1"/>
            </w14:solidFill>
          </w14:textFill>
        </w:rPr>
        <w:t>根据2021年4月29日第十三届全国人民代表大会常务委员会第二十八次会议修改《中华人民共和国道路交通安全法》等八部法律修正）</w:t>
      </w:r>
      <w:bookmarkEnd w:id="46"/>
      <w:r>
        <w:rPr>
          <w:color w:val="000000" w:themeColor="text1"/>
          <w:szCs w:val="28"/>
          <w14:textFill>
            <w14:solidFill>
              <w14:schemeClr w14:val="tx1"/>
            </w14:solidFill>
          </w14:textFill>
        </w:rPr>
        <w:t>；</w:t>
      </w:r>
    </w:p>
    <w:p>
      <w:pPr>
        <w:numPr>
          <w:ilvl w:val="0"/>
          <w:numId w:val="3"/>
        </w:numPr>
        <w:tabs>
          <w:tab w:val="left" w:pos="0"/>
          <w:tab w:val="left" w:pos="567"/>
          <w:tab w:val="left" w:pos="630"/>
          <w:tab w:val="left" w:pos="720"/>
          <w:tab w:val="left" w:pos="988"/>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《中华人民共和国劳动法》（中华人民共和国主席令第二十八号，2018年主席令第二十四号修订）；</w:t>
      </w:r>
    </w:p>
    <w:p>
      <w:pPr>
        <w:numPr>
          <w:ilvl w:val="0"/>
          <w:numId w:val="3"/>
        </w:numPr>
        <w:tabs>
          <w:tab w:val="left" w:pos="0"/>
          <w:tab w:val="left" w:pos="567"/>
          <w:tab w:val="left" w:pos="630"/>
          <w:tab w:val="left" w:pos="720"/>
          <w:tab w:val="left" w:pos="988"/>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《中华人民共和国劳动合同法》（中华人民共和国主席令第七十三号，根据第十一届全国人民代表大会常务委员会第三十次会议《关于修改＜中华人民共和国劳动合同法＞的决定》修正）</w:t>
      </w:r>
      <w:r>
        <w:rPr>
          <w:rFonts w:hint="eastAsia"/>
          <w:color w:val="000000" w:themeColor="text1"/>
          <w:szCs w:val="28"/>
          <w14:textFill>
            <w14:solidFill>
              <w14:schemeClr w14:val="tx1"/>
            </w14:solidFill>
          </w14:textFill>
        </w:rPr>
        <w:t>；</w:t>
      </w:r>
    </w:p>
    <w:p>
      <w:pPr>
        <w:numPr>
          <w:ilvl w:val="0"/>
          <w:numId w:val="3"/>
        </w:numPr>
        <w:tabs>
          <w:tab w:val="left" w:pos="0"/>
          <w:tab w:val="left" w:pos="567"/>
          <w:tab w:val="left" w:pos="630"/>
          <w:tab w:val="left" w:pos="720"/>
          <w:tab w:val="left" w:pos="988"/>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《中华人民共和国突发事件应对法》（中华人民共和国主席令第六十九号）；</w:t>
      </w:r>
    </w:p>
    <w:p>
      <w:pPr>
        <w:numPr>
          <w:ilvl w:val="0"/>
          <w:numId w:val="3"/>
        </w:numPr>
        <w:tabs>
          <w:tab w:val="left" w:pos="0"/>
          <w:tab w:val="left" w:pos="567"/>
          <w:tab w:val="left" w:pos="630"/>
          <w:tab w:val="left" w:pos="720"/>
          <w:tab w:val="left" w:pos="988"/>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《中华人民共和国特种设备安全法》（中华人民共和国主席令第四号）；</w:t>
      </w:r>
    </w:p>
    <w:p>
      <w:pPr>
        <w:numPr>
          <w:ilvl w:val="0"/>
          <w:numId w:val="3"/>
        </w:numPr>
        <w:tabs>
          <w:tab w:val="left" w:pos="0"/>
          <w:tab w:val="left" w:pos="567"/>
          <w:tab w:val="left" w:pos="630"/>
          <w:tab w:val="left" w:pos="720"/>
          <w:tab w:val="left" w:pos="988"/>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《中华人民共和国职业病防治法》（中华人民共和国主席令第五十二号，主席令第四十八号修改，2018年主席令第二十四号修订）。</w:t>
      </w:r>
    </w:p>
    <w:p>
      <w:pPr>
        <w:pStyle w:val="6"/>
        <w:rPr>
          <w:color w:val="000000" w:themeColor="text1"/>
          <w14:textFill>
            <w14:solidFill>
              <w14:schemeClr w14:val="tx1"/>
            </w14:solidFill>
          </w14:textFill>
        </w:rPr>
      </w:pPr>
      <w:bookmarkStart w:id="47" w:name="_Toc51340617"/>
      <w:bookmarkStart w:id="48" w:name="_Toc103178244"/>
      <w:bookmarkStart w:id="49" w:name="_Toc54294383"/>
      <w:bookmarkStart w:id="50" w:name="_Toc9409"/>
      <w:bookmarkStart w:id="51" w:name="_Toc129520578"/>
      <w:bookmarkStart w:id="52" w:name="_Toc31513"/>
      <w:r>
        <w:rPr>
          <w:color w:val="000000" w:themeColor="text1"/>
          <w14:textFill>
            <w14:solidFill>
              <w14:schemeClr w14:val="tx1"/>
            </w14:solidFill>
          </w14:textFill>
        </w:rPr>
        <w:t>行政法规</w:t>
      </w:r>
      <w:bookmarkEnd w:id="47"/>
      <w:bookmarkEnd w:id="48"/>
      <w:bookmarkEnd w:id="49"/>
      <w:bookmarkEnd w:id="50"/>
      <w:bookmarkEnd w:id="51"/>
      <w:bookmarkEnd w:id="52"/>
    </w:p>
    <w:p>
      <w:pPr>
        <w:numPr>
          <w:ilvl w:val="3"/>
          <w:numId w:val="4"/>
        </w:numPr>
        <w:tabs>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《生产安全事故应急条例》（中华人民共和国国务院令第708号）；</w:t>
      </w:r>
    </w:p>
    <w:p>
      <w:pPr>
        <w:numPr>
          <w:ilvl w:val="3"/>
          <w:numId w:val="4"/>
        </w:numPr>
        <w:tabs>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《工伤保险条例》（2003年4月27日中华人民共和国国务院令第375号公布，根据2010年12月20日《国务院关于修改〈工伤保险条例〉的决定》（中华人民共和国国务院令第586号）修订）；</w:t>
      </w:r>
    </w:p>
    <w:p>
      <w:pPr>
        <w:numPr>
          <w:ilvl w:val="3"/>
          <w:numId w:val="4"/>
        </w:numPr>
        <w:tabs>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《危险化学品安全管理条例》（中华人民共和国国务院令第591号，国务院令645号修订）；</w:t>
      </w:r>
    </w:p>
    <w:p>
      <w:pPr>
        <w:numPr>
          <w:ilvl w:val="3"/>
          <w:numId w:val="4"/>
        </w:numPr>
        <w:tabs>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《易制毒化学品管理条例》（国务院令第445号，根据国务院第666号令修改，第703号修订）；</w:t>
      </w:r>
    </w:p>
    <w:p>
      <w:pPr>
        <w:numPr>
          <w:ilvl w:val="3"/>
          <w:numId w:val="4"/>
        </w:numPr>
        <w:tabs>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《中华人民共和国监控化学品管理条例》（中华人民共和国务院令第190号，根据2011年1月8日国务院令第588号&lt;国务院关于废止和修改部分行政法规的决定&gt;修订）；</w:t>
      </w:r>
    </w:p>
    <w:p>
      <w:pPr>
        <w:numPr>
          <w:ilvl w:val="3"/>
          <w:numId w:val="4"/>
        </w:numPr>
        <w:tabs>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《生产安全事故报告和调查处理条例》（中华人民共和国国务院令第493号）；</w:t>
      </w:r>
    </w:p>
    <w:p>
      <w:pPr>
        <w:numPr>
          <w:ilvl w:val="3"/>
          <w:numId w:val="4"/>
        </w:numPr>
        <w:tabs>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《特种设备安全监察条例》（中华人民共和国国务院令第549号）。</w:t>
      </w:r>
    </w:p>
    <w:p>
      <w:pPr>
        <w:pStyle w:val="6"/>
        <w:rPr>
          <w:color w:val="000000" w:themeColor="text1"/>
          <w14:textFill>
            <w14:solidFill>
              <w14:schemeClr w14:val="tx1"/>
            </w14:solidFill>
          </w14:textFill>
        </w:rPr>
      </w:pPr>
      <w:bookmarkStart w:id="53" w:name="_Toc19848"/>
      <w:bookmarkStart w:id="54" w:name="_Toc103178245"/>
      <w:bookmarkStart w:id="55" w:name="_Toc129520579"/>
      <w:bookmarkStart w:id="56" w:name="_Toc376246554"/>
      <w:bookmarkStart w:id="57" w:name="_Toc369097749"/>
      <w:bookmarkStart w:id="58" w:name="_Toc51340618"/>
      <w:bookmarkStart w:id="59" w:name="_Toc54294384"/>
      <w:bookmarkStart w:id="60" w:name="_Toc477116084"/>
      <w:bookmarkStart w:id="61" w:name="_Toc3239"/>
      <w:r>
        <w:rPr>
          <w:rFonts w:hint="eastAsia"/>
          <w:color w:val="000000" w:themeColor="text1"/>
          <w14:textFill>
            <w14:solidFill>
              <w14:schemeClr w14:val="tx1"/>
            </w14:solidFill>
          </w14:textFill>
        </w:rPr>
        <w:t>部门规章及规范性文件</w:t>
      </w:r>
      <w:bookmarkEnd w:id="53"/>
      <w:bookmarkEnd w:id="54"/>
      <w:bookmarkEnd w:id="55"/>
      <w:bookmarkEnd w:id="56"/>
      <w:bookmarkEnd w:id="57"/>
      <w:bookmarkEnd w:id="58"/>
      <w:bookmarkEnd w:id="59"/>
      <w:bookmarkEnd w:id="60"/>
      <w:bookmarkEnd w:id="61"/>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《安全生产事故隐患排查治理暂行规定》（国家安全生产监督管理总局令第16号）；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《非药品类易制毒化学品生产、经营许可办法》（中华人民共和国国家安全生产监督管理总局令第5号）；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《国家安全监管总局关于废止和修改危险化学品等领域七部规章的决定》（国家安全生产监督管理总局令第79号）；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《特种作业人员安全技术培训考核管理规定》（国家安全生产监督管理总局30号令，根据国家安全监管总局令第80号第二次修正）；</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《国家安全监管总局关于修改〈&lt;生产安全事故报告和调查处理条例&gt;罚款处罚暂行规定〉的决定》（国家安全生产监督管理总局令第42号）；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《安全生产培训管理办法》（安监总局令第44号，根据国家安全监管总局令第80号第二次修正）；</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《工贸企业有限空间作业安全管理与监督暂行规定》（国家安全生产监督管理总局令第59号，根据国家安全监管总局令第80号修正）；</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《生产安全事故应急预案管理办法》（国家安全生产监督管理总局令第88号，根据中华人民共和国应急管理部令第2号修正）；</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《易制爆危险化学品名录》（2017版）；</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《危险化学品目录》（2015版）；</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《国家安全监管总局办公厅关于印发危险化学品目录（2015版）实施指南（试行）的通知》（安监总厅管三〔2015〕80号）；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《国务院安委会办公室关于印发工贸行业企业安全生产标准化建设和安全生产事故隐患排查治理体系建设实施指南的通知》（安委办〔2012〕28号）；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《关于全面推进全国工贸行业企业安全生产标准化建设的意见》（安监总管四〔2013〕8号）；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《机关、团体、企业、事业单位消防安全管理规定》（公安部令第61号）；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《产业结构调整指导目录（2019年本）》（</w:t>
      </w:r>
      <w:r>
        <w:rPr>
          <w:rFonts w:hint="eastAsia"/>
          <w:color w:val="000000" w:themeColor="text1"/>
          <w:szCs w:val="28"/>
          <w14:textFill>
            <w14:solidFill>
              <w14:schemeClr w14:val="tx1"/>
            </w14:solidFill>
          </w14:textFill>
        </w:rPr>
        <w:t>中华人民共和国国家发展和改革委员会令第29号，根据中华人民共和国国家发展和改革委员会令第49号修订</w:t>
      </w:r>
      <w:r>
        <w:rPr>
          <w:color w:val="000000" w:themeColor="text1"/>
          <w:szCs w:val="28"/>
          <w14:textFill>
            <w14:solidFill>
              <w14:schemeClr w14:val="tx1"/>
            </w14:solidFill>
          </w14:textFill>
        </w:rPr>
        <w:t>）；</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《中国气象局关于修改&lt;防雷减灾管理办法&gt;的决定》（中国气象局第24号）；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《财政部 应急部关于印发〈企业安全生产费用提取和使用管理办法〉的通知》（财资〔2022〕136号）</w:t>
      </w:r>
      <w:r>
        <w:rPr>
          <w:color w:val="000000" w:themeColor="text1"/>
          <w:szCs w:val="28"/>
          <w14:textFill>
            <w14:solidFill>
              <w14:schemeClr w14:val="tx1"/>
            </w14:solidFill>
          </w14:textFill>
        </w:rPr>
        <w:t>；</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《国务院办公厅关于进一步做好防雷减灾工作的通知》（国办发明电〔2006〕28号）；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《国务院安委会办公室关于进一步加强安全生产应急预案管理工作的通知》（安委办〔2015〕11号）；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《国家安全监管总局办公厅关于开展工贸企业有限空间作业条件确认工作的通知》（安监总厅管四〔2014〕37号）；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办公厅关于印发用人单位劳动防护用品管理规范的通知》（安监总厅安健〔2015〕124号，根据《国家安全监管总局办公厅关于修改用人单位劳动防护用品管理规范的通知》（安监总厅安健〔2018〕3号）修订）；</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《关于印发&lt;职业病危害因素分类目录&gt;的通知》（国卫疾控发〔2015〕92号）；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《国家安全监管总局关于公布首批重点监管的危险化学品名录的通知》（安监总管三〔2011〕95号）；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《国家安全监管总局办公厅关于印发首批重点监管的危险化学品安全措施和应急处置原则的通知》（安监总厅管三〔2011〕142号）；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《国家安全监管总局关于公布第二批重点监管危险化学品名录的通知》（安监总管三〔2013〕12号）；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《质监总局关于修订&lt;特种设备目录&gt;的公告》（2014年第114号）；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《市场监管总局关于特种设备行政许可有关事项的公告》（2019年第3号）；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《市场监管总局关于特种设备行政许可有关事项的公告》（2021年第41号）</w:t>
      </w:r>
      <w:r>
        <w:rPr>
          <w:rFonts w:hint="eastAsia"/>
          <w:color w:val="000000" w:themeColor="text1"/>
          <w:szCs w:val="28"/>
          <w14:textFill>
            <w14:solidFill>
              <w14:schemeClr w14:val="tx1"/>
            </w14:solidFill>
          </w14:textFill>
        </w:rPr>
        <w:t>；</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《国家安全监管总局关于印发淘汰落后安全技术装备目录（2015年第一批）的通知》（安监总科技〔2015〕75号）；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《淘汰落后安全技术装备目录》（2016年第一批）；</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《国家安全监管总局关于印发《工贸行业重大生产安全事故隐患判定标准（2017版）》的通知》（安监总管四〔2017〕129号）；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《国家安全监管总局关于印发开展工贸企业较大危险因素辨识管控提升防范事故能力行动计划的通知》（安监总管四〔2016〕31号）；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《国家安全监管总局关于印发工贸行业遏制重特大事故工作意见的通知》（安监总管四〔2016〕68号）；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《国务院安委会办公室关于实施遏制重特大事故工作指南构建双重预防机制的意见》（安委办〔2016〕11号）；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《应急管理部办公厅关于印发《有限空间作业安全指导手册》和4个专题系列折页的通知》（应急厅函〔2020〕299号）；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《国家安全生产应急救援中心关于印发&lt;有限空间作业事故安全施救指南&gt;的通知》（应救协调〔2021〕5号）；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《特别管控危险化学品目录（第一版）》（应急管理部、工业和信息化部、公安部、交通运输部公告，2020年第1号）</w:t>
      </w:r>
      <w:r>
        <w:rPr>
          <w:rFonts w:hint="eastAsia"/>
          <w:color w:val="000000" w:themeColor="text1"/>
          <w:szCs w:val="28"/>
          <w14:textFill>
            <w14:solidFill>
              <w14:schemeClr w14:val="tx1"/>
            </w14:solidFill>
          </w14:textFill>
        </w:rPr>
        <w:t>；</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《工贸企业粉尘防爆安全规定》（中华人民共和国应急管理部令第6号）；</w:t>
      </w:r>
    </w:p>
    <w:p>
      <w:pPr>
        <w:numPr>
          <w:ilvl w:val="0"/>
          <w:numId w:val="5"/>
        </w:numPr>
        <w:tabs>
          <w:tab w:val="left" w:pos="0"/>
          <w:tab w:val="left" w:pos="630"/>
          <w:tab w:val="left" w:pos="735"/>
          <w:tab w:val="left" w:pos="840"/>
          <w:tab w:val="left" w:pos="980"/>
        </w:tabs>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《工贸企业重大事故隐患判定标准》（中华人民共和国应急管理部令第1</w:t>
      </w:r>
      <w:r>
        <w:rPr>
          <w:color w:val="000000" w:themeColor="text1"/>
          <w:szCs w:val="28"/>
          <w14:textFill>
            <w14:solidFill>
              <w14:schemeClr w14:val="tx1"/>
            </w14:solidFill>
          </w14:textFill>
        </w:rPr>
        <w:t>0</w:t>
      </w:r>
      <w:r>
        <w:rPr>
          <w:rFonts w:hint="eastAsia"/>
          <w:color w:val="000000" w:themeColor="text1"/>
          <w:szCs w:val="28"/>
          <w14:textFill>
            <w14:solidFill>
              <w14:schemeClr w14:val="tx1"/>
            </w14:solidFill>
          </w14:textFill>
        </w:rPr>
        <w:t>号）。</w:t>
      </w:r>
    </w:p>
    <w:p>
      <w:pPr>
        <w:pStyle w:val="6"/>
        <w:rPr>
          <w:color w:val="000000" w:themeColor="text1"/>
          <w14:textFill>
            <w14:solidFill>
              <w14:schemeClr w14:val="tx1"/>
            </w14:solidFill>
          </w14:textFill>
        </w:rPr>
      </w:pPr>
      <w:bookmarkStart w:id="62" w:name="_Toc335926128"/>
      <w:bookmarkStart w:id="63" w:name="_Toc8957"/>
      <w:bookmarkStart w:id="64" w:name="_Toc369097750"/>
      <w:bookmarkStart w:id="65" w:name="_Toc129520580"/>
      <w:bookmarkStart w:id="66" w:name="_Toc477116085"/>
      <w:bookmarkStart w:id="67" w:name="_Toc376246555"/>
      <w:bookmarkStart w:id="68" w:name="_Toc103178246"/>
      <w:bookmarkStart w:id="69" w:name="_Toc51340619"/>
      <w:bookmarkStart w:id="70" w:name="_Toc54294385"/>
      <w:bookmarkStart w:id="71" w:name="_Toc32200"/>
      <w:r>
        <w:rPr>
          <w:rFonts w:hint="eastAsia"/>
          <w:color w:val="000000" w:themeColor="text1"/>
          <w14:textFill>
            <w14:solidFill>
              <w14:schemeClr w14:val="tx1"/>
            </w14:solidFill>
          </w14:textFill>
        </w:rPr>
        <w:t>地方</w:t>
      </w:r>
      <w:r>
        <w:rPr>
          <w:color w:val="000000" w:themeColor="text1"/>
          <w14:textFill>
            <w14:solidFill>
              <w14:schemeClr w14:val="tx1"/>
            </w14:solidFill>
          </w14:textFill>
        </w:rPr>
        <w:t>有关法规</w:t>
      </w:r>
      <w:bookmarkEnd w:id="62"/>
      <w:r>
        <w:rPr>
          <w:rFonts w:hint="eastAsia"/>
          <w:color w:val="000000" w:themeColor="text1"/>
          <w14:textFill>
            <w14:solidFill>
              <w14:schemeClr w14:val="tx1"/>
            </w14:solidFill>
          </w14:textFill>
        </w:rPr>
        <w:t>及规范性文件</w:t>
      </w:r>
      <w:bookmarkEnd w:id="63"/>
      <w:bookmarkEnd w:id="64"/>
      <w:bookmarkEnd w:id="65"/>
      <w:bookmarkEnd w:id="66"/>
      <w:bookmarkEnd w:id="67"/>
      <w:bookmarkEnd w:id="68"/>
      <w:bookmarkEnd w:id="69"/>
      <w:bookmarkEnd w:id="70"/>
      <w:bookmarkEnd w:id="71"/>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《云南省安全生产条例》（云南省第十二届人民代表大会常务委员会公告第63号，自2018年1月1日起施行）；</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《云南省人民政府贯彻落实国务院关于进一步加强企业安全生产工作通知的实施意见》（云政发〔2010〕157号）；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《云南省安全生产委员会关于印发云南省安全生产专项整治三年行动计划的通知》（云安〔2020〕4号）；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《云南省安全生产委员会办公室关于印发&lt;云南省工贸行业安全生产综合治理实施方案&gt;的通知》（云安办〔2020〕16号）；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《云南省应急管理厅办公室关于印发2019年工贸行业安全生产重大风险源填报指南的通知》（云应急办函〔2019〕25号）；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《云南省安全生产委员会关于进一步落实企业全员安全生产责任制的指导意见》（云安〔2017〕10号）；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《云南省企业安全生产标准化建设实施办法》（云安监管规〔2018〕1号）；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《云南省安全生产监督管理局关于进一步加强工贸行业有限空间作业安全生产工作的通知》（云安监管函〔2016〕85号）；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《关于深入开展工贸行业有限空间作业生产安全事故隐患排查治理暨有限空间作业条件确认安全监管执法2018年-2020年专项行动工作方案》（云安监管〔2018〕7号）；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《云南省应急管理厅关于在重点工贸企业开展安全生产动态巡查和预警工作的通知》（云应急〔2020〕10号）；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《云南省应急管理厅关于学习使用&lt;有限空间作业安全指导手册&gt;和4个专题系列折页的通知》（云应急函〔2020〕238号）；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《云南省应急管理厅办公室关于开展四类工贸企业安全生产专项执法行动的通知》（云应急办函〔2020〕62号）；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《云南省安全生产委员会关于建立完善安全风险分级管控和隐患排查治理双重预防机制的指导意见》（云安〔2021〕3号）；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《云南省安全生产委员会办公室关于推进工贸行业安全生产综合治理集中攻坚工作的通知》（云安办〔2021〕7号）；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《云南省应急管理厅关于印发《云南省工贸行业企业安全风险源点定性定量判别参考标准指南（试行）》的通知》（云安〔2022〕8号）；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《云南省安全生产委员会办公室关于进一步加强企业安全培训教育工作的通知》（云安办〔2022〕9号）；</w:t>
      </w:r>
    </w:p>
    <w:p>
      <w:pPr>
        <w:numPr>
          <w:ilvl w:val="3"/>
          <w:numId w:val="6"/>
        </w:numPr>
        <w:tabs>
          <w:tab w:val="left" w:pos="675"/>
          <w:tab w:val="left" w:pos="735"/>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《云南省应急管理厅关于印发&lt;云南省工贸企业安全生产主体责任重点事项清单（暂行）&gt;的通知》（云应急〔2022〕9号）；</w:t>
      </w:r>
    </w:p>
    <w:p>
      <w:pPr>
        <w:numPr>
          <w:ilvl w:val="3"/>
          <w:numId w:val="6"/>
        </w:numPr>
        <w:tabs>
          <w:tab w:val="left" w:pos="675"/>
          <w:tab w:val="left" w:pos="735"/>
          <w:tab w:val="left" w:pos="945"/>
        </w:tabs>
        <w:adjustRightInd w:val="0"/>
        <w:ind w:firstLine="560"/>
      </w:pPr>
      <w:r>
        <w:rPr>
          <w:rFonts w:hint="eastAsia"/>
          <w:color w:val="000000" w:themeColor="text1"/>
          <w:szCs w:val="28"/>
          <w14:textFill>
            <w14:solidFill>
              <w14:schemeClr w14:val="tx1"/>
            </w14:solidFill>
          </w14:textFill>
        </w:rPr>
        <w:t>《云南省人民政府关于印发云南省生产经营单位安全生产主体责任规定的通知》（云政规〔2022〕4号）</w:t>
      </w:r>
      <w:r>
        <w:rPr>
          <w:rFonts w:hint="eastAsia"/>
          <w:color w:val="000000" w:themeColor="text1"/>
          <w:szCs w:val="28"/>
          <w:lang w:eastAsia="zh-CN"/>
          <w14:textFill>
            <w14:solidFill>
              <w14:schemeClr w14:val="tx1"/>
            </w14:solidFill>
          </w14:textFill>
        </w:rPr>
        <w:t>；</w:t>
      </w:r>
    </w:p>
    <w:p>
      <w:pPr>
        <w:numPr>
          <w:ilvl w:val="3"/>
          <w:numId w:val="6"/>
        </w:numPr>
        <w:tabs>
          <w:tab w:val="left" w:pos="675"/>
          <w:tab w:val="left" w:pos="735"/>
          <w:tab w:val="left" w:pos="945"/>
        </w:tabs>
        <w:adjustRightInd w:val="0"/>
        <w:ind w:firstLine="560"/>
      </w:pPr>
      <w:r>
        <w:rPr>
          <w:rFonts w:hint="eastAsia"/>
        </w:rPr>
        <w:t>《云南省生产安全事故应急办法》</w:t>
      </w:r>
      <w:r>
        <w:rPr>
          <w:rFonts w:hint="eastAsia"/>
          <w:lang w:eastAsia="zh-CN"/>
        </w:rPr>
        <w:t>（</w:t>
      </w:r>
      <w:r>
        <w:rPr>
          <w:rFonts w:hint="eastAsia"/>
          <w:lang w:val="en-US" w:eastAsia="zh-CN"/>
        </w:rPr>
        <w:t>云南省政府令227号）。</w:t>
      </w:r>
    </w:p>
    <w:p>
      <w:pPr>
        <w:pStyle w:val="6"/>
        <w:rPr>
          <w:color w:val="000000" w:themeColor="text1"/>
          <w14:textFill>
            <w14:solidFill>
              <w14:schemeClr w14:val="tx1"/>
            </w14:solidFill>
          </w14:textFill>
        </w:rPr>
      </w:pPr>
      <w:bookmarkStart w:id="72" w:name="_Toc23990"/>
      <w:bookmarkStart w:id="73" w:name="_Toc477116086"/>
      <w:bookmarkStart w:id="74" w:name="_Toc103178247"/>
      <w:bookmarkStart w:id="75" w:name="_Toc54294386"/>
      <w:bookmarkStart w:id="76" w:name="_Toc129520581"/>
      <w:bookmarkStart w:id="77" w:name="_Toc51340620"/>
      <w:bookmarkStart w:id="78" w:name="_Toc26868"/>
      <w:r>
        <w:rPr>
          <w:rFonts w:hint="eastAsia"/>
          <w:color w:val="000000" w:themeColor="text1"/>
          <w14:textFill>
            <w14:solidFill>
              <w14:schemeClr w14:val="tx1"/>
            </w14:solidFill>
          </w14:textFill>
        </w:rPr>
        <w:t>国家标准</w:t>
      </w:r>
      <w:bookmarkEnd w:id="72"/>
      <w:bookmarkEnd w:id="73"/>
      <w:bookmarkEnd w:id="74"/>
      <w:bookmarkEnd w:id="75"/>
      <w:bookmarkEnd w:id="76"/>
      <w:bookmarkEnd w:id="77"/>
      <w:bookmarkEnd w:id="78"/>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《工业企业总平面设计规范》（GB 50187-2012）；</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《工业企业设计卫生标准》（GBZ 1-2010）；</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《生产过程安全卫生要求总则》（GB/T 12801-2008）；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《生产设备安全卫生设计总则》（GB 5083-1999）；</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《工业企业噪声控制设计规范》（GB/T 50087-2013）；</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《建筑设计防火规范（2018年版）》（GB 50016-2014）；</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《建筑物防雷设计规范》（GB 50057-2010）；</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《建筑抗震设计规范（2016年版）》（GB 50011-2010）；</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《危险化学品重大危险源辨识》（GB 18218-2018）；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《建筑灭火器配置设计规范》（GB 50140-2005）；</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《建筑灭火器配置验收及检查规范》（GB 50444-2008）；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w:t>
      </w:r>
      <w:r>
        <w:rPr>
          <w:rFonts w:hint="eastAsia"/>
          <w:color w:val="000000" w:themeColor="text1"/>
          <w:szCs w:val="28"/>
          <w:lang w:eastAsia="zh-CN"/>
          <w14:textFill>
            <w14:solidFill>
              <w14:schemeClr w14:val="tx1"/>
            </w14:solidFill>
          </w14:textFill>
        </w:rPr>
        <w:t>消防安全标志 第1部分：标志</w:t>
      </w:r>
      <w:r>
        <w:rPr>
          <w:rFonts w:hint="eastAsia"/>
          <w:color w:val="000000" w:themeColor="text1"/>
          <w:szCs w:val="28"/>
          <w14:textFill>
            <w14:solidFill>
              <w14:schemeClr w14:val="tx1"/>
            </w14:solidFill>
          </w14:textFill>
        </w:rPr>
        <w:t>》（GB 13495.1-2015）；</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《消防设施通用规范》（GB 55036-2022）；</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《建筑给水排水设计标准》（GB 50015-2019）；</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建筑与工业给水排水系统安全评价标准</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GB</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T 51188-2016</w:t>
      </w:r>
      <w:r>
        <w:rPr>
          <w:rFonts w:hint="eastAsia"/>
          <w:color w:val="000000" w:themeColor="text1"/>
          <w:szCs w:val="28"/>
          <w14:textFill>
            <w14:solidFill>
              <w14:schemeClr w14:val="tx1"/>
            </w14:solidFill>
          </w14:textFill>
        </w:rPr>
        <w:t>）；</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《室外排水设计标准》（GB 50014-20</w:t>
      </w:r>
      <w:r>
        <w:rPr>
          <w:color w:val="000000" w:themeColor="text1"/>
          <w:szCs w:val="28"/>
          <w14:textFill>
            <w14:solidFill>
              <w14:schemeClr w14:val="tx1"/>
            </w14:solidFill>
          </w14:textFill>
        </w:rPr>
        <w:t>21</w:t>
      </w:r>
      <w:r>
        <w:rPr>
          <w:rFonts w:hint="eastAsia"/>
          <w:color w:val="000000" w:themeColor="text1"/>
          <w:szCs w:val="28"/>
          <w14:textFill>
            <w14:solidFill>
              <w14:schemeClr w14:val="tx1"/>
            </w14:solidFill>
          </w14:textFill>
        </w:rPr>
        <w:t>）；</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《室外给水设计标准》（GB 50013-2018）；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《企业职工伤亡事故分类标准》（GB 6441-1986）；</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《电气装置安装工程 电缆线路施工及验收标准》（GB 50168-20</w:t>
      </w:r>
      <w:r>
        <w:rPr>
          <w:color w:val="000000" w:themeColor="text1"/>
          <w:szCs w:val="28"/>
          <w14:textFill>
            <w14:solidFill>
              <w14:schemeClr w14:val="tx1"/>
            </w14:solidFill>
          </w14:textFill>
        </w:rPr>
        <w:t>18</w:t>
      </w:r>
      <w:r>
        <w:rPr>
          <w:rFonts w:hint="eastAsia"/>
          <w:color w:val="000000" w:themeColor="text1"/>
          <w:szCs w:val="28"/>
          <w14:textFill>
            <w14:solidFill>
              <w14:schemeClr w14:val="tx1"/>
            </w14:solidFill>
          </w14:textFill>
        </w:rPr>
        <w:t>）；</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《建筑电气工程施工质量验收规范》（GB 50303-2015）；</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《生产过程危险和有害因素分类与代码》（GB/T 13861-</w:t>
      </w:r>
      <w:r>
        <w:rPr>
          <w:color w:val="000000" w:themeColor="text1"/>
          <w:szCs w:val="28"/>
          <w14:textFill>
            <w14:solidFill>
              <w14:schemeClr w14:val="tx1"/>
            </w14:solidFill>
          </w14:textFill>
        </w:rPr>
        <w:t>2022</w:t>
      </w:r>
      <w:r>
        <w:rPr>
          <w:rFonts w:hint="eastAsia"/>
          <w:color w:val="000000" w:themeColor="text1"/>
          <w:szCs w:val="28"/>
          <w14:textFill>
            <w14:solidFill>
              <w14:schemeClr w14:val="tx1"/>
            </w14:solidFill>
          </w14:textFill>
        </w:rPr>
        <w:t>）；</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《安全标志及其使用导则》（GB 2894-2008）；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《图形符号 安全色和安全标志 第5部分：安全标志使用原则与要求》（GB/T 2893.5-2020）；</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《固定式钢梯及平台安全要求 第1部分：钢直梯》（GB 4053.</w:t>
      </w: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-2009）；</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《固定式钢梯及平台安全要求 第2部分：钢斜梯》（GB 4053.2-2009）；</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《固定式钢梯及平台安全要求 第3部分：工业防护栏杆及钢平台》（GB 4053.3-2009）；</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《机械安全 防护装置 固定式和活动式防护装置的设计与制造一般要求》（GB</w:t>
      </w:r>
      <w:r>
        <w:rPr>
          <w:color w:val="000000" w:themeColor="text1"/>
          <w:szCs w:val="28"/>
          <w14:textFill>
            <w14:solidFill>
              <w14:schemeClr w14:val="tx1"/>
            </w14:solidFill>
          </w14:textFill>
        </w:rPr>
        <w:t>/T</w:t>
      </w:r>
      <w:r>
        <w:rPr>
          <w:rFonts w:hint="eastAsia"/>
          <w:color w:val="000000" w:themeColor="text1"/>
          <w:szCs w:val="28"/>
          <w14:textFill>
            <w14:solidFill>
              <w14:schemeClr w14:val="tx1"/>
            </w14:solidFill>
          </w14:textFill>
        </w:rPr>
        <w:t xml:space="preserve"> 8196-2018）；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《机械安全 生产设备安全通则》（GB/T 35076-2018）；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《机械安全危险能量控制方法上锁/挂牌》（GB/T 33579-2017）；</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《用电安全导则》（GB/T 13869-2017）；</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《低压配电设计规范》（GB 50054-2011）；</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《20kV及以下变电所设计规范》（GB50053-2013）；</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《3～110kV高压配电装置设计规范》（GB50060-2008）；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《电气设备安全设计导则》（GB/T 25295-2010）；</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《通用用电设备配电设计规范》（GB50055-2011）；</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《供配电系统设计规范》（GB50052-2009）；</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《电击防护装置和设备的通用部分》（GB/T 17045-2020）；</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《防止静电事故通用导则》（GB12158-2006）；</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《手持式电动工具的管理、使用、检查和维修安全技术规程》（GB/T 3787-2017）；</w:t>
      </w:r>
    </w:p>
    <w:p>
      <w:pPr>
        <w:keepNext w:val="0"/>
        <w:keepLines w:val="0"/>
        <w:pageBreakBefore w:val="0"/>
        <w:widowControl w:val="0"/>
        <w:numPr>
          <w:ilvl w:val="3"/>
          <w:numId w:val="7"/>
        </w:numPr>
        <w:tabs>
          <w:tab w:val="left" w:pos="675"/>
          <w:tab w:val="left" w:pos="720"/>
          <w:tab w:val="left" w:pos="945"/>
        </w:tabs>
        <w:kinsoku/>
        <w:wordWrap w:val="0"/>
        <w:overflowPunct/>
        <w:topLinePunct w:val="0"/>
        <w:autoSpaceDE/>
        <w:autoSpaceDN/>
        <w:bidi w:val="0"/>
        <w:adjustRightInd w:val="0"/>
        <w:snapToGrid/>
        <w:ind w:firstLine="560"/>
        <w:jc w:val="left"/>
        <w:textAlignment w:val="auto"/>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《个体防护装备配备规范 第1部分：总则》（GB 39800.1-2020）；</w:t>
      </w:r>
    </w:p>
    <w:p>
      <w:pPr>
        <w:keepNext w:val="0"/>
        <w:keepLines w:val="0"/>
        <w:pageBreakBefore w:val="0"/>
        <w:widowControl w:val="0"/>
        <w:numPr>
          <w:ilvl w:val="3"/>
          <w:numId w:val="7"/>
        </w:numPr>
        <w:tabs>
          <w:tab w:val="left" w:pos="675"/>
          <w:tab w:val="left" w:pos="720"/>
          <w:tab w:val="left" w:pos="945"/>
        </w:tabs>
        <w:kinsoku/>
        <w:wordWrap w:val="0"/>
        <w:overflowPunct/>
        <w:topLinePunct w:val="0"/>
        <w:autoSpaceDE/>
        <w:autoSpaceDN/>
        <w:bidi w:val="0"/>
        <w:adjustRightInd w:val="0"/>
        <w:snapToGrid/>
        <w:ind w:firstLine="560"/>
        <w:jc w:val="left"/>
        <w:textAlignment w:val="auto"/>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《生产经营单位生产安全事故应急预案编制导则》（GB/T 29639-2020）；</w:t>
      </w:r>
    </w:p>
    <w:p>
      <w:pPr>
        <w:keepNext w:val="0"/>
        <w:keepLines w:val="0"/>
        <w:pageBreakBefore w:val="0"/>
        <w:widowControl w:val="0"/>
        <w:numPr>
          <w:ilvl w:val="3"/>
          <w:numId w:val="7"/>
        </w:numPr>
        <w:tabs>
          <w:tab w:val="left" w:pos="675"/>
          <w:tab w:val="left" w:pos="720"/>
          <w:tab w:val="left" w:pos="945"/>
        </w:tabs>
        <w:kinsoku/>
        <w:wordWrap w:val="0"/>
        <w:overflowPunct/>
        <w:topLinePunct w:val="0"/>
        <w:autoSpaceDE/>
        <w:autoSpaceDN/>
        <w:bidi w:val="0"/>
        <w:adjustRightInd w:val="0"/>
        <w:snapToGrid/>
        <w:ind w:firstLine="560"/>
        <w:jc w:val="left"/>
        <w:textAlignment w:val="auto"/>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《企业安全生产标准化基本规范》（GB/T 33000-2016）；</w:t>
      </w:r>
    </w:p>
    <w:p>
      <w:pPr>
        <w:keepNext w:val="0"/>
        <w:keepLines w:val="0"/>
        <w:pageBreakBefore w:val="0"/>
        <w:widowControl w:val="0"/>
        <w:numPr>
          <w:ilvl w:val="3"/>
          <w:numId w:val="7"/>
        </w:numPr>
        <w:tabs>
          <w:tab w:val="left" w:pos="675"/>
          <w:tab w:val="left" w:pos="720"/>
          <w:tab w:val="left" w:pos="945"/>
        </w:tabs>
        <w:kinsoku/>
        <w:wordWrap w:val="0"/>
        <w:overflowPunct/>
        <w:topLinePunct w:val="0"/>
        <w:autoSpaceDE/>
        <w:autoSpaceDN/>
        <w:bidi w:val="0"/>
        <w:adjustRightInd w:val="0"/>
        <w:snapToGrid/>
        <w:ind w:firstLine="560"/>
        <w:jc w:val="left"/>
        <w:textAlignment w:val="auto"/>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《建筑物防雷装置检测技术规范》（GB/T 21431-2015/XG1-2018）；</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《带式输送机 安全规范》（GB 14784-2013）</w:t>
      </w:r>
      <w:r>
        <w:rPr>
          <w:rFonts w:hint="eastAsia"/>
          <w:color w:val="000000" w:themeColor="text1"/>
          <w:szCs w:val="28"/>
          <w14:textFill>
            <w14:solidFill>
              <w14:schemeClr w14:val="tx1"/>
            </w14:solidFill>
          </w14:textFill>
        </w:rPr>
        <w:t>；</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《带式输送机》（GB/T 10595-2017）；</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《带式输送机工程技术标准》（GB50431-2020）；</w:t>
      </w:r>
    </w:p>
    <w:p>
      <w:pPr>
        <w:numPr>
          <w:ilvl w:val="3"/>
          <w:numId w:val="7"/>
        </w:numPr>
        <w:tabs>
          <w:tab w:val="left" w:pos="675"/>
          <w:tab w:val="left" w:pos="72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《压缩空气站设计规范》（</w:t>
      </w:r>
      <w:r>
        <w:rPr>
          <w:color w:val="000000" w:themeColor="text1"/>
          <w:szCs w:val="28"/>
          <w14:textFill>
            <w14:solidFill>
              <w14:schemeClr w14:val="tx1"/>
            </w14:solidFill>
          </w14:textFill>
        </w:rPr>
        <w:t>GB 50029-2014</w:t>
      </w:r>
      <w:r>
        <w:rPr>
          <w:rFonts w:hint="eastAsia"/>
          <w:color w:val="000000" w:themeColor="text1"/>
          <w:szCs w:val="28"/>
          <w14:textFill>
            <w14:solidFill>
              <w14:schemeClr w14:val="tx1"/>
            </w14:solidFill>
          </w14:textFill>
        </w:rPr>
        <w:t>）；</w:t>
      </w:r>
    </w:p>
    <w:p>
      <w:pPr>
        <w:numPr>
          <w:ilvl w:val="3"/>
          <w:numId w:val="7"/>
        </w:numPr>
        <w:tabs>
          <w:tab w:val="left" w:pos="675"/>
          <w:tab w:val="left" w:pos="720"/>
          <w:tab w:val="left" w:pos="945"/>
        </w:tabs>
        <w:adjustRightInd w:val="0"/>
        <w:ind w:firstLineChars="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《爆炸危险环境电力装置设计规范》（GB 50058-2014）；</w:t>
      </w:r>
    </w:p>
    <w:p>
      <w:pPr>
        <w:numPr>
          <w:ilvl w:val="3"/>
          <w:numId w:val="7"/>
        </w:numPr>
        <w:tabs>
          <w:tab w:val="left" w:pos="675"/>
          <w:tab w:val="left" w:pos="720"/>
          <w:tab w:val="left" w:pos="945"/>
        </w:tabs>
        <w:adjustRightInd w:val="0"/>
        <w:ind w:firstLineChars="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《爆炸性环境 第15部分：电气装置的设计、选型和安装》（GB/T 3836.15-2017）；</w:t>
      </w:r>
    </w:p>
    <w:p>
      <w:pPr>
        <w:numPr>
          <w:ilvl w:val="3"/>
          <w:numId w:val="7"/>
        </w:numPr>
        <w:tabs>
          <w:tab w:val="left" w:pos="675"/>
          <w:tab w:val="left" w:pos="720"/>
          <w:tab w:val="left" w:pos="945"/>
        </w:tabs>
        <w:adjustRightInd w:val="0"/>
        <w:ind w:firstLineChars="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《粉尘防爆安全规程》（GB 15577-2018）；</w:t>
      </w:r>
    </w:p>
    <w:p>
      <w:pPr>
        <w:numPr>
          <w:ilvl w:val="3"/>
          <w:numId w:val="7"/>
        </w:numPr>
        <w:tabs>
          <w:tab w:val="left" w:pos="675"/>
          <w:tab w:val="left" w:pos="720"/>
          <w:tab w:val="left" w:pos="945"/>
        </w:tabs>
        <w:adjustRightInd w:val="0"/>
        <w:ind w:firstLineChars="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《粉尘爆炸泄压指南》（</w:t>
      </w:r>
      <w:r>
        <w:rPr>
          <w:rFonts w:hint="eastAsia"/>
          <w:color w:val="000000" w:themeColor="text1"/>
          <w:szCs w:val="28"/>
          <w:lang w:eastAsia="zh-CN"/>
          <w14:textFill>
            <w14:solidFill>
              <w14:schemeClr w14:val="tx1"/>
            </w14:solidFill>
          </w14:textFill>
        </w:rPr>
        <w:t>GB/T 15605-2008</w:t>
      </w:r>
      <w:r>
        <w:rPr>
          <w:rFonts w:hint="eastAsia"/>
          <w:color w:val="000000" w:themeColor="text1"/>
          <w:szCs w:val="28"/>
          <w14:textFill>
            <w14:solidFill>
              <w14:schemeClr w14:val="tx1"/>
            </w14:solidFill>
          </w14:textFill>
        </w:rPr>
        <w:t>）；</w:t>
      </w:r>
    </w:p>
    <w:p>
      <w:pPr>
        <w:numPr>
          <w:ilvl w:val="3"/>
          <w:numId w:val="7"/>
        </w:numPr>
        <w:tabs>
          <w:tab w:val="left" w:pos="675"/>
          <w:tab w:val="left" w:pos="720"/>
          <w:tab w:val="left" w:pos="945"/>
        </w:tabs>
        <w:adjustRightInd w:val="0"/>
        <w:ind w:firstLineChars="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《粉尘爆炸危险场所用收尘器防爆导则》（GB/T 17919-2008）；</w:t>
      </w:r>
    </w:p>
    <w:p>
      <w:pPr>
        <w:numPr>
          <w:ilvl w:val="3"/>
          <w:numId w:val="7"/>
        </w:numPr>
        <w:tabs>
          <w:tab w:val="left" w:pos="675"/>
          <w:tab w:val="left" w:pos="720"/>
          <w:tab w:val="left" w:pos="945"/>
        </w:tabs>
        <w:adjustRightInd w:val="0"/>
        <w:ind w:firstLineChars="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《爆炸性环境 第1部分：设备 通用要求》（</w:t>
      </w:r>
      <w:r>
        <w:rPr>
          <w:rFonts w:hint="eastAsia"/>
          <w:color w:val="000000" w:themeColor="text1"/>
          <w:szCs w:val="28"/>
          <w:lang w:eastAsia="zh-CN"/>
          <w14:textFill>
            <w14:solidFill>
              <w14:schemeClr w14:val="tx1"/>
            </w14:solidFill>
          </w14:textFill>
        </w:rPr>
        <w:t>GB/T 3836.1-2021</w:t>
      </w:r>
      <w:r>
        <w:rPr>
          <w:rFonts w:hint="eastAsia"/>
          <w:color w:val="000000" w:themeColor="text1"/>
          <w:szCs w:val="28"/>
          <w14:textFill>
            <w14:solidFill>
              <w14:schemeClr w14:val="tx1"/>
            </w14:solidFill>
          </w14:textFill>
        </w:rPr>
        <w:t>）。</w:t>
      </w:r>
    </w:p>
    <w:p>
      <w:pPr>
        <w:pStyle w:val="6"/>
        <w:rPr>
          <w:color w:val="000000" w:themeColor="text1"/>
          <w14:textFill>
            <w14:solidFill>
              <w14:schemeClr w14:val="tx1"/>
            </w14:solidFill>
          </w14:textFill>
        </w:rPr>
      </w:pPr>
      <w:bookmarkStart w:id="79" w:name="_Toc51340621"/>
      <w:bookmarkStart w:id="80" w:name="_Toc103178248"/>
      <w:bookmarkStart w:id="81" w:name="_Toc15602"/>
      <w:bookmarkStart w:id="82" w:name="_Toc477116087"/>
      <w:bookmarkStart w:id="83" w:name="_Toc129520582"/>
      <w:bookmarkStart w:id="84" w:name="_Toc54294387"/>
      <w:bookmarkStart w:id="85" w:name="_Toc7158"/>
      <w:r>
        <w:rPr>
          <w:rFonts w:hint="eastAsia"/>
          <w:color w:val="000000" w:themeColor="text1"/>
          <w14:textFill>
            <w14:solidFill>
              <w14:schemeClr w14:val="tx1"/>
            </w14:solidFill>
          </w14:textFill>
        </w:rPr>
        <w:t>行业标准</w:t>
      </w:r>
      <w:bookmarkEnd w:id="79"/>
      <w:bookmarkEnd w:id="80"/>
      <w:bookmarkEnd w:id="81"/>
      <w:bookmarkEnd w:id="82"/>
      <w:bookmarkEnd w:id="83"/>
      <w:bookmarkEnd w:id="84"/>
      <w:bookmarkEnd w:id="85"/>
    </w:p>
    <w:p>
      <w:pPr>
        <w:numPr>
          <w:ilvl w:val="3"/>
          <w:numId w:val="8"/>
        </w:numPr>
        <w:tabs>
          <w:tab w:val="left" w:pos="675"/>
          <w:tab w:val="left" w:pos="720"/>
          <w:tab w:val="left" w:pos="84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《安全评价通则》（AQ 8001-2007）；</w:t>
      </w:r>
    </w:p>
    <w:p>
      <w:pPr>
        <w:numPr>
          <w:ilvl w:val="3"/>
          <w:numId w:val="8"/>
        </w:numPr>
        <w:tabs>
          <w:tab w:val="left" w:pos="675"/>
          <w:tab w:val="left" w:pos="720"/>
          <w:tab w:val="left" w:pos="84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《生产安全事故应急演练基本规范》（AQ/T 9007-2019）；</w:t>
      </w:r>
    </w:p>
    <w:p>
      <w:pPr>
        <w:numPr>
          <w:ilvl w:val="3"/>
          <w:numId w:val="8"/>
        </w:numPr>
        <w:tabs>
          <w:tab w:val="left" w:pos="675"/>
          <w:tab w:val="left" w:pos="720"/>
          <w:tab w:val="left" w:pos="84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《生产经营单位生产安全事故应急预案评估指南》（AQ/T 9011-2019）；</w:t>
      </w:r>
    </w:p>
    <w:p>
      <w:pPr>
        <w:numPr>
          <w:ilvl w:val="3"/>
          <w:numId w:val="8"/>
        </w:numPr>
        <w:tabs>
          <w:tab w:val="left" w:pos="675"/>
          <w:tab w:val="left" w:pos="720"/>
          <w:tab w:val="left" w:pos="84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《特种设备使用管理规则》（TSG 08-2017）；</w:t>
      </w:r>
    </w:p>
    <w:p>
      <w:pPr>
        <w:numPr>
          <w:ilvl w:val="3"/>
          <w:numId w:val="8"/>
        </w:numPr>
        <w:tabs>
          <w:tab w:val="left" w:pos="675"/>
          <w:tab w:val="left" w:pos="720"/>
          <w:tab w:val="left" w:pos="84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《安全阀安全技术监察规程》（TSG ZF001-2006）；</w:t>
      </w:r>
    </w:p>
    <w:p>
      <w:pPr>
        <w:numPr>
          <w:ilvl w:val="3"/>
          <w:numId w:val="8"/>
        </w:numPr>
        <w:tabs>
          <w:tab w:val="left" w:pos="675"/>
          <w:tab w:val="left" w:pos="720"/>
          <w:tab w:val="left" w:pos="840"/>
          <w:tab w:val="left" w:pos="945"/>
        </w:tabs>
        <w:adjustRightIn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w:t>
      </w:r>
      <w:r>
        <w:rPr>
          <w:rFonts w:hint="eastAsia"/>
          <w:color w:val="000000" w:themeColor="text1"/>
          <w:szCs w:val="28"/>
          <w:lang w:eastAsia="zh-CN"/>
          <w14:textFill>
            <w14:solidFill>
              <w14:schemeClr w14:val="tx1"/>
            </w14:solidFill>
          </w14:textFill>
        </w:rPr>
        <w:t>弹性元件式一般压力表、压力真空表和真空表检定规程</w:t>
      </w:r>
      <w:r>
        <w:rPr>
          <w:rFonts w:hint="eastAsia"/>
          <w:color w:val="000000" w:themeColor="text1"/>
          <w:szCs w:val="28"/>
          <w14:textFill>
            <w14:solidFill>
              <w14:schemeClr w14:val="tx1"/>
            </w14:solidFill>
          </w14:textFill>
        </w:rPr>
        <w:t>》（JJG 52-2013）。</w:t>
      </w:r>
    </w:p>
    <w:p>
      <w:pPr>
        <w:pStyle w:val="6"/>
        <w:rPr>
          <w:color w:val="000000" w:themeColor="text1"/>
          <w14:textFill>
            <w14:solidFill>
              <w14:schemeClr w14:val="tx1"/>
            </w14:solidFill>
          </w14:textFill>
        </w:rPr>
      </w:pPr>
      <w:bookmarkStart w:id="86" w:name="_Toc103178249"/>
      <w:bookmarkStart w:id="87" w:name="_Toc458245933"/>
      <w:bookmarkStart w:id="88" w:name="_Toc129520583"/>
      <w:bookmarkStart w:id="89" w:name="_Toc54294388"/>
      <w:bookmarkStart w:id="90" w:name="_Toc201697538"/>
      <w:bookmarkStart w:id="91" w:name="_Toc51340622"/>
      <w:bookmarkStart w:id="92" w:name="_Toc28409"/>
      <w:bookmarkStart w:id="93" w:name="_Toc21713"/>
      <w:r>
        <w:rPr>
          <w:color w:val="000000" w:themeColor="text1"/>
          <w14:textFill>
            <w14:solidFill>
              <w14:schemeClr w14:val="tx1"/>
            </w14:solidFill>
          </w14:textFill>
        </w:rPr>
        <w:t>其他文件、参考资料</w:t>
      </w:r>
      <w:bookmarkEnd w:id="86"/>
      <w:bookmarkEnd w:id="87"/>
      <w:bookmarkEnd w:id="88"/>
      <w:bookmarkEnd w:id="89"/>
      <w:bookmarkEnd w:id="90"/>
      <w:bookmarkEnd w:id="91"/>
      <w:bookmarkEnd w:id="92"/>
      <w:bookmarkEnd w:id="93"/>
    </w:p>
    <w:p>
      <w:pPr>
        <w:numPr>
          <w:ilvl w:val="0"/>
          <w:numId w:val="9"/>
        </w:numPr>
        <w:ind w:firstLine="560"/>
        <w:rPr>
          <w:color w:val="000000" w:themeColor="text1"/>
          <w:szCs w:val="21"/>
          <w14:textFill>
            <w14:solidFill>
              <w14:schemeClr w14:val="tx1"/>
            </w14:solidFill>
          </w14:textFill>
        </w:rPr>
      </w:pPr>
      <w:r>
        <w:t>玉溪玉象包装材料有限公司</w:t>
      </w:r>
      <w:r>
        <w:rPr>
          <w:color w:val="000000" w:themeColor="text1"/>
          <w:szCs w:val="21"/>
          <w14:textFill>
            <w14:solidFill>
              <w14:schemeClr w14:val="tx1"/>
            </w14:solidFill>
          </w14:textFill>
        </w:rPr>
        <w:t>委托</w:t>
      </w:r>
      <w:r>
        <w:rPr>
          <w:rFonts w:hint="eastAsia"/>
          <w:lang w:eastAsia="zh-CN"/>
        </w:rPr>
        <w:t>昭通市鼎安科技有限公司</w:t>
      </w:r>
      <w:r>
        <w:rPr>
          <w:color w:val="000000" w:themeColor="text1"/>
          <w:szCs w:val="21"/>
          <w14:textFill>
            <w14:solidFill>
              <w14:schemeClr w14:val="tx1"/>
            </w14:solidFill>
          </w14:textFill>
        </w:rPr>
        <w:t>进行安全现状评价的《委托书》；</w:t>
      </w:r>
    </w:p>
    <w:p>
      <w:pPr>
        <w:numPr>
          <w:ilvl w:val="0"/>
          <w:numId w:val="9"/>
        </w:numPr>
        <w:ind w:firstLine="560"/>
        <w:rPr>
          <w:color w:val="000000" w:themeColor="text1"/>
          <w:szCs w:val="21"/>
          <w14:textFill>
            <w14:solidFill>
              <w14:schemeClr w14:val="tx1"/>
            </w14:solidFill>
          </w14:textFill>
        </w:rPr>
      </w:pPr>
      <w:r>
        <w:t>玉溪玉象包装材料有限公司</w:t>
      </w:r>
      <w:r>
        <w:rPr>
          <w:color w:val="000000" w:themeColor="text1"/>
          <w:szCs w:val="21"/>
          <w14:textFill>
            <w14:solidFill>
              <w14:schemeClr w14:val="tx1"/>
            </w14:solidFill>
          </w14:textFill>
        </w:rPr>
        <w:t>提供的</w:t>
      </w:r>
      <w:r>
        <w:rPr>
          <w:snapToGrid w:val="0"/>
          <w:color w:val="000000" w:themeColor="text1"/>
          <w:kern w:val="0"/>
          <w:szCs w:val="28"/>
          <w14:textFill>
            <w14:solidFill>
              <w14:schemeClr w14:val="tx1"/>
            </w14:solidFill>
          </w14:textFill>
        </w:rPr>
        <w:t>图纸、技术文件、资料和图片；</w:t>
      </w:r>
    </w:p>
    <w:p>
      <w:pPr>
        <w:numPr>
          <w:ilvl w:val="0"/>
          <w:numId w:val="9"/>
        </w:numPr>
        <w:ind w:firstLine="560"/>
        <w:rPr>
          <w:color w:val="000000" w:themeColor="text1"/>
          <w:szCs w:val="21"/>
          <w14:textFill>
            <w14:solidFill>
              <w14:schemeClr w14:val="tx1"/>
            </w14:solidFill>
          </w14:textFill>
        </w:rPr>
      </w:pPr>
      <w:r>
        <w:rPr>
          <w:color w:val="000000" w:themeColor="text1"/>
          <w:szCs w:val="21"/>
          <w14:textFill>
            <w14:solidFill>
              <w14:schemeClr w14:val="tx1"/>
            </w14:solidFill>
          </w14:textFill>
        </w:rPr>
        <w:t>其他资料。</w:t>
      </w:r>
    </w:p>
    <w:p>
      <w:pPr>
        <w:pStyle w:val="5"/>
        <w:rPr>
          <w:snapToGrid w:val="0"/>
          <w:color w:val="000000" w:themeColor="text1"/>
          <w14:textFill>
            <w14:solidFill>
              <w14:schemeClr w14:val="tx1"/>
            </w14:solidFill>
          </w14:textFill>
        </w:rPr>
      </w:pPr>
      <w:bookmarkStart w:id="94" w:name="_Toc12257"/>
      <w:bookmarkStart w:id="95" w:name="_Toc103178250"/>
      <w:bookmarkStart w:id="96" w:name="_Toc201697539"/>
      <w:bookmarkStart w:id="97" w:name="_Toc51340623"/>
      <w:bookmarkStart w:id="98" w:name="_Toc54294389"/>
      <w:bookmarkStart w:id="99" w:name="_Toc129520584"/>
      <w:bookmarkStart w:id="100" w:name="_Toc458245934"/>
      <w:bookmarkStart w:id="101" w:name="_Toc26189"/>
      <w:r>
        <w:rPr>
          <w:snapToGrid w:val="0"/>
          <w:color w:val="000000" w:themeColor="text1"/>
          <w14:textFill>
            <w14:solidFill>
              <w14:schemeClr w14:val="tx1"/>
            </w14:solidFill>
          </w14:textFill>
        </w:rPr>
        <w:t>评价原则</w:t>
      </w:r>
      <w:bookmarkEnd w:id="94"/>
      <w:bookmarkEnd w:id="95"/>
      <w:bookmarkEnd w:id="96"/>
      <w:bookmarkEnd w:id="97"/>
      <w:bookmarkEnd w:id="98"/>
      <w:bookmarkEnd w:id="99"/>
      <w:bookmarkEnd w:id="100"/>
      <w:bookmarkEnd w:id="101"/>
    </w:p>
    <w:p>
      <w:pPr>
        <w:adjustRightInd w:val="0"/>
        <w:snapToGrid w:val="0"/>
        <w:ind w:firstLine="560"/>
        <w:rPr>
          <w:color w:val="000000" w:themeColor="text1"/>
          <w:szCs w:val="28"/>
          <w14:textFill>
            <w14:solidFill>
              <w14:schemeClr w14:val="tx1"/>
            </w14:solidFill>
          </w14:textFill>
        </w:rPr>
      </w:pPr>
      <w:bookmarkStart w:id="102" w:name="_Toc201697540"/>
      <w:r>
        <w:rPr>
          <w:rFonts w:hint="eastAsia"/>
          <w:lang w:eastAsia="zh-CN"/>
        </w:rPr>
        <w:t>昭通市鼎安科技有限公司</w:t>
      </w:r>
      <w:r>
        <w:rPr>
          <w:color w:val="000000" w:themeColor="text1"/>
          <w:szCs w:val="28"/>
          <w14:textFill>
            <w14:solidFill>
              <w14:schemeClr w14:val="tx1"/>
            </w14:solidFill>
          </w14:textFill>
        </w:rPr>
        <w:t>在对本项目进行安全现状评价工作中，始终坚持以下原则：</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严格执行国家现行有关</w:t>
      </w:r>
      <w:r>
        <w:rPr>
          <w:rFonts w:hint="eastAsia"/>
          <w:color w:val="000000" w:themeColor="text1"/>
          <w:szCs w:val="28"/>
          <w:lang w:eastAsia="zh-CN"/>
          <w14:textFill>
            <w14:solidFill>
              <w14:schemeClr w14:val="tx1"/>
            </w14:solidFill>
          </w14:textFill>
        </w:rPr>
        <w:t>法律法规</w:t>
      </w:r>
      <w:r>
        <w:rPr>
          <w:color w:val="000000" w:themeColor="text1"/>
          <w:szCs w:val="28"/>
          <w14:textFill>
            <w14:solidFill>
              <w14:schemeClr w14:val="tx1"/>
            </w14:solidFill>
          </w14:textFill>
        </w:rPr>
        <w:t>、标准、规章和规范的要求，对该企业进行科学、客观、公正、独立的安全评价；</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2.采用可靠、适用的评价技术和评价方法对项目进行定性、定量评价，遵循针对性、技术可行性、经济合理性、</w:t>
      </w:r>
      <w:r>
        <w:rPr>
          <w:rFonts w:hint="eastAsia"/>
          <w:color w:val="000000" w:themeColor="text1"/>
          <w:szCs w:val="28"/>
          <w:lang w:eastAsia="zh-CN"/>
          <w14:textFill>
            <w14:solidFill>
              <w14:schemeClr w14:val="tx1"/>
            </w14:solidFill>
          </w14:textFill>
        </w:rPr>
        <w:t>可操作性</w:t>
      </w:r>
      <w:r>
        <w:rPr>
          <w:color w:val="000000" w:themeColor="text1"/>
          <w:szCs w:val="28"/>
          <w14:textFill>
            <w14:solidFill>
              <w14:schemeClr w14:val="tx1"/>
            </w14:solidFill>
          </w14:textFill>
        </w:rPr>
        <w:t>原则，提出消除或减弱危险、有害因素的技术和管理对策措施建议；</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真实、准确地</w:t>
      </w:r>
      <w:r>
        <w:rPr>
          <w:rFonts w:hint="eastAsia"/>
          <w:color w:val="000000" w:themeColor="text1"/>
          <w:szCs w:val="28"/>
          <w:lang w:eastAsia="zh-CN"/>
          <w14:textFill>
            <w14:solidFill>
              <w14:schemeClr w14:val="tx1"/>
            </w14:solidFill>
          </w14:textFill>
        </w:rPr>
        <w:t>作出评价</w:t>
      </w:r>
      <w:r>
        <w:rPr>
          <w:color w:val="000000" w:themeColor="text1"/>
          <w:szCs w:val="28"/>
          <w14:textFill>
            <w14:solidFill>
              <w14:schemeClr w14:val="tx1"/>
            </w14:solidFill>
          </w14:textFill>
        </w:rPr>
        <w:t>结论，并对在当时条件下做出的安全评价后果承担法律责任；</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遵纪守法、恪守职业道德、诚实守信，对被评价对象的技术和商业秘密保密。</w:t>
      </w:r>
    </w:p>
    <w:p>
      <w:pPr>
        <w:pStyle w:val="5"/>
        <w:rPr>
          <w:snapToGrid w:val="0"/>
          <w:color w:val="000000" w:themeColor="text1"/>
          <w14:textFill>
            <w14:solidFill>
              <w14:schemeClr w14:val="tx1"/>
            </w14:solidFill>
          </w14:textFill>
        </w:rPr>
      </w:pPr>
      <w:bookmarkStart w:id="103" w:name="_Toc54294390"/>
      <w:bookmarkStart w:id="104" w:name="_Toc103178251"/>
      <w:bookmarkStart w:id="105" w:name="_Toc458245935"/>
      <w:bookmarkStart w:id="106" w:name="_Toc21924"/>
      <w:bookmarkStart w:id="107" w:name="_Toc51340624"/>
      <w:bookmarkStart w:id="108" w:name="_Toc129520585"/>
      <w:bookmarkStart w:id="109" w:name="_Toc10399"/>
      <w:r>
        <w:rPr>
          <w:snapToGrid w:val="0"/>
          <w:color w:val="000000" w:themeColor="text1"/>
          <w14:textFill>
            <w14:solidFill>
              <w14:schemeClr w14:val="tx1"/>
            </w14:solidFill>
          </w14:textFill>
        </w:rPr>
        <w:t>评价范围</w:t>
      </w:r>
      <w:bookmarkEnd w:id="102"/>
      <w:bookmarkEnd w:id="103"/>
      <w:bookmarkEnd w:id="104"/>
      <w:bookmarkEnd w:id="105"/>
      <w:bookmarkEnd w:id="106"/>
      <w:bookmarkEnd w:id="107"/>
      <w:bookmarkEnd w:id="108"/>
      <w:bookmarkEnd w:id="109"/>
    </w:p>
    <w:p>
      <w:pPr>
        <w:tabs>
          <w:tab w:val="left" w:pos="7560"/>
          <w:tab w:val="left" w:pos="810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本次安全评价的范围为：</w:t>
      </w:r>
      <w:r>
        <w:t>玉溪玉象包装材料有限公司</w:t>
      </w:r>
      <w:r>
        <w:rPr>
          <w:rFonts w:hint="eastAsia"/>
        </w:rPr>
        <w:t>食品用塑料包装容器</w:t>
      </w:r>
      <w:r>
        <w:rPr>
          <w:rFonts w:hint="eastAsia"/>
          <w:color w:val="000000" w:themeColor="text1"/>
          <w:szCs w:val="21"/>
          <w14:textFill>
            <w14:solidFill>
              <w14:schemeClr w14:val="tx1"/>
            </w14:solidFill>
          </w14:textFill>
        </w:rPr>
        <w:t>生产项目</w:t>
      </w:r>
      <w:r>
        <w:rPr>
          <w:color w:val="000000" w:themeColor="text1"/>
          <w:szCs w:val="21"/>
          <w14:textFill>
            <w14:solidFill>
              <w14:schemeClr w14:val="tx1"/>
            </w14:solidFill>
          </w14:textFill>
        </w:rPr>
        <w:t>的</w:t>
      </w:r>
      <w:r>
        <w:rPr>
          <w:color w:val="000000" w:themeColor="text1"/>
          <w:szCs w:val="20"/>
          <w14:textFill>
            <w14:solidFill>
              <w14:schemeClr w14:val="tx1"/>
            </w14:solidFill>
          </w14:textFill>
        </w:rPr>
        <w:t>厂址、总平面布置、设备设施、</w:t>
      </w:r>
      <w:r>
        <w:rPr>
          <w:bCs/>
          <w:color w:val="000000" w:themeColor="text1"/>
          <w:szCs w:val="28"/>
          <w14:textFill>
            <w14:solidFill>
              <w14:schemeClr w14:val="tx1"/>
            </w14:solidFill>
          </w14:textFill>
        </w:rPr>
        <w:t>公用工程及</w:t>
      </w:r>
      <w:r>
        <w:rPr>
          <w:color w:val="000000" w:themeColor="text1"/>
          <w14:textFill>
            <w14:solidFill>
              <w14:schemeClr w14:val="tx1"/>
            </w14:solidFill>
          </w14:textFill>
        </w:rPr>
        <w:t>辅助设施</w:t>
      </w:r>
      <w:r>
        <w:rPr>
          <w:color w:val="000000" w:themeColor="text1"/>
          <w:szCs w:val="28"/>
          <w14:textFill>
            <w14:solidFill>
              <w14:schemeClr w14:val="tx1"/>
            </w14:solidFill>
          </w14:textFill>
        </w:rPr>
        <w:t>以及安全管理等</w:t>
      </w:r>
      <w:r>
        <w:rPr>
          <w:rFonts w:hint="eastAsia"/>
          <w:color w:val="000000" w:themeColor="text1"/>
          <w:szCs w:val="28"/>
          <w14:textFill>
            <w14:solidFill>
              <w14:schemeClr w14:val="tx1"/>
            </w14:solidFill>
          </w14:textFill>
        </w:rPr>
        <w:t>。</w:t>
      </w:r>
    </w:p>
    <w:p>
      <w:pPr>
        <w:tabs>
          <w:tab w:val="left" w:pos="7560"/>
          <w:tab w:val="left" w:pos="810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厂外运输、职业卫生和环保等不在本次评价范围之内</w:t>
      </w:r>
      <w:r>
        <w:rPr>
          <w:rFonts w:hint="eastAsia"/>
          <w:color w:val="000000" w:themeColor="text1"/>
          <w:szCs w:val="28"/>
          <w14:textFill>
            <w14:solidFill>
              <w14:schemeClr w14:val="tx1"/>
            </w14:solidFill>
          </w14:textFill>
        </w:rPr>
        <w:t>，但在报告中可能会提及</w:t>
      </w:r>
      <w:r>
        <w:rPr>
          <w:color w:val="000000" w:themeColor="text1"/>
          <w:szCs w:val="28"/>
          <w14:textFill>
            <w14:solidFill>
              <w14:schemeClr w14:val="tx1"/>
            </w14:solidFill>
          </w14:textFill>
        </w:rPr>
        <w:t>。</w:t>
      </w:r>
    </w:p>
    <w:p>
      <w:pPr>
        <w:pStyle w:val="5"/>
        <w:rPr>
          <w:snapToGrid w:val="0"/>
          <w:color w:val="000000" w:themeColor="text1"/>
          <w14:textFill>
            <w14:solidFill>
              <w14:schemeClr w14:val="tx1"/>
            </w14:solidFill>
          </w14:textFill>
        </w:rPr>
      </w:pPr>
      <w:bookmarkStart w:id="110" w:name="_Toc201697541"/>
      <w:bookmarkStart w:id="111" w:name="_Toc103178252"/>
      <w:bookmarkStart w:id="112" w:name="_Toc129520586"/>
      <w:bookmarkStart w:id="113" w:name="_Toc54294391"/>
      <w:bookmarkStart w:id="114" w:name="_Toc8859"/>
      <w:bookmarkStart w:id="115" w:name="_Toc458245936"/>
      <w:bookmarkStart w:id="116" w:name="_Toc51340625"/>
      <w:bookmarkStart w:id="117" w:name="_Toc15495"/>
      <w:r>
        <w:rPr>
          <w:snapToGrid w:val="0"/>
          <w:color w:val="000000" w:themeColor="text1"/>
          <w14:textFill>
            <w14:solidFill>
              <w14:schemeClr w14:val="tx1"/>
            </w14:solidFill>
          </w14:textFill>
        </w:rPr>
        <w:t>评价程序</w:t>
      </w:r>
      <w:bookmarkEnd w:id="110"/>
      <w:bookmarkEnd w:id="111"/>
      <w:bookmarkEnd w:id="112"/>
      <w:bookmarkEnd w:id="113"/>
      <w:bookmarkEnd w:id="114"/>
      <w:bookmarkEnd w:id="115"/>
      <w:bookmarkEnd w:id="116"/>
      <w:bookmarkEnd w:id="117"/>
    </w:p>
    <w:p>
      <w:pPr>
        <w:adjustRightInd w:val="0"/>
        <w:snapToGrid w:val="0"/>
        <w:ind w:firstLine="560"/>
        <w:rPr>
          <w:color w:val="000000" w:themeColor="text1"/>
          <w:szCs w:val="28"/>
          <w14:textFill>
            <w14:solidFill>
              <w14:schemeClr w14:val="tx1"/>
            </w14:solidFill>
          </w14:textFill>
        </w:rPr>
      </w:pPr>
      <w:bookmarkStart w:id="118" w:name="_Toc172174189"/>
      <w:r>
        <w:rPr>
          <w:color w:val="000000" w:themeColor="text1"/>
          <w:szCs w:val="28"/>
          <w14:textFill>
            <w14:solidFill>
              <w14:schemeClr w14:val="tx1"/>
            </w14:solidFill>
          </w14:textFill>
        </w:rPr>
        <w:t>依据《安全评价通则》（AQ8001-2007）的相关规定，安全现状评价的评价程序主要分为前期准备；辨识与分析危险、有害因素；划分评价单元；选择评价方法；定性定量评价；提出对策措施建议；</w:t>
      </w:r>
      <w:r>
        <w:rPr>
          <w:rFonts w:hint="eastAsia"/>
          <w:color w:val="000000" w:themeColor="text1"/>
          <w:szCs w:val="28"/>
          <w:lang w:eastAsia="zh-CN"/>
          <w14:textFill>
            <w14:solidFill>
              <w14:schemeClr w14:val="tx1"/>
            </w14:solidFill>
          </w14:textFill>
        </w:rPr>
        <w:t>作出评价</w:t>
      </w:r>
      <w:r>
        <w:rPr>
          <w:color w:val="000000" w:themeColor="text1"/>
          <w:szCs w:val="28"/>
          <w14:textFill>
            <w14:solidFill>
              <w14:schemeClr w14:val="tx1"/>
            </w14:solidFill>
          </w14:textFill>
        </w:rPr>
        <w:t>结论；编制安全现状评价报告等。安全现状评价程序如图1-1所示。</w:t>
      </w:r>
    </w:p>
    <w:p>
      <w:pPr>
        <w:pStyle w:val="33"/>
        <w:jc w:val="cente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g">
            <w:drawing>
              <wp:inline distT="0" distB="0" distL="0" distR="0">
                <wp:extent cx="1818005" cy="3270885"/>
                <wp:effectExtent l="0" t="0" r="10795" b="24765"/>
                <wp:docPr id="16" name="组合 20"/>
                <wp:cNvGraphicFramePr/>
                <a:graphic xmlns:a="http://schemas.openxmlformats.org/drawingml/2006/main">
                  <a:graphicData uri="http://schemas.microsoft.com/office/word/2010/wordprocessingGroup">
                    <wpg:wgp>
                      <wpg:cNvGrpSpPr/>
                      <wpg:grpSpPr>
                        <a:xfrm>
                          <a:off x="0" y="0"/>
                          <a:ext cx="1818229" cy="3270899"/>
                          <a:chOff x="3861" y="1917"/>
                          <a:chExt cx="3780" cy="8332"/>
                        </a:xfrm>
                      </wpg:grpSpPr>
                      <wps:wsp>
                        <wps:cNvPr id="1" name="文本框 21"/>
                        <wps:cNvSpPr txBox="1"/>
                        <wps:spPr>
                          <a:xfrm>
                            <a:off x="3861" y="3009"/>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辨识与分析危险、有害因素</w:t>
                              </w:r>
                            </w:p>
                          </w:txbxContent>
                        </wps:txbx>
                        <wps:bodyPr wrap="square" upright="1"/>
                      </wps:wsp>
                      <wps:wsp>
                        <wps:cNvPr id="2" name="文本框 22"/>
                        <wps:cNvSpPr txBox="1"/>
                        <wps:spPr>
                          <a:xfrm>
                            <a:off x="3861" y="1917"/>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前期准备</w:t>
                              </w:r>
                            </w:p>
                          </w:txbxContent>
                        </wps:txbx>
                        <wps:bodyPr wrap="square" upright="1"/>
                      </wps:wsp>
                      <wps:wsp>
                        <wps:cNvPr id="3" name="文本框 23"/>
                        <wps:cNvSpPr txBox="1"/>
                        <wps:spPr>
                          <a:xfrm>
                            <a:off x="3861" y="4101"/>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划分评价单元</w:t>
                              </w:r>
                            </w:p>
                          </w:txbxContent>
                        </wps:txbx>
                        <wps:bodyPr wrap="square" upright="1"/>
                      </wps:wsp>
                      <wps:wsp>
                        <wps:cNvPr id="4" name="文本框 24"/>
                        <wps:cNvSpPr txBox="1"/>
                        <wps:spPr>
                          <a:xfrm>
                            <a:off x="3861" y="5193"/>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选择评价方法</w:t>
                              </w:r>
                            </w:p>
                          </w:txbxContent>
                        </wps:txbx>
                        <wps:bodyPr wrap="square" upright="1"/>
                      </wps:wsp>
                      <wps:wsp>
                        <wps:cNvPr id="5" name="文本框 25"/>
                        <wps:cNvSpPr txBox="1"/>
                        <wps:spPr>
                          <a:xfrm>
                            <a:off x="3861" y="6285"/>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定性、定量评价</w:t>
                              </w:r>
                            </w:p>
                          </w:txbxContent>
                        </wps:txbx>
                        <wps:bodyPr wrap="square" upright="1"/>
                      </wps:wsp>
                      <wps:wsp>
                        <wps:cNvPr id="6" name="文本框 26"/>
                        <wps:cNvSpPr txBox="1"/>
                        <wps:spPr>
                          <a:xfrm>
                            <a:off x="3861" y="7377"/>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提出安全对策措施建议</w:t>
                              </w:r>
                            </w:p>
                          </w:txbxContent>
                        </wps:txbx>
                        <wps:bodyPr wrap="square" upright="1"/>
                      </wps:wsp>
                      <wps:wsp>
                        <wps:cNvPr id="7" name="直线 27"/>
                        <wps:cNvCnPr/>
                        <wps:spPr>
                          <a:xfrm>
                            <a:off x="5841" y="2541"/>
                            <a:ext cx="0" cy="468"/>
                          </a:xfrm>
                          <a:prstGeom prst="line">
                            <a:avLst/>
                          </a:prstGeom>
                          <a:ln w="9525" cap="flat" cmpd="sng">
                            <a:solidFill>
                              <a:srgbClr val="000000"/>
                            </a:solidFill>
                            <a:prstDash val="solid"/>
                            <a:headEnd type="none" w="med" len="med"/>
                            <a:tailEnd type="triangle" w="med" len="med"/>
                          </a:ln>
                        </wps:spPr>
                        <wps:bodyPr/>
                      </wps:wsp>
                      <wps:wsp>
                        <wps:cNvPr id="8" name="直线 28"/>
                        <wps:cNvCnPr/>
                        <wps:spPr>
                          <a:xfrm>
                            <a:off x="5841" y="3633"/>
                            <a:ext cx="0" cy="468"/>
                          </a:xfrm>
                          <a:prstGeom prst="line">
                            <a:avLst/>
                          </a:prstGeom>
                          <a:ln w="9525" cap="flat" cmpd="sng">
                            <a:solidFill>
                              <a:srgbClr val="000000"/>
                            </a:solidFill>
                            <a:prstDash val="solid"/>
                            <a:headEnd type="none" w="med" len="med"/>
                            <a:tailEnd type="triangle" w="med" len="med"/>
                          </a:ln>
                        </wps:spPr>
                        <wps:bodyPr/>
                      </wps:wsp>
                      <wps:wsp>
                        <wps:cNvPr id="9" name="直线 29"/>
                        <wps:cNvCnPr/>
                        <wps:spPr>
                          <a:xfrm>
                            <a:off x="5841" y="4725"/>
                            <a:ext cx="0" cy="468"/>
                          </a:xfrm>
                          <a:prstGeom prst="line">
                            <a:avLst/>
                          </a:prstGeom>
                          <a:ln w="9525" cap="flat" cmpd="sng">
                            <a:solidFill>
                              <a:srgbClr val="000000"/>
                            </a:solidFill>
                            <a:prstDash val="solid"/>
                            <a:headEnd type="none" w="med" len="med"/>
                            <a:tailEnd type="triangle" w="med" len="med"/>
                          </a:ln>
                        </wps:spPr>
                        <wps:bodyPr/>
                      </wps:wsp>
                      <wps:wsp>
                        <wps:cNvPr id="10" name="直线 30"/>
                        <wps:cNvCnPr/>
                        <wps:spPr>
                          <a:xfrm>
                            <a:off x="5841" y="5817"/>
                            <a:ext cx="0" cy="468"/>
                          </a:xfrm>
                          <a:prstGeom prst="line">
                            <a:avLst/>
                          </a:prstGeom>
                          <a:ln w="9525" cap="flat" cmpd="sng">
                            <a:solidFill>
                              <a:srgbClr val="000000"/>
                            </a:solidFill>
                            <a:prstDash val="solid"/>
                            <a:headEnd type="none" w="med" len="med"/>
                            <a:tailEnd type="triangle" w="med" len="med"/>
                          </a:ln>
                        </wps:spPr>
                        <wps:bodyPr/>
                      </wps:wsp>
                      <wps:wsp>
                        <wps:cNvPr id="11" name="直线 31"/>
                        <wps:cNvCnPr/>
                        <wps:spPr>
                          <a:xfrm>
                            <a:off x="5841" y="6909"/>
                            <a:ext cx="0" cy="468"/>
                          </a:xfrm>
                          <a:prstGeom prst="line">
                            <a:avLst/>
                          </a:prstGeom>
                          <a:ln w="9525" cap="flat" cmpd="sng">
                            <a:solidFill>
                              <a:srgbClr val="000000"/>
                            </a:solidFill>
                            <a:prstDash val="solid"/>
                            <a:headEnd type="none" w="med" len="med"/>
                            <a:tailEnd type="triangle" w="med" len="med"/>
                          </a:ln>
                        </wps:spPr>
                        <wps:bodyPr/>
                      </wps:wsp>
                      <wps:wsp>
                        <wps:cNvPr id="12" name="文本框 32"/>
                        <wps:cNvSpPr txBox="1"/>
                        <wps:spPr>
                          <a:xfrm>
                            <a:off x="3861" y="8533"/>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做出评价结论</w:t>
                              </w:r>
                            </w:p>
                          </w:txbxContent>
                        </wps:txbx>
                        <wps:bodyPr wrap="square" upright="1"/>
                      </wps:wsp>
                      <wps:wsp>
                        <wps:cNvPr id="13" name="文本框 33"/>
                        <wps:cNvSpPr txBox="1"/>
                        <wps:spPr>
                          <a:xfrm>
                            <a:off x="3861" y="9625"/>
                            <a:ext cx="378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sz w:val="21"/>
                                  <w:szCs w:val="21"/>
                                </w:rPr>
                              </w:pPr>
                              <w:r>
                                <w:rPr>
                                  <w:rFonts w:hint="eastAsia"/>
                                  <w:sz w:val="21"/>
                                  <w:szCs w:val="21"/>
                                </w:rPr>
                                <w:t>编制安</w:t>
                              </w:r>
                              <w:r>
                                <w:rPr>
                                  <w:rFonts w:hint="eastAsia"/>
                                  <w:color w:val="000000"/>
                                  <w:sz w:val="21"/>
                                  <w:szCs w:val="21"/>
                                </w:rPr>
                                <w:t>全现状评价</w:t>
                              </w:r>
                              <w:r>
                                <w:rPr>
                                  <w:rFonts w:hint="eastAsia"/>
                                  <w:sz w:val="21"/>
                                  <w:szCs w:val="21"/>
                                </w:rPr>
                                <w:t>报告</w:t>
                              </w:r>
                            </w:p>
                          </w:txbxContent>
                        </wps:txbx>
                        <wps:bodyPr wrap="square" upright="1"/>
                      </wps:wsp>
                      <wps:wsp>
                        <wps:cNvPr id="14" name="直线 34"/>
                        <wps:cNvCnPr/>
                        <wps:spPr>
                          <a:xfrm>
                            <a:off x="5841" y="8065"/>
                            <a:ext cx="0" cy="468"/>
                          </a:xfrm>
                          <a:prstGeom prst="line">
                            <a:avLst/>
                          </a:prstGeom>
                          <a:ln w="9525" cap="flat" cmpd="sng">
                            <a:solidFill>
                              <a:srgbClr val="000000"/>
                            </a:solidFill>
                            <a:prstDash val="solid"/>
                            <a:headEnd type="none" w="med" len="med"/>
                            <a:tailEnd type="triangle" w="med" len="med"/>
                          </a:ln>
                        </wps:spPr>
                        <wps:bodyPr/>
                      </wps:wsp>
                      <wps:wsp>
                        <wps:cNvPr id="15" name="直线 35"/>
                        <wps:cNvCnPr/>
                        <wps:spPr>
                          <a:xfrm>
                            <a:off x="5841" y="9157"/>
                            <a:ext cx="0" cy="468"/>
                          </a:xfrm>
                          <a:prstGeom prst="line">
                            <a:avLst/>
                          </a:prstGeom>
                          <a:ln w="9525" cap="flat" cmpd="sng">
                            <a:solidFill>
                              <a:srgbClr val="000000"/>
                            </a:solidFill>
                            <a:prstDash val="solid"/>
                            <a:headEnd type="none" w="med" len="med"/>
                            <a:tailEnd type="triangle" w="med" len="med"/>
                          </a:ln>
                        </wps:spPr>
                        <wps:bodyPr/>
                      </wps:wsp>
                    </wpg:wgp>
                  </a:graphicData>
                </a:graphic>
              </wp:inline>
            </w:drawing>
          </mc:Choice>
          <mc:Fallback>
            <w:pict>
              <v:group id="组合 20" o:spid="_x0000_s1026" o:spt="203" style="height:257.55pt;width:143.15pt;" coordorigin="3861,1917" coordsize="3780,8332" o:gfxdata="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">
                <o:lock v:ext="edit" aspectratio="f"/>
                <v:shape id="文本框 21" o:spid="_x0000_s1026" o:spt="202" type="#_x0000_t202" style="position:absolute;left:3861;top:3009;height:624;width:3780;" fillcolor="#FFFFFF" filled="t" stroked="t" coordsize="21600,21600" o:gfxdata="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3I6ugAAANo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辨识与分析危险、有害因素</w:t>
                        </w:r>
                      </w:p>
                    </w:txbxContent>
                  </v:textbox>
                </v:shape>
                <v:shape id="文本框 22" o:spid="_x0000_s1026" o:spt="202" type="#_x0000_t202" style="position:absolute;left:3861;top:1917;height:624;width:3780;" fillcolor="#FFFFFF" filled="t" stroked="t" coordsize="21600,21600" o:gfxdata="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BexN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前期准备</w:t>
                        </w:r>
                      </w:p>
                    </w:txbxContent>
                  </v:textbox>
                </v:shape>
                <v:shape id="文本框 23" o:spid="_x0000_s1026" o:spt="202" type="#_x0000_t202" style="position:absolute;left:3861;top:4101;height:624;width:3780;" fillcolor="#FFFFFF" filled="t" stroked="t" coordsize="21600,21600" o:gfxdata="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SUnW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划分评价单元</w:t>
                        </w:r>
                      </w:p>
                    </w:txbxContent>
                  </v:textbox>
                </v:shape>
                <v:shape id="文本框 24" o:spid="_x0000_s1026" o:spt="202" type="#_x0000_t202" style="position:absolute;left:3861;top:5193;height:624;width:3780;" fillcolor="#FFFFFF" filled="t" stroked="t" coordsize="21600,21600" o:gfxdata="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0aK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选择评价方法</w:t>
                        </w:r>
                      </w:p>
                    </w:txbxContent>
                  </v:textbox>
                </v:shape>
                <v:shape id="文本框 25" o:spid="_x0000_s1026" o:spt="202" type="#_x0000_t202" style="position:absolute;left:3861;top:6285;height:624;width:3780;" fillcolor="#FFFFFF" filled="t" stroked="t" coordsize="21600,21600" o:gfxdata="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7HQ5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定性、定量评价</w:t>
                        </w:r>
                      </w:p>
                    </w:txbxContent>
                  </v:textbox>
                </v:shape>
                <v:shape id="文本框 26" o:spid="_x0000_s1026" o:spt="202" type="#_x0000_t202" style="position:absolute;left:3861;top:7377;height:624;width:3780;" fillcolor="#FFFFFF" filled="t" stroked="t" coordsize="21600,21600"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提出安全对策措施建议</w:t>
                        </w:r>
                      </w:p>
                    </w:txbxContent>
                  </v:textbox>
                </v:shape>
                <v:line id="直线 27" o:spid="_x0000_s1026" o:spt="20" style="position:absolute;left:5841;top:2541;height:468;width:0;" filled="f" stroked="t" coordsize="21600,21600" o:gfxdata="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fF8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28" o:spid="_x0000_s1026" o:spt="20" style="position:absolute;left:5841;top:3633;height:468;width:0;" filled="f" stroked="t" coordsize="21600,21600" o:gfxdata="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eFGDugAAANo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line>
                <v:line id="直线 29" o:spid="_x0000_s1026" o:spt="20" style="position:absolute;left:5841;top:4725;height:468;width:0;" filled="f" stroked="t" coordsize="21600,21600" o:gfxdata="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T0GL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30" o:spid="_x0000_s1026" o:spt="20" style="position:absolute;left:5841;top:5817;height:468;width:0;" filled="f" stroked="t" coordsize="21600,21600" o:gfxdata="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mp/K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线 31" o:spid="_x0000_s1026" o:spt="20" style="position:absolute;left:5841;top:6909;height:468;width:0;"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32" o:spid="_x0000_s1026" o:spt="202" type="#_x0000_t202" style="position:absolute;left:3861;top:8533;height:624;width:3780;" fillcolor="#FFFFFF" filled="t" stroked="t" coordsize="21600,21600" o:gfxdata="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2uQ1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做出评价结论</w:t>
                        </w:r>
                      </w:p>
                    </w:txbxContent>
                  </v:textbox>
                </v:shape>
                <v:shape id="文本框 33" o:spid="_x0000_s1026" o:spt="202" type="#_x0000_t202" style="position:absolute;left:3861;top:9625;height:624;width:3780;" fillcolor="#FFFFFF" filled="t" stroked="t" coordsize="21600,21600" o:gfxdata="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ZBr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40" w:lineRule="auto"/>
                          <w:ind w:firstLine="0" w:firstLineChars="0"/>
                          <w:jc w:val="center"/>
                          <w:rPr>
                            <w:sz w:val="21"/>
                            <w:szCs w:val="21"/>
                          </w:rPr>
                        </w:pPr>
                        <w:r>
                          <w:rPr>
                            <w:rFonts w:hint="eastAsia"/>
                            <w:sz w:val="21"/>
                            <w:szCs w:val="21"/>
                          </w:rPr>
                          <w:t>编制安</w:t>
                        </w:r>
                        <w:r>
                          <w:rPr>
                            <w:rFonts w:hint="eastAsia"/>
                            <w:color w:val="000000"/>
                            <w:sz w:val="21"/>
                            <w:szCs w:val="21"/>
                          </w:rPr>
                          <w:t>全现状评价</w:t>
                        </w:r>
                        <w:r>
                          <w:rPr>
                            <w:rFonts w:hint="eastAsia"/>
                            <w:sz w:val="21"/>
                            <w:szCs w:val="21"/>
                          </w:rPr>
                          <w:t>报告</w:t>
                        </w:r>
                      </w:p>
                    </w:txbxContent>
                  </v:textbox>
                </v:shape>
                <v:line id="直线 34" o:spid="_x0000_s1026" o:spt="20" style="position:absolute;left:5841;top:8065;height:468;width:0;" filled="f" stroked="t" coordsize="21600,21600" o:gfxdata="UEsDBAoAAAAAAIdO4kAAAAAAAAAAAAAAAAAEAAAAZHJzL1BLAwQUAAAACACHTuJAFpL6qLwAAADb&#10;AAAADwAAAGRycy9kb3ducmV2LnhtbEVPS2vCQBC+F/oflil4q5uI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S+qi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35" o:spid="_x0000_s1026" o:spt="20" style="position:absolute;left:5841;top:9157;height:468;width:0;" filled="f" stroked="t" coordsize="21600,21600" o:gfxdata="UEsDBAoAAAAAAIdO4kAAAAAAAAAAAAAAAAAEAAAAZHJzL1BLAwQUAAAACACHTuJAed5fM7wAAADb&#10;AAAADwAAAGRycy9kb3ducmV2LnhtbEVPS2vCQBC+F/oflil4q5sISk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eXzO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w10:wrap type="none"/>
                <w10:anchorlock/>
              </v:group>
            </w:pict>
          </mc:Fallback>
        </mc:AlternateContent>
      </w:r>
    </w:p>
    <w:p>
      <w:pPr>
        <w:ind w:firstLine="48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图1-1 安全现状评价程序图</w:t>
      </w:r>
    </w:p>
    <w:p>
      <w:pPr>
        <w:pStyle w:val="5"/>
        <w:rPr>
          <w:snapToGrid w:val="0"/>
          <w:color w:val="000000" w:themeColor="text1"/>
          <w14:textFill>
            <w14:solidFill>
              <w14:schemeClr w14:val="tx1"/>
            </w14:solidFill>
          </w14:textFill>
        </w:rPr>
      </w:pPr>
      <w:bookmarkStart w:id="119" w:name="_Toc172021555"/>
      <w:bookmarkStart w:id="120" w:name="_Toc103178253"/>
      <w:bookmarkStart w:id="121" w:name="_Toc54294392"/>
      <w:bookmarkStart w:id="122" w:name="_Toc129520587"/>
      <w:bookmarkStart w:id="123" w:name="_Toc458245937"/>
      <w:bookmarkStart w:id="124" w:name="_Toc51340626"/>
      <w:bookmarkStart w:id="125" w:name="_Toc23008"/>
      <w:bookmarkStart w:id="126" w:name="_Toc121910193"/>
      <w:bookmarkStart w:id="127" w:name="_Toc29350"/>
      <w:bookmarkStart w:id="128" w:name="_Toc201697542"/>
      <w:r>
        <w:rPr>
          <w:snapToGrid w:val="0"/>
          <w:color w:val="000000" w:themeColor="text1"/>
          <w14:textFill>
            <w14:solidFill>
              <w14:schemeClr w14:val="tx1"/>
            </w14:solidFill>
          </w14:textFill>
        </w:rPr>
        <w:t>评价基准日</w:t>
      </w:r>
      <w:bookmarkEnd w:id="119"/>
      <w:bookmarkEnd w:id="120"/>
      <w:bookmarkEnd w:id="121"/>
      <w:bookmarkEnd w:id="122"/>
      <w:bookmarkEnd w:id="123"/>
      <w:bookmarkEnd w:id="124"/>
      <w:bookmarkEnd w:id="125"/>
      <w:bookmarkEnd w:id="126"/>
      <w:bookmarkEnd w:id="127"/>
    </w:p>
    <w:p>
      <w:pPr>
        <w:ind w:firstLine="560"/>
        <w:rPr>
          <w:rFonts w:hint="eastAsia" w:eastAsia="宋体"/>
          <w:color w:val="000000" w:themeColor="text1"/>
          <w:szCs w:val="28"/>
          <w:lang w:val="en-US" w:eastAsia="zh-CN"/>
          <w14:textFill>
            <w14:solidFill>
              <w14:schemeClr w14:val="tx1"/>
            </w14:solidFill>
          </w14:textFill>
        </w:rPr>
      </w:pPr>
      <w:r>
        <w:rPr>
          <w:rFonts w:hint="eastAsia" w:ascii="宋体" w:hAnsi="宋体" w:cs="Times New Roman"/>
          <w:kern w:val="2"/>
          <w:sz w:val="28"/>
          <w:szCs w:val="28"/>
          <w:lang w:val="en-US" w:eastAsia="zh-CN" w:bidi="ar-SA"/>
        </w:rPr>
        <w:t>2024年10月19日初次到现场踏勘，</w:t>
      </w:r>
      <w:r>
        <w:rPr>
          <w:color w:val="000000" w:themeColor="text1"/>
          <w:szCs w:val="28"/>
          <w14:textFill>
            <w14:solidFill>
              <w14:schemeClr w14:val="tx1"/>
            </w14:solidFill>
          </w14:textFill>
        </w:rPr>
        <w:t>202</w:t>
      </w:r>
      <w:r>
        <w:rPr>
          <w:rFonts w:hint="eastAsia"/>
          <w:color w:val="000000" w:themeColor="text1"/>
          <w:szCs w:val="28"/>
          <w:lang w:val="en-US" w:eastAsia="zh-CN"/>
          <w14:textFill>
            <w14:solidFill>
              <w14:schemeClr w14:val="tx1"/>
            </w14:solidFill>
          </w14:textFill>
        </w:rPr>
        <w:t>4</w:t>
      </w:r>
      <w:r>
        <w:rPr>
          <w:color w:val="000000" w:themeColor="text1"/>
          <w:szCs w:val="28"/>
          <w14:textFill>
            <w14:solidFill>
              <w14:schemeClr w14:val="tx1"/>
            </w14:solidFill>
          </w14:textFill>
        </w:rPr>
        <w:t>年</w:t>
      </w:r>
      <w:r>
        <w:rPr>
          <w:rFonts w:hint="eastAsia"/>
          <w:color w:val="000000" w:themeColor="text1"/>
          <w:szCs w:val="28"/>
          <w:lang w:val="en-US" w:eastAsia="zh-CN"/>
          <w14:textFill>
            <w14:solidFill>
              <w14:schemeClr w14:val="tx1"/>
            </w14:solidFill>
          </w14:textFill>
        </w:rPr>
        <w:t>11</w:t>
      </w:r>
      <w:r>
        <w:rPr>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20</w:t>
      </w:r>
      <w:r>
        <w:rPr>
          <w:color w:val="000000" w:themeColor="text1"/>
          <w:szCs w:val="28"/>
          <w14:textFill>
            <w14:solidFill>
              <w14:schemeClr w14:val="tx1"/>
            </w14:solidFill>
          </w14:textFill>
        </w:rPr>
        <w:t>日</w:t>
      </w:r>
      <w:r>
        <w:rPr>
          <w:rFonts w:hint="eastAsia"/>
          <w:color w:val="000000" w:themeColor="text1"/>
          <w:szCs w:val="28"/>
          <w:lang w:val="en-US" w:eastAsia="zh-CN"/>
          <w14:textFill>
            <w14:solidFill>
              <w14:schemeClr w14:val="tx1"/>
            </w14:solidFill>
          </w14:textFill>
        </w:rPr>
        <w:t>再次到现场复核</w:t>
      </w:r>
      <w:r>
        <w:rPr>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本次评价基准日</w:t>
      </w:r>
      <w:r>
        <w:rPr>
          <w:color w:val="000000" w:themeColor="text1"/>
          <w:szCs w:val="28"/>
          <w14:textFill>
            <w14:solidFill>
              <w14:schemeClr w14:val="tx1"/>
            </w14:solidFill>
          </w14:textFill>
        </w:rPr>
        <w:t>202</w:t>
      </w:r>
      <w:r>
        <w:rPr>
          <w:rFonts w:hint="eastAsia"/>
          <w:color w:val="000000" w:themeColor="text1"/>
          <w:szCs w:val="28"/>
          <w:lang w:val="en-US" w:eastAsia="zh-CN"/>
          <w14:textFill>
            <w14:solidFill>
              <w14:schemeClr w14:val="tx1"/>
            </w14:solidFill>
          </w14:textFill>
        </w:rPr>
        <w:t>4</w:t>
      </w:r>
      <w:r>
        <w:rPr>
          <w:color w:val="000000" w:themeColor="text1"/>
          <w:szCs w:val="28"/>
          <w14:textFill>
            <w14:solidFill>
              <w14:schemeClr w14:val="tx1"/>
            </w14:solidFill>
          </w14:textFill>
        </w:rPr>
        <w:t>年</w:t>
      </w:r>
      <w:r>
        <w:rPr>
          <w:rFonts w:hint="eastAsia"/>
          <w:color w:val="000000" w:themeColor="text1"/>
          <w:szCs w:val="28"/>
          <w:lang w:val="en-US" w:eastAsia="zh-CN"/>
          <w14:textFill>
            <w14:solidFill>
              <w14:schemeClr w14:val="tx1"/>
            </w14:solidFill>
          </w14:textFill>
        </w:rPr>
        <w:t>11</w:t>
      </w:r>
      <w:r>
        <w:rPr>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20</w:t>
      </w:r>
      <w:r>
        <w:rPr>
          <w:color w:val="000000" w:themeColor="text1"/>
          <w:szCs w:val="28"/>
          <w14:textFill>
            <w14:solidFill>
              <w14:schemeClr w14:val="tx1"/>
            </w14:solidFill>
          </w14:textFill>
        </w:rPr>
        <w:t>日</w:t>
      </w:r>
      <w:r>
        <w:rPr>
          <w:rFonts w:hint="eastAsia"/>
          <w:color w:val="000000" w:themeColor="text1"/>
          <w:szCs w:val="28"/>
          <w:lang w:eastAsia="zh-CN"/>
          <w14:textFill>
            <w14:solidFill>
              <w14:schemeClr w14:val="tx1"/>
            </w14:solidFill>
          </w14:textFill>
        </w:rPr>
        <w:t>。</w:t>
      </w:r>
    </w:p>
    <w:bookmarkEnd w:id="118"/>
    <w:p>
      <w:pPr>
        <w:pStyle w:val="5"/>
        <w:rPr>
          <w:snapToGrid w:val="0"/>
          <w:color w:val="000000" w:themeColor="text1"/>
          <w14:textFill>
            <w14:solidFill>
              <w14:schemeClr w14:val="tx1"/>
            </w14:solidFill>
          </w14:textFill>
        </w:rPr>
      </w:pPr>
      <w:bookmarkStart w:id="129" w:name="_Toc54294393"/>
      <w:bookmarkStart w:id="130" w:name="_Toc3775"/>
      <w:bookmarkStart w:id="131" w:name="_Toc103178254"/>
      <w:bookmarkStart w:id="132" w:name="_Toc458245938"/>
      <w:bookmarkStart w:id="133" w:name="_Toc129520588"/>
      <w:bookmarkStart w:id="134" w:name="_Toc51340627"/>
      <w:bookmarkStart w:id="135" w:name="_Toc13174"/>
      <w:r>
        <w:rPr>
          <w:snapToGrid w:val="0"/>
          <w:color w:val="000000" w:themeColor="text1"/>
          <w14:textFill>
            <w14:solidFill>
              <w14:schemeClr w14:val="tx1"/>
            </w14:solidFill>
          </w14:textFill>
        </w:rPr>
        <w:t>评价报告使用权声明</w:t>
      </w:r>
      <w:bookmarkEnd w:id="128"/>
      <w:bookmarkEnd w:id="129"/>
      <w:bookmarkEnd w:id="130"/>
      <w:bookmarkEnd w:id="131"/>
      <w:bookmarkEnd w:id="132"/>
      <w:bookmarkEnd w:id="133"/>
      <w:bookmarkEnd w:id="134"/>
      <w:bookmarkEnd w:id="135"/>
    </w:p>
    <w:p>
      <w:pPr>
        <w:ind w:firstLine="560"/>
        <w:rPr>
          <w:color w:val="000000" w:themeColor="text1"/>
          <w:szCs w:val="20"/>
          <w14:textFill>
            <w14:solidFill>
              <w14:schemeClr w14:val="tx1"/>
            </w14:solidFill>
          </w14:textFill>
        </w:rPr>
      </w:pPr>
      <w:r>
        <w:rPr>
          <w:color w:val="000000" w:themeColor="text1"/>
          <w:szCs w:val="20"/>
          <w14:textFill>
            <w14:solidFill>
              <w14:schemeClr w14:val="tx1"/>
            </w14:solidFill>
          </w14:textFill>
        </w:rPr>
        <w:t>本评价报告是受</w:t>
      </w:r>
      <w:r>
        <w:t>玉溪玉象包装材料有限公司</w:t>
      </w:r>
      <w:r>
        <w:rPr>
          <w:color w:val="000000" w:themeColor="text1"/>
          <w:szCs w:val="20"/>
          <w14:textFill>
            <w14:solidFill>
              <w14:schemeClr w14:val="tx1"/>
            </w14:solidFill>
          </w14:textFill>
        </w:rPr>
        <w:t>委托而编制的，专属委托方使用。</w:t>
      </w:r>
      <w:bookmarkStart w:id="136" w:name="_Toc121910194"/>
      <w:r>
        <w:rPr>
          <w:rFonts w:hint="eastAsia"/>
          <w:lang w:eastAsia="zh-CN"/>
        </w:rPr>
        <w:t>昭通市鼎安科技有限公司</w:t>
      </w:r>
      <w:r>
        <w:rPr>
          <w:color w:val="000000" w:themeColor="text1"/>
          <w:szCs w:val="20"/>
          <w14:textFill>
            <w14:solidFill>
              <w14:schemeClr w14:val="tx1"/>
            </w14:solidFill>
          </w14:textFill>
        </w:rPr>
        <w:t>不会将本评价报告内容向其它任何单位和个人提供，也不会将本评价报告的</w:t>
      </w:r>
      <w:r>
        <w:rPr>
          <w:rFonts w:hint="eastAsia"/>
          <w:color w:val="000000" w:themeColor="text1"/>
          <w:szCs w:val="20"/>
          <w:lang w:eastAsia="zh-CN"/>
          <w14:textFill>
            <w14:solidFill>
              <w14:schemeClr w14:val="tx1"/>
            </w14:solidFill>
          </w14:textFill>
        </w:rPr>
        <w:t>全部或部分</w:t>
      </w:r>
      <w:r>
        <w:rPr>
          <w:color w:val="000000" w:themeColor="text1"/>
          <w:szCs w:val="20"/>
          <w14:textFill>
            <w14:solidFill>
              <w14:schemeClr w14:val="tx1"/>
            </w14:solidFill>
          </w14:textFill>
        </w:rPr>
        <w:t>内容在媒体上或以其它形式公开发表（安全评价技术研究成果除外）。</w:t>
      </w:r>
      <w:bookmarkEnd w:id="136"/>
    </w:p>
    <w:p>
      <w:pPr>
        <w:spacing w:before="100" w:beforeAutospacing="1" w:after="100" w:afterAutospacing="1"/>
        <w:ind w:firstLine="560"/>
        <w:rPr>
          <w:color w:val="000000" w:themeColor="text1"/>
          <w:szCs w:val="28"/>
          <w14:textFill>
            <w14:solidFill>
              <w14:schemeClr w14:val="tx1"/>
            </w14:solidFill>
          </w14:textFill>
        </w:rPr>
        <w:sectPr>
          <w:footerReference r:id="rId17" w:type="default"/>
          <w:pgSz w:w="11907" w:h="16840"/>
          <w:pgMar w:top="1440" w:right="1800" w:bottom="1440" w:left="1800" w:header="851" w:footer="992" w:gutter="0"/>
          <w:pgNumType w:fmt="decimal" w:start="1"/>
          <w:cols w:space="720" w:num="1"/>
          <w:docGrid w:linePitch="286" w:charSpace="0"/>
        </w:sectPr>
      </w:pPr>
    </w:p>
    <w:p>
      <w:pPr>
        <w:pStyle w:val="4"/>
        <w:ind w:firstLine="883"/>
        <w:rPr>
          <w:color w:val="000000" w:themeColor="text1"/>
          <w14:textFill>
            <w14:solidFill>
              <w14:schemeClr w14:val="tx1"/>
            </w14:solidFill>
          </w14:textFill>
        </w:rPr>
      </w:pPr>
      <w:bookmarkStart w:id="137" w:name="_Toc138"/>
      <w:bookmarkStart w:id="138" w:name="_Toc458245939"/>
      <w:bookmarkStart w:id="139" w:name="_Toc51340628"/>
      <w:bookmarkStart w:id="140" w:name="_Toc103178255"/>
      <w:bookmarkStart w:id="141" w:name="_Toc54294394"/>
      <w:bookmarkStart w:id="142" w:name="_Toc129520589"/>
      <w:bookmarkStart w:id="143" w:name="_Toc23921"/>
      <w:r>
        <w:rPr>
          <w:color w:val="000000" w:themeColor="text1"/>
          <w14:textFill>
            <w14:solidFill>
              <w14:schemeClr w14:val="tx1"/>
            </w14:solidFill>
          </w14:textFill>
        </w:rPr>
        <w:t>项目概况</w:t>
      </w:r>
      <w:bookmarkEnd w:id="137"/>
      <w:bookmarkEnd w:id="138"/>
      <w:bookmarkEnd w:id="139"/>
      <w:bookmarkEnd w:id="140"/>
      <w:bookmarkEnd w:id="141"/>
      <w:bookmarkEnd w:id="142"/>
      <w:bookmarkEnd w:id="143"/>
    </w:p>
    <w:p>
      <w:pPr>
        <w:pStyle w:val="5"/>
        <w:rPr>
          <w:snapToGrid w:val="0"/>
          <w:color w:val="000000" w:themeColor="text1"/>
          <w14:textFill>
            <w14:solidFill>
              <w14:schemeClr w14:val="tx1"/>
            </w14:solidFill>
          </w14:textFill>
        </w:rPr>
      </w:pPr>
      <w:bookmarkStart w:id="144" w:name="_Toc129520590"/>
      <w:bookmarkStart w:id="145" w:name="_Toc22691"/>
      <w:bookmarkStart w:id="146" w:name="_Toc458245940"/>
      <w:bookmarkStart w:id="147" w:name="_Toc54294395"/>
      <w:bookmarkStart w:id="148" w:name="_Toc103178256"/>
      <w:bookmarkStart w:id="149" w:name="_Toc51340629"/>
      <w:bookmarkStart w:id="150" w:name="_Toc6258"/>
      <w:r>
        <w:rPr>
          <w:snapToGrid w:val="0"/>
          <w:color w:val="000000" w:themeColor="text1"/>
          <w14:textFill>
            <w14:solidFill>
              <w14:schemeClr w14:val="tx1"/>
            </w14:solidFill>
          </w14:textFill>
        </w:rPr>
        <w:t>企业概况</w:t>
      </w:r>
      <w:bookmarkEnd w:id="144"/>
      <w:bookmarkEnd w:id="145"/>
      <w:bookmarkEnd w:id="146"/>
      <w:bookmarkEnd w:id="147"/>
      <w:bookmarkEnd w:id="148"/>
      <w:bookmarkEnd w:id="149"/>
      <w:bookmarkEnd w:id="150"/>
    </w:p>
    <w:p>
      <w:pPr>
        <w:pStyle w:val="6"/>
        <w:rPr>
          <w:color w:val="000000" w:themeColor="text1"/>
          <w14:textFill>
            <w14:solidFill>
              <w14:schemeClr w14:val="tx1"/>
            </w14:solidFill>
          </w14:textFill>
        </w:rPr>
      </w:pPr>
      <w:bookmarkStart w:id="151" w:name="_Toc103178257"/>
      <w:bookmarkStart w:id="152" w:name="_Toc51340630"/>
      <w:bookmarkStart w:id="153" w:name="_Toc54294396"/>
      <w:bookmarkStart w:id="154" w:name="_Toc129520591"/>
      <w:bookmarkStart w:id="155" w:name="_Toc27613"/>
      <w:bookmarkStart w:id="156" w:name="_Toc458245941"/>
      <w:bookmarkStart w:id="157" w:name="_Toc518"/>
      <w:r>
        <w:rPr>
          <w:rFonts w:hint="eastAsia"/>
          <w:color w:val="000000" w:themeColor="text1"/>
          <w14:textFill>
            <w14:solidFill>
              <w14:schemeClr w14:val="tx1"/>
            </w14:solidFill>
          </w14:textFill>
        </w:rPr>
        <w:t>企业简介</w:t>
      </w:r>
      <w:bookmarkEnd w:id="151"/>
      <w:bookmarkEnd w:id="152"/>
      <w:bookmarkEnd w:id="153"/>
      <w:bookmarkEnd w:id="154"/>
      <w:bookmarkEnd w:id="155"/>
      <w:bookmarkEnd w:id="156"/>
      <w:bookmarkEnd w:id="157"/>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名    称：</w:t>
      </w:r>
      <w:r>
        <w:t>玉溪玉象包装材料有限公司</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类    型：有限责任公司（自然人投资或控股）</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住    所：</w:t>
      </w:r>
      <w:r>
        <w:rPr>
          <w:rFonts w:hint="eastAsia"/>
          <w:color w:val="000000" w:themeColor="text1"/>
          <w:szCs w:val="28"/>
          <w14:textFill>
            <w14:solidFill>
              <w14:schemeClr w14:val="tx1"/>
            </w14:solidFill>
          </w14:textFill>
        </w:rPr>
        <w:t>云南省玉溪市红塔区李棋街道办事处农贸市场旁</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法定代表人：</w:t>
      </w:r>
      <w:r>
        <w:rPr>
          <w:rFonts w:hint="eastAsia"/>
          <w:color w:val="000000" w:themeColor="text1"/>
          <w:szCs w:val="28"/>
          <w14:textFill>
            <w14:solidFill>
              <w14:schemeClr w14:val="tx1"/>
            </w14:solidFill>
          </w14:textFill>
        </w:rPr>
        <w:t>谢云松</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注册资本：</w:t>
      </w:r>
      <w:r>
        <w:rPr>
          <w:rFonts w:hint="eastAsia"/>
          <w:color w:val="000000" w:themeColor="text1"/>
          <w:szCs w:val="28"/>
          <w14:textFill>
            <w14:solidFill>
              <w14:schemeClr w14:val="tx1"/>
            </w14:solidFill>
          </w14:textFill>
        </w:rPr>
        <w:t>叁</w:t>
      </w:r>
      <w:r>
        <w:rPr>
          <w:color w:val="000000" w:themeColor="text1"/>
          <w:szCs w:val="28"/>
          <w14:textFill>
            <w14:solidFill>
              <w14:schemeClr w14:val="tx1"/>
            </w14:solidFill>
          </w14:textFill>
        </w:rPr>
        <w:t>佰万元整</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成立日期：2009年05月07日</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营业期限：2009年05月07日至</w:t>
      </w:r>
      <w:r>
        <w:rPr>
          <w:rFonts w:hint="eastAsia"/>
          <w:color w:val="000000" w:themeColor="text1"/>
          <w:szCs w:val="28"/>
          <w14:textFill>
            <w14:solidFill>
              <w14:schemeClr w14:val="tx1"/>
            </w14:solidFill>
          </w14:textFill>
        </w:rPr>
        <w:t>长期</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经营范围：</w:t>
      </w:r>
      <w:r>
        <w:rPr>
          <w:rFonts w:hint="eastAsia"/>
          <w:color w:val="000000" w:themeColor="text1"/>
          <w:szCs w:val="28"/>
          <w14:textFill>
            <w14:solidFill>
              <w14:schemeClr w14:val="tx1"/>
            </w14:solidFill>
          </w14:textFill>
        </w:rPr>
        <w:t>塑料包装容器生产及销售；包装材料、塑料原料及制品、化工原料及产品（不含危险品）、机电设备及配件、建筑材料、装饰材料、电子产品、五金交电、日用百货、洗涤用品、农副产品销售。</w:t>
      </w:r>
    </w:p>
    <w:p>
      <w:pPr>
        <w:adjustRightInd w:val="0"/>
        <w:snapToGrid w:val="0"/>
        <w:ind w:firstLine="560"/>
        <w:rPr>
          <w:rFonts w:hint="default"/>
          <w:color w:val="000000" w:themeColor="text1"/>
          <w:szCs w:val="20"/>
          <w:lang w:val="en-US"/>
          <w14:textFill>
            <w14:solidFill>
              <w14:schemeClr w14:val="tx1"/>
            </w14:solidFill>
          </w14:textFill>
        </w:rPr>
      </w:pPr>
      <w:r>
        <w:t>玉溪玉象包装材料有限公司</w:t>
      </w:r>
      <w:r>
        <w:rPr>
          <w:rFonts w:hint="eastAsia"/>
          <w:color w:val="000000" w:themeColor="text1"/>
          <w:szCs w:val="20"/>
          <w14:textFill>
            <w14:solidFill>
              <w14:schemeClr w14:val="tx1"/>
            </w14:solidFill>
          </w14:textFill>
        </w:rPr>
        <w:t>成立于20</w:t>
      </w:r>
      <w:r>
        <w:rPr>
          <w:color w:val="000000" w:themeColor="text1"/>
          <w:szCs w:val="20"/>
          <w14:textFill>
            <w14:solidFill>
              <w14:schemeClr w14:val="tx1"/>
            </w14:solidFill>
          </w14:textFill>
        </w:rPr>
        <w:t>09</w:t>
      </w:r>
      <w:r>
        <w:rPr>
          <w:rFonts w:hint="eastAsia"/>
          <w:color w:val="000000" w:themeColor="text1"/>
          <w:szCs w:val="20"/>
          <w14:textFill>
            <w14:solidFill>
              <w14:schemeClr w14:val="tx1"/>
            </w14:solidFill>
          </w14:textFill>
        </w:rPr>
        <w:t>年0</w:t>
      </w:r>
      <w:r>
        <w:rPr>
          <w:color w:val="000000" w:themeColor="text1"/>
          <w:szCs w:val="20"/>
          <w14:textFill>
            <w14:solidFill>
              <w14:schemeClr w14:val="tx1"/>
            </w14:solidFill>
          </w14:textFill>
        </w:rPr>
        <w:t>5</w:t>
      </w:r>
      <w:r>
        <w:rPr>
          <w:rFonts w:hint="eastAsia"/>
          <w:color w:val="000000" w:themeColor="text1"/>
          <w:szCs w:val="20"/>
          <w14:textFill>
            <w14:solidFill>
              <w14:schemeClr w14:val="tx1"/>
            </w14:solidFill>
          </w14:textFill>
        </w:rPr>
        <w:t>月07日</w:t>
      </w:r>
      <w:r>
        <w:rPr>
          <w:rFonts w:hint="eastAsia"/>
          <w:color w:val="000000" w:themeColor="text1"/>
          <w:szCs w:val="20"/>
          <w:lang w:eastAsia="zh-CN"/>
          <w14:textFill>
            <w14:solidFill>
              <w14:schemeClr w14:val="tx1"/>
            </w14:solidFill>
          </w14:textFill>
        </w:rPr>
        <w:t>。</w:t>
      </w:r>
      <w:r>
        <w:rPr>
          <w:rFonts w:hint="eastAsia"/>
          <w:color w:val="000000" w:themeColor="text1"/>
          <w:szCs w:val="20"/>
          <w:lang w:val="en-US" w:eastAsia="zh-CN"/>
          <w14:textFill>
            <w14:solidFill>
              <w14:schemeClr w14:val="tx1"/>
            </w14:solidFill>
          </w14:textFill>
        </w:rPr>
        <w:t>公同</w:t>
      </w:r>
      <w:r>
        <w:rPr>
          <w:rFonts w:hint="eastAsia"/>
          <w:color w:val="000000" w:themeColor="text1"/>
          <w:szCs w:val="20"/>
          <w14:textFill>
            <w14:solidFill>
              <w14:schemeClr w14:val="tx1"/>
            </w14:solidFill>
          </w14:textFill>
        </w:rPr>
        <w:t>现</w:t>
      </w:r>
      <w:r>
        <w:rPr>
          <w:rFonts w:hint="eastAsia"/>
          <w:color w:val="000000" w:themeColor="text1"/>
          <w:szCs w:val="20"/>
          <w:lang w:val="en-US" w:eastAsia="zh-CN"/>
          <w14:textFill>
            <w14:solidFill>
              <w14:schemeClr w14:val="tx1"/>
            </w14:solidFill>
          </w14:textFill>
        </w:rPr>
        <w:t>建设</w:t>
      </w:r>
      <w:r>
        <w:rPr>
          <w:rFonts w:hint="eastAsia"/>
          <w:color w:val="000000" w:themeColor="text1"/>
          <w:szCs w:val="20"/>
          <w14:textFill>
            <w14:solidFill>
              <w14:schemeClr w14:val="tx1"/>
            </w14:solidFill>
          </w14:textFill>
        </w:rPr>
        <w:t>有年产</w:t>
      </w:r>
      <w:r>
        <w:rPr>
          <w:color w:val="000000" w:themeColor="text1"/>
          <w:szCs w:val="20"/>
          <w14:textFill>
            <w14:solidFill>
              <w14:schemeClr w14:val="tx1"/>
            </w14:solidFill>
          </w14:textFill>
        </w:rPr>
        <w:t>2</w:t>
      </w:r>
      <w:r>
        <w:rPr>
          <w:rFonts w:hint="eastAsia"/>
          <w:color w:val="000000" w:themeColor="text1"/>
          <w:szCs w:val="20"/>
          <w14:textFill>
            <w14:solidFill>
              <w14:schemeClr w14:val="tx1"/>
            </w14:solidFill>
          </w14:textFill>
        </w:rPr>
        <w:t>000万只食品用塑料包装容器生产线一条，</w:t>
      </w:r>
      <w:r>
        <w:rPr>
          <w:rFonts w:hint="eastAsia"/>
          <w:color w:val="000000" w:themeColor="text1"/>
          <w:szCs w:val="20"/>
          <w:lang w:val="en-US" w:eastAsia="zh-CN"/>
          <w14:textFill>
            <w14:solidFill>
              <w14:schemeClr w14:val="tx1"/>
            </w14:solidFill>
          </w14:textFill>
        </w:rPr>
        <w:t>为立白科技集团生产洗洁精等塑料包装容器。</w:t>
      </w:r>
      <w:r>
        <w:rPr>
          <w:rFonts w:hint="eastAsia"/>
          <w:color w:val="000000" w:themeColor="text1"/>
          <w:szCs w:val="20"/>
          <w14:textFill>
            <w14:solidFill>
              <w14:schemeClr w14:val="tx1"/>
            </w14:solidFill>
          </w14:textFill>
        </w:rPr>
        <w:t>配套建设有配电室、仓库、办公楼等，现有员工</w:t>
      </w:r>
      <w:r>
        <w:rPr>
          <w:color w:val="000000" w:themeColor="text1"/>
          <w:szCs w:val="20"/>
          <w14:textFill>
            <w14:solidFill>
              <w14:schemeClr w14:val="tx1"/>
            </w14:solidFill>
          </w14:textFill>
        </w:rPr>
        <w:t>25</w:t>
      </w:r>
      <w:r>
        <w:rPr>
          <w:rFonts w:hint="eastAsia"/>
          <w:color w:val="000000" w:themeColor="text1"/>
          <w:szCs w:val="20"/>
          <w14:textFill>
            <w14:solidFill>
              <w14:schemeClr w14:val="tx1"/>
            </w14:solidFill>
          </w14:textFill>
        </w:rPr>
        <w:t>名</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公司现有场地</w:t>
      </w:r>
      <w:r>
        <w:rPr>
          <w:rFonts w:hint="eastAsia"/>
          <w:color w:val="000000" w:themeColor="text1"/>
          <w:szCs w:val="20"/>
          <w:lang w:val="en-US" w:eastAsia="zh-CN"/>
          <w14:textFill>
            <w14:solidFill>
              <w14:schemeClr w14:val="tx1"/>
            </w14:solidFill>
          </w14:textFill>
        </w:rPr>
        <w:t>租用</w:t>
      </w:r>
      <w:r>
        <w:rPr>
          <w:rFonts w:hint="eastAsia"/>
          <w:color w:val="000000" w:themeColor="text1"/>
          <w:szCs w:val="20"/>
          <w14:textFill>
            <w14:solidFill>
              <w14:schemeClr w14:val="tx1"/>
            </w14:solidFill>
          </w14:textFill>
        </w:rPr>
        <w:t>云南省玉溪市</w:t>
      </w:r>
      <w:r>
        <w:rPr>
          <w:rFonts w:hint="eastAsia"/>
          <w:color w:val="000000" w:themeColor="text1"/>
          <w:szCs w:val="28"/>
          <w14:textFill>
            <w14:solidFill>
              <w14:schemeClr w14:val="tx1"/>
            </w14:solidFill>
          </w14:textFill>
        </w:rPr>
        <w:t>红塔区李棋街道办事处农贸市场</w:t>
      </w:r>
      <w:r>
        <w:rPr>
          <w:rFonts w:hint="eastAsia"/>
          <w:color w:val="000000" w:themeColor="text1"/>
          <w:szCs w:val="28"/>
          <w:lang w:val="en-US" w:eastAsia="zh-CN"/>
          <w14:textFill>
            <w14:solidFill>
              <w14:schemeClr w14:val="tx1"/>
            </w14:solidFill>
          </w14:textFill>
        </w:rPr>
        <w:t>内部分场地</w:t>
      </w:r>
      <w:r>
        <w:rPr>
          <w:rFonts w:hint="eastAsia"/>
          <w:color w:val="000000" w:themeColor="text1"/>
          <w:szCs w:val="20"/>
          <w:lang w:eastAsia="zh-CN"/>
          <w14:textFill>
            <w14:solidFill>
              <w14:schemeClr w14:val="tx1"/>
            </w14:solidFill>
          </w14:textFill>
        </w:rPr>
        <w:t>。（</w:t>
      </w:r>
      <w:r>
        <w:rPr>
          <w:rFonts w:hint="eastAsia"/>
          <w:color w:val="000000" w:themeColor="text1"/>
          <w:szCs w:val="20"/>
          <w:lang w:val="en-US" w:eastAsia="zh-CN"/>
          <w14:textFill>
            <w14:solidFill>
              <w14:schemeClr w14:val="tx1"/>
            </w14:solidFill>
          </w14:textFill>
        </w:rPr>
        <w:t>场地租用期从2012年至2032年，评见附件12场地租赁合同）</w:t>
      </w:r>
    </w:p>
    <w:p>
      <w:pPr>
        <w:pStyle w:val="6"/>
        <w:rPr>
          <w:color w:val="000000" w:themeColor="text1"/>
          <w14:textFill>
            <w14:solidFill>
              <w14:schemeClr w14:val="tx1"/>
            </w14:solidFill>
          </w14:textFill>
        </w:rPr>
      </w:pPr>
      <w:bookmarkStart w:id="158" w:name="_Toc458245942"/>
      <w:bookmarkStart w:id="159" w:name="_Toc129520592"/>
      <w:bookmarkStart w:id="160" w:name="_Toc51340631"/>
      <w:bookmarkStart w:id="161" w:name="_Toc103178258"/>
      <w:bookmarkStart w:id="162" w:name="_Toc201697549"/>
      <w:bookmarkStart w:id="163" w:name="_Toc13257"/>
      <w:bookmarkStart w:id="164" w:name="_Toc54294397"/>
      <w:bookmarkStart w:id="165" w:name="_Toc25907"/>
      <w:r>
        <w:rPr>
          <w:color w:val="000000" w:themeColor="text1"/>
          <w14:textFill>
            <w14:solidFill>
              <w14:schemeClr w14:val="tx1"/>
            </w14:solidFill>
          </w14:textFill>
        </w:rPr>
        <w:t>交通条件</w:t>
      </w:r>
      <w:bookmarkEnd w:id="158"/>
      <w:bookmarkEnd w:id="159"/>
      <w:bookmarkEnd w:id="160"/>
      <w:bookmarkEnd w:id="161"/>
      <w:bookmarkEnd w:id="162"/>
      <w:bookmarkEnd w:id="163"/>
      <w:bookmarkEnd w:id="164"/>
      <w:bookmarkEnd w:id="165"/>
    </w:p>
    <w:p>
      <w:pPr>
        <w:ind w:firstLine="560"/>
        <w:rPr>
          <w:color w:val="000000" w:themeColor="text1"/>
          <w:szCs w:val="28"/>
          <w14:textFill>
            <w14:solidFill>
              <w14:schemeClr w14:val="tx1"/>
            </w14:solidFill>
          </w14:textFill>
        </w:rPr>
      </w:pPr>
      <w:r>
        <w:t>玉溪玉象包装材料有限公司</w:t>
      </w:r>
      <w:r>
        <w:rPr>
          <w:rFonts w:hint="eastAsia"/>
          <w:color w:val="000000" w:themeColor="text1"/>
          <w:szCs w:val="28"/>
          <w14:textFill>
            <w14:solidFill>
              <w14:schemeClr w14:val="tx1"/>
            </w14:solidFill>
          </w14:textFill>
        </w:rPr>
        <w:t>位于</w:t>
      </w:r>
      <w:r>
        <w:rPr>
          <w:rFonts w:hint="eastAsia"/>
          <w:color w:val="000000" w:themeColor="text1"/>
          <w:szCs w:val="20"/>
          <w14:textFill>
            <w14:solidFill>
              <w14:schemeClr w14:val="tx1"/>
            </w14:solidFill>
          </w14:textFill>
        </w:rPr>
        <w:t>云南省玉溪市</w:t>
      </w:r>
      <w:r>
        <w:rPr>
          <w:rFonts w:hint="eastAsia"/>
          <w:color w:val="000000" w:themeColor="text1"/>
          <w:szCs w:val="28"/>
          <w14:textFill>
            <w14:solidFill>
              <w14:schemeClr w14:val="tx1"/>
            </w14:solidFill>
          </w14:textFill>
        </w:rPr>
        <w:t>红塔区李棋街道办事处农贸市场旁。</w:t>
      </w:r>
      <w:r>
        <w:rPr>
          <w:rFonts w:hint="eastAsia" w:ascii="宋体" w:hAnsi="宋体" w:cs="宋体"/>
          <w:szCs w:val="20"/>
        </w:rPr>
        <w:t>厂区</w:t>
      </w:r>
      <w:r>
        <w:rPr>
          <w:rFonts w:hint="eastAsia" w:ascii="宋体" w:hAnsi="宋体" w:cs="宋体"/>
          <w:szCs w:val="28"/>
        </w:rPr>
        <w:t>场地中心地理坐标为北纬24°</w:t>
      </w:r>
      <w:r>
        <w:rPr>
          <w:rFonts w:ascii="宋体" w:hAnsi="宋体" w:cs="宋体"/>
          <w:szCs w:val="28"/>
        </w:rPr>
        <w:t>38</w:t>
      </w:r>
      <w:r>
        <w:rPr>
          <w:rFonts w:hint="eastAsia" w:ascii="宋体" w:hAnsi="宋体" w:cs="宋体"/>
          <w:szCs w:val="28"/>
        </w:rPr>
        <w:t>′</w:t>
      </w:r>
      <w:r>
        <w:rPr>
          <w:rFonts w:ascii="宋体" w:hAnsi="宋体" w:cs="宋体"/>
          <w:szCs w:val="28"/>
        </w:rPr>
        <w:t>7</w:t>
      </w:r>
      <w:r>
        <w:rPr>
          <w:rFonts w:hint="eastAsia" w:ascii="宋体" w:hAnsi="宋体" w:cs="宋体"/>
          <w:szCs w:val="28"/>
        </w:rPr>
        <w:t>.</w:t>
      </w:r>
      <w:r>
        <w:rPr>
          <w:rFonts w:ascii="宋体" w:hAnsi="宋体" w:cs="宋体"/>
          <w:szCs w:val="28"/>
        </w:rPr>
        <w:t>27</w:t>
      </w:r>
      <w:r>
        <w:rPr>
          <w:rFonts w:hint="eastAsia" w:ascii="宋体" w:hAnsi="宋体" w:cs="宋体"/>
          <w:szCs w:val="28"/>
        </w:rPr>
        <w:t>″，东经102°</w:t>
      </w:r>
      <w:r>
        <w:rPr>
          <w:rFonts w:ascii="宋体" w:hAnsi="宋体" w:cs="宋体"/>
          <w:szCs w:val="28"/>
        </w:rPr>
        <w:t>55</w:t>
      </w:r>
      <w:r>
        <w:rPr>
          <w:rFonts w:hint="eastAsia" w:ascii="宋体" w:hAnsi="宋体" w:cs="宋体"/>
          <w:szCs w:val="28"/>
        </w:rPr>
        <w:t>′</w:t>
      </w:r>
      <w:r>
        <w:rPr>
          <w:rFonts w:ascii="宋体" w:hAnsi="宋体" w:cs="宋体"/>
          <w:szCs w:val="28"/>
        </w:rPr>
        <w:t>71</w:t>
      </w:r>
      <w:r>
        <w:rPr>
          <w:rFonts w:hint="eastAsia" w:ascii="宋体" w:hAnsi="宋体" w:cs="宋体"/>
          <w:szCs w:val="28"/>
        </w:rPr>
        <w:t>.</w:t>
      </w:r>
      <w:r>
        <w:rPr>
          <w:rFonts w:ascii="宋体" w:hAnsi="宋体" w:cs="宋体"/>
          <w:szCs w:val="28"/>
        </w:rPr>
        <w:t>7</w:t>
      </w:r>
      <w:r>
        <w:rPr>
          <w:rFonts w:hint="eastAsia" w:ascii="宋体" w:hAnsi="宋体" w:cs="宋体"/>
          <w:szCs w:val="28"/>
        </w:rPr>
        <w:t>2″。</w:t>
      </w:r>
      <w:r>
        <w:rPr>
          <w:color w:val="000000" w:themeColor="text1"/>
          <w:szCs w:val="28"/>
          <w14:textFill>
            <w14:solidFill>
              <w14:schemeClr w14:val="tx1"/>
            </w14:solidFill>
          </w14:textFill>
        </w:rPr>
        <w:t>项目</w:t>
      </w:r>
      <w:r>
        <w:rPr>
          <w:rFonts w:hint="eastAsia"/>
          <w:color w:val="000000" w:themeColor="text1"/>
          <w:szCs w:val="28"/>
          <w14:textFill>
            <w14:solidFill>
              <w14:schemeClr w14:val="tx1"/>
            </w14:solidFill>
          </w14:textFill>
        </w:rPr>
        <w:t>交通地理</w:t>
      </w:r>
      <w:r>
        <w:rPr>
          <w:color w:val="000000" w:themeColor="text1"/>
          <w:szCs w:val="28"/>
          <w14:textFill>
            <w14:solidFill>
              <w14:schemeClr w14:val="tx1"/>
            </w14:solidFill>
          </w14:textFill>
        </w:rPr>
        <w:t>位置见图2-1</w:t>
      </w:r>
      <w:r>
        <w:rPr>
          <w:rFonts w:hint="eastAsia"/>
          <w:color w:val="000000" w:themeColor="text1"/>
          <w:szCs w:val="28"/>
          <w14:textFill>
            <w14:solidFill>
              <w14:schemeClr w14:val="tx1"/>
            </w14:solidFill>
          </w14:textFill>
        </w:rPr>
        <w:t>。</w:t>
      </w:r>
    </w:p>
    <w:p>
      <w:pPr>
        <w:spacing w:line="240" w:lineRule="auto"/>
        <w:ind w:firstLine="0" w:firstLineChars="0"/>
        <w:jc w:val="center"/>
        <w:rPr>
          <w:color w:val="000000" w:themeColor="text1"/>
          <w14:textFill>
            <w14:solidFill>
              <w14:schemeClr w14:val="tx1"/>
            </w14:solidFill>
          </w14:textFill>
        </w:rPr>
      </w:pPr>
      <w:r>
        <w:drawing>
          <wp:inline distT="0" distB="0" distL="0" distR="0">
            <wp:extent cx="5274310" cy="3364865"/>
            <wp:effectExtent l="0" t="0" r="13970" b="317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8"/>
                    <a:stretch>
                      <a:fillRect/>
                    </a:stretch>
                  </pic:blipFill>
                  <pic:spPr>
                    <a:xfrm>
                      <a:off x="0" y="0"/>
                      <a:ext cx="5274310" cy="3364865"/>
                    </a:xfrm>
                    <a:prstGeom prst="rect">
                      <a:avLst/>
                    </a:prstGeom>
                  </pic:spPr>
                </pic:pic>
              </a:graphicData>
            </a:graphic>
          </wp:inline>
        </w:drawing>
      </w:r>
    </w:p>
    <w:p>
      <w:pPr>
        <w:numPr>
          <w:ilvl w:val="0"/>
          <w:numId w:val="10"/>
        </w:numPr>
        <w:ind w:firstLineChars="0"/>
        <w:jc w:val="center"/>
        <w:rPr>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项目地理位置图</w:t>
      </w:r>
    </w:p>
    <w:p>
      <w:pPr>
        <w:pStyle w:val="6"/>
        <w:rPr>
          <w:color w:val="000000" w:themeColor="text1"/>
          <w14:textFill>
            <w14:solidFill>
              <w14:schemeClr w14:val="tx1"/>
            </w14:solidFill>
          </w14:textFill>
        </w:rPr>
      </w:pPr>
      <w:bookmarkStart w:id="166" w:name="_Toc129520593"/>
      <w:bookmarkStart w:id="167" w:name="_Toc458245943"/>
      <w:bookmarkStart w:id="168" w:name="_Toc54294398"/>
      <w:bookmarkStart w:id="169" w:name="_Toc51340632"/>
      <w:bookmarkStart w:id="170" w:name="_Toc6823"/>
      <w:bookmarkStart w:id="171" w:name="_Toc103178259"/>
      <w:bookmarkStart w:id="172" w:name="_Toc19685"/>
      <w:r>
        <w:rPr>
          <w:color w:val="000000" w:themeColor="text1"/>
          <w14:textFill>
            <w14:solidFill>
              <w14:schemeClr w14:val="tx1"/>
            </w14:solidFill>
          </w14:textFill>
        </w:rPr>
        <w:t>周边情况</w:t>
      </w:r>
      <w:bookmarkEnd w:id="166"/>
      <w:bookmarkEnd w:id="167"/>
      <w:bookmarkEnd w:id="168"/>
      <w:bookmarkEnd w:id="169"/>
      <w:bookmarkEnd w:id="170"/>
      <w:bookmarkEnd w:id="171"/>
      <w:bookmarkEnd w:id="172"/>
    </w:p>
    <w:p>
      <w:pPr>
        <w:ind w:firstLine="560"/>
        <w:rPr>
          <w:color w:val="000000" w:themeColor="text1"/>
          <w:szCs w:val="28"/>
          <w14:textFill>
            <w14:solidFill>
              <w14:schemeClr w14:val="tx1"/>
            </w14:solidFill>
          </w14:textFill>
        </w:rPr>
      </w:pPr>
      <w:bookmarkStart w:id="173" w:name="_Toc12576002"/>
      <w:r>
        <w:rPr>
          <w:rFonts w:hint="eastAsia"/>
          <w:color w:val="000000" w:themeColor="text1"/>
          <w:szCs w:val="28"/>
          <w14:textFill>
            <w14:solidFill>
              <w14:schemeClr w14:val="tx1"/>
            </w14:solidFill>
          </w14:textFill>
        </w:rPr>
        <w:t>厂区</w:t>
      </w:r>
      <w:r>
        <w:rPr>
          <w:rFonts w:hint="eastAsia"/>
          <w:color w:val="000000" w:themeColor="text1"/>
          <w:szCs w:val="28"/>
          <w:lang w:val="en-US" w:eastAsia="zh-CN"/>
          <w14:textFill>
            <w14:solidFill>
              <w14:schemeClr w14:val="tx1"/>
            </w14:solidFill>
          </w14:textFill>
        </w:rPr>
        <w:t>设有围墙同周边分隔。厂区</w:t>
      </w:r>
      <w:r>
        <w:rPr>
          <w:rFonts w:hint="eastAsia"/>
          <w:color w:val="000000" w:themeColor="text1"/>
          <w:szCs w:val="28"/>
          <w14:textFill>
            <w14:solidFill>
              <w14:schemeClr w14:val="tx1"/>
            </w14:solidFill>
          </w14:textFill>
        </w:rPr>
        <w:t>西北面与废旧物品收购站相邻，约</w:t>
      </w:r>
      <w:r>
        <w:rPr>
          <w:rFonts w:hint="eastAsia"/>
          <w:color w:val="000000" w:themeColor="text1"/>
          <w:szCs w:val="28"/>
          <w:lang w:val="en-US" w:eastAsia="zh-CN"/>
          <w14:textFill>
            <w14:solidFill>
              <w14:schemeClr w14:val="tx1"/>
            </w14:solidFill>
          </w14:textFill>
        </w:rPr>
        <w:t>60</w:t>
      </w:r>
      <w:r>
        <w:rPr>
          <w:rFonts w:hint="eastAsia"/>
          <w:color w:val="000000" w:themeColor="text1"/>
          <w:szCs w:val="28"/>
          <w14:textFill>
            <w14:solidFill>
              <w14:schemeClr w14:val="tx1"/>
            </w14:solidFill>
          </w14:textFill>
        </w:rPr>
        <w:t>m处为居民点；厂区东面与白龙路及路边店面相邻，对面为菜地；厂区南面与</w:t>
      </w:r>
      <w:r>
        <w:rPr>
          <w:rFonts w:hint="eastAsia"/>
          <w:color w:val="000000" w:themeColor="text1"/>
          <w:szCs w:val="28"/>
          <w:lang w:val="en-US" w:eastAsia="zh-CN"/>
          <w14:textFill>
            <w14:solidFill>
              <w14:schemeClr w14:val="tx1"/>
            </w14:solidFill>
          </w14:textFill>
        </w:rPr>
        <w:t>李棋盛来</w:t>
      </w:r>
      <w:r>
        <w:rPr>
          <w:rFonts w:hint="eastAsia"/>
          <w:color w:val="000000" w:themeColor="text1"/>
          <w:szCs w:val="28"/>
          <w14:textFill>
            <w14:solidFill>
              <w14:schemeClr w14:val="tx1"/>
            </w14:solidFill>
          </w14:textFill>
        </w:rPr>
        <w:t>农贸市场相邻；厂区西面为盛来房地产办公业务用房</w:t>
      </w:r>
      <w:r>
        <w:rPr>
          <w:color w:val="000000" w:themeColor="text1"/>
          <w:szCs w:val="28"/>
          <w14:textFill>
            <w14:solidFill>
              <w14:schemeClr w14:val="tx1"/>
            </w14:solidFill>
          </w14:textFill>
        </w:rPr>
        <w:t>。项目</w:t>
      </w:r>
      <w:r>
        <w:rPr>
          <w:rFonts w:hint="eastAsia"/>
          <w:color w:val="000000" w:themeColor="text1"/>
          <w:szCs w:val="28"/>
          <w:lang w:val="en-US" w:eastAsia="zh-CN"/>
          <w14:textFill>
            <w14:solidFill>
              <w14:schemeClr w14:val="tx1"/>
            </w14:solidFill>
          </w14:textFill>
        </w:rPr>
        <w:t>厂房、仓库同</w:t>
      </w:r>
      <w:r>
        <w:rPr>
          <w:rFonts w:hint="eastAsia"/>
          <w:color w:val="000000" w:themeColor="text1"/>
          <w:szCs w:val="28"/>
          <w14:textFill>
            <w14:solidFill>
              <w14:schemeClr w14:val="tx1"/>
            </w14:solidFill>
          </w14:textFill>
        </w:rPr>
        <w:t>周边</w:t>
      </w:r>
      <w:r>
        <w:rPr>
          <w:rFonts w:hint="eastAsia"/>
          <w:color w:val="000000" w:themeColor="text1"/>
          <w:szCs w:val="28"/>
          <w:lang w:val="en-US" w:eastAsia="zh-CN"/>
          <w14:textFill>
            <w14:solidFill>
              <w14:schemeClr w14:val="tx1"/>
            </w14:solidFill>
          </w14:textFill>
        </w:rPr>
        <w:t>距离</w:t>
      </w:r>
      <w:r>
        <w:rPr>
          <w:rFonts w:hint="eastAsia"/>
          <w:color w:val="000000" w:themeColor="text1"/>
          <w:szCs w:val="28"/>
          <w14:textFill>
            <w14:solidFill>
              <w14:schemeClr w14:val="tx1"/>
            </w14:solidFill>
          </w14:textFill>
        </w:rPr>
        <w:t>见下表</w:t>
      </w:r>
      <w:bookmarkEnd w:id="173"/>
      <w:r>
        <w:rPr>
          <w:rFonts w:hint="eastAsia"/>
          <w:color w:val="000000" w:themeColor="text1"/>
          <w:szCs w:val="28"/>
          <w14:textFill>
            <w14:solidFill>
              <w14:schemeClr w14:val="tx1"/>
            </w14:solidFill>
          </w14:textFill>
        </w:rPr>
        <w:t>。</w:t>
      </w:r>
    </w:p>
    <w:p>
      <w:pPr>
        <w:numPr>
          <w:ilvl w:val="0"/>
          <w:numId w:val="11"/>
        </w:numPr>
        <w:ind w:firstLineChars="0"/>
        <w:jc w:val="center"/>
        <w:rPr>
          <w:rFonts w:hAnsi="宋体"/>
          <w:bCs/>
          <w:color w:val="000000" w:themeColor="text1"/>
          <w:sz w:val="24"/>
          <w:szCs w:val="24"/>
          <w14:textFill>
            <w14:solidFill>
              <w14:schemeClr w14:val="tx1"/>
            </w14:solidFill>
          </w14:textFill>
        </w:rPr>
      </w:pPr>
      <w:r>
        <w:rPr>
          <w:rFonts w:hAnsi="宋体"/>
          <w:bCs/>
          <w:color w:val="000000" w:themeColor="text1"/>
          <w:sz w:val="24"/>
          <w:szCs w:val="24"/>
          <w14:textFill>
            <w14:solidFill>
              <w14:schemeClr w14:val="tx1"/>
            </w14:solidFill>
          </w14:textFill>
        </w:rPr>
        <w:t>项目</w:t>
      </w:r>
      <w:r>
        <w:rPr>
          <w:rFonts w:hint="eastAsia" w:hAnsi="宋体"/>
          <w:bCs/>
          <w:color w:val="000000" w:themeColor="text1"/>
          <w:sz w:val="24"/>
          <w:szCs w:val="24"/>
          <w:lang w:val="en-US" w:eastAsia="zh-CN"/>
          <w14:textFill>
            <w14:solidFill>
              <w14:schemeClr w14:val="tx1"/>
            </w14:solidFill>
          </w14:textFill>
        </w:rPr>
        <w:t>厂房、仓库</w:t>
      </w:r>
      <w:r>
        <w:rPr>
          <w:rFonts w:hint="eastAsia" w:hAnsi="宋体"/>
          <w:bCs/>
          <w:color w:val="000000" w:themeColor="text1"/>
          <w:sz w:val="24"/>
          <w:szCs w:val="24"/>
          <w14:textFill>
            <w14:solidFill>
              <w14:schemeClr w14:val="tx1"/>
            </w14:solidFill>
          </w14:textFill>
        </w:rPr>
        <w:t>周边</w:t>
      </w:r>
      <w:r>
        <w:rPr>
          <w:rFonts w:hAnsi="宋体"/>
          <w:bCs/>
          <w:color w:val="000000" w:themeColor="text1"/>
          <w:sz w:val="24"/>
          <w:szCs w:val="24"/>
          <w14:textFill>
            <w14:solidFill>
              <w14:schemeClr w14:val="tx1"/>
            </w14:solidFill>
          </w14:textFill>
        </w:rPr>
        <w:t>关系</w:t>
      </w:r>
      <w:r>
        <w:rPr>
          <w:rFonts w:hint="eastAsia" w:hAnsi="宋体"/>
          <w:bCs/>
          <w:color w:val="000000" w:themeColor="text1"/>
          <w:sz w:val="24"/>
          <w:szCs w:val="24"/>
          <w14:textFill>
            <w14:solidFill>
              <w14:schemeClr w14:val="tx1"/>
            </w14:solidFill>
          </w14:textFill>
        </w:rPr>
        <w:t>表</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3044"/>
        <w:gridCol w:w="862"/>
        <w:gridCol w:w="1271"/>
        <w:gridCol w:w="1666"/>
        <w:gridCol w:w="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48"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
                <w:bCs/>
                <w:color w:val="auto"/>
                <w:sz w:val="21"/>
                <w:szCs w:val="21"/>
              </w:rPr>
            </w:pPr>
            <w:r>
              <w:rPr>
                <w:b/>
                <w:bCs/>
                <w:color w:val="auto"/>
                <w:sz w:val="21"/>
                <w:szCs w:val="21"/>
              </w:rPr>
              <w:t>序号</w:t>
            </w:r>
          </w:p>
        </w:tc>
        <w:tc>
          <w:tcPr>
            <w:tcW w:w="1787"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
                <w:bCs/>
                <w:color w:val="auto"/>
                <w:sz w:val="21"/>
                <w:szCs w:val="21"/>
              </w:rPr>
            </w:pPr>
            <w:r>
              <w:rPr>
                <w:b/>
                <w:bCs/>
                <w:color w:val="auto"/>
                <w:sz w:val="21"/>
                <w:szCs w:val="21"/>
              </w:rPr>
              <w:t>周边关系</w:t>
            </w:r>
          </w:p>
        </w:tc>
        <w:tc>
          <w:tcPr>
            <w:tcW w:w="50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
                <w:bCs/>
                <w:color w:val="auto"/>
                <w:sz w:val="21"/>
                <w:szCs w:val="21"/>
              </w:rPr>
            </w:pPr>
            <w:r>
              <w:rPr>
                <w:b/>
                <w:bCs/>
                <w:color w:val="auto"/>
                <w:sz w:val="21"/>
                <w:szCs w:val="21"/>
              </w:rPr>
              <w:t>方位</w:t>
            </w:r>
          </w:p>
        </w:tc>
        <w:tc>
          <w:tcPr>
            <w:tcW w:w="74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
                <w:bCs/>
                <w:color w:val="auto"/>
                <w:sz w:val="21"/>
                <w:szCs w:val="21"/>
              </w:rPr>
            </w:pPr>
            <w:r>
              <w:rPr>
                <w:rFonts w:hint="eastAsia"/>
                <w:b/>
                <w:bCs/>
                <w:color w:val="auto"/>
                <w:sz w:val="21"/>
                <w:szCs w:val="21"/>
                <w:lang w:val="en-US" w:eastAsia="zh-CN"/>
              </w:rPr>
              <w:t>要求防炎间距</w:t>
            </w:r>
            <w:r>
              <w:rPr>
                <w:b/>
                <w:bCs/>
                <w:color w:val="auto"/>
                <w:sz w:val="21"/>
                <w:szCs w:val="21"/>
              </w:rPr>
              <w:t>（m）</w:t>
            </w:r>
          </w:p>
        </w:tc>
        <w:tc>
          <w:tcPr>
            <w:tcW w:w="978"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
                <w:bCs/>
                <w:color w:val="auto"/>
                <w:sz w:val="21"/>
                <w:szCs w:val="21"/>
              </w:rPr>
            </w:pPr>
            <w:r>
              <w:rPr>
                <w:rFonts w:hint="eastAsia"/>
                <w:b/>
                <w:bCs/>
                <w:color w:val="auto"/>
                <w:sz w:val="21"/>
                <w:szCs w:val="21"/>
                <w:lang w:val="en-US" w:eastAsia="zh-CN"/>
              </w:rPr>
              <w:t>实际</w:t>
            </w:r>
            <w:r>
              <w:rPr>
                <w:b/>
                <w:bCs/>
                <w:color w:val="auto"/>
                <w:sz w:val="21"/>
                <w:szCs w:val="21"/>
              </w:rPr>
              <w:t>距离（m）</w:t>
            </w:r>
          </w:p>
        </w:tc>
        <w:tc>
          <w:tcPr>
            <w:tcW w:w="534"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
                <w:bCs/>
                <w:color w:val="auto"/>
                <w:sz w:val="21"/>
                <w:szCs w:val="21"/>
              </w:rPr>
            </w:pPr>
            <w:r>
              <w:rPr>
                <w:b/>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48" w:type="pct"/>
            <w:vAlign w:val="center"/>
          </w:tcPr>
          <w:p>
            <w:pPr>
              <w:keepNext w:val="0"/>
              <w:keepLines w:val="0"/>
              <w:pageBreakBefore w:val="0"/>
              <w:widowControl w:val="0"/>
              <w:numPr>
                <w:ilvl w:val="0"/>
                <w:numId w:val="12"/>
              </w:numPr>
              <w:kinsoku/>
              <w:wordWrap/>
              <w:overflowPunct/>
              <w:topLinePunct w:val="0"/>
              <w:autoSpaceDE/>
              <w:autoSpaceDN/>
              <w:bidi w:val="0"/>
              <w:adjustRightInd/>
              <w:snapToGrid w:val="0"/>
              <w:spacing w:line="240" w:lineRule="auto"/>
              <w:ind w:firstLineChars="0"/>
              <w:jc w:val="center"/>
              <w:textAlignment w:val="auto"/>
              <w:rPr>
                <w:bCs/>
                <w:color w:val="auto"/>
                <w:sz w:val="21"/>
                <w:szCs w:val="21"/>
              </w:rPr>
            </w:pPr>
          </w:p>
        </w:tc>
        <w:tc>
          <w:tcPr>
            <w:tcW w:w="1787"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废旧物品收购站</w:t>
            </w:r>
          </w:p>
        </w:tc>
        <w:tc>
          <w:tcPr>
            <w:tcW w:w="50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北面</w:t>
            </w:r>
          </w:p>
        </w:tc>
        <w:tc>
          <w:tcPr>
            <w:tcW w:w="74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bCs/>
                <w:color w:val="auto"/>
                <w:sz w:val="21"/>
                <w:szCs w:val="21"/>
                <w:lang w:val="en-US" w:eastAsia="zh-CN"/>
              </w:rPr>
            </w:pPr>
            <w:r>
              <w:rPr>
                <w:bCs/>
                <w:color w:val="auto"/>
                <w:sz w:val="21"/>
                <w:szCs w:val="21"/>
              </w:rPr>
              <w:t>10</w:t>
            </w:r>
          </w:p>
        </w:tc>
        <w:tc>
          <w:tcPr>
            <w:tcW w:w="978"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bCs/>
                <w:color w:val="auto"/>
                <w:sz w:val="21"/>
                <w:szCs w:val="21"/>
                <w:lang w:val="en-US" w:eastAsia="zh-CN"/>
              </w:rPr>
            </w:pPr>
            <w:r>
              <w:rPr>
                <w:rFonts w:hint="eastAsia"/>
                <w:bCs/>
                <w:color w:val="auto"/>
                <w:sz w:val="21"/>
                <w:szCs w:val="21"/>
                <w:lang w:val="en-US" w:eastAsia="zh-CN"/>
              </w:rPr>
              <w:t>10</w:t>
            </w:r>
          </w:p>
        </w:tc>
        <w:tc>
          <w:tcPr>
            <w:tcW w:w="534"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bCs/>
                <w:color w:val="auto"/>
                <w:sz w:val="21"/>
                <w:szCs w:val="21"/>
                <w:lang w:val="en-US" w:eastAsia="zh-CN"/>
              </w:rPr>
            </w:pPr>
            <w:r>
              <w:rPr>
                <w:rFonts w:hint="eastAsia"/>
                <w:bCs/>
                <w:color w:val="auto"/>
                <w:sz w:val="21"/>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48" w:type="pct"/>
            <w:vAlign w:val="center"/>
          </w:tcPr>
          <w:p>
            <w:pPr>
              <w:keepNext w:val="0"/>
              <w:keepLines w:val="0"/>
              <w:pageBreakBefore w:val="0"/>
              <w:widowControl w:val="0"/>
              <w:numPr>
                <w:ilvl w:val="0"/>
                <w:numId w:val="12"/>
              </w:numPr>
              <w:kinsoku/>
              <w:wordWrap/>
              <w:overflowPunct/>
              <w:topLinePunct w:val="0"/>
              <w:autoSpaceDE/>
              <w:autoSpaceDN/>
              <w:bidi w:val="0"/>
              <w:adjustRightInd/>
              <w:snapToGrid w:val="0"/>
              <w:spacing w:line="240" w:lineRule="auto"/>
              <w:ind w:firstLineChars="0"/>
              <w:jc w:val="center"/>
              <w:textAlignment w:val="auto"/>
              <w:rPr>
                <w:bCs/>
                <w:color w:val="auto"/>
                <w:sz w:val="21"/>
                <w:szCs w:val="21"/>
              </w:rPr>
            </w:pPr>
          </w:p>
        </w:tc>
        <w:tc>
          <w:tcPr>
            <w:tcW w:w="1787"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居民点</w:t>
            </w:r>
          </w:p>
        </w:tc>
        <w:tc>
          <w:tcPr>
            <w:tcW w:w="50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北面</w:t>
            </w:r>
          </w:p>
        </w:tc>
        <w:tc>
          <w:tcPr>
            <w:tcW w:w="74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bCs/>
                <w:color w:val="auto"/>
                <w:sz w:val="21"/>
                <w:szCs w:val="21"/>
                <w:lang w:val="en-US" w:eastAsia="zh-CN"/>
              </w:rPr>
            </w:pPr>
            <w:r>
              <w:rPr>
                <w:bCs/>
                <w:color w:val="auto"/>
                <w:sz w:val="21"/>
                <w:szCs w:val="21"/>
              </w:rPr>
              <w:t>10</w:t>
            </w:r>
          </w:p>
        </w:tc>
        <w:tc>
          <w:tcPr>
            <w:tcW w:w="978"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bCs/>
                <w:color w:val="auto"/>
                <w:sz w:val="21"/>
                <w:szCs w:val="21"/>
                <w:lang w:val="en-US" w:eastAsia="zh-CN"/>
              </w:rPr>
            </w:pPr>
            <w:r>
              <w:rPr>
                <w:rFonts w:hint="eastAsia"/>
                <w:bCs/>
                <w:color w:val="auto"/>
                <w:sz w:val="21"/>
                <w:szCs w:val="21"/>
                <w:lang w:val="en-US" w:eastAsia="zh-CN"/>
              </w:rPr>
              <w:t>60</w:t>
            </w:r>
          </w:p>
        </w:tc>
        <w:tc>
          <w:tcPr>
            <w:tcW w:w="534"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48" w:type="pct"/>
            <w:vAlign w:val="center"/>
          </w:tcPr>
          <w:p>
            <w:pPr>
              <w:keepNext w:val="0"/>
              <w:keepLines w:val="0"/>
              <w:pageBreakBefore w:val="0"/>
              <w:widowControl w:val="0"/>
              <w:numPr>
                <w:ilvl w:val="0"/>
                <w:numId w:val="12"/>
              </w:numPr>
              <w:kinsoku/>
              <w:wordWrap/>
              <w:overflowPunct/>
              <w:topLinePunct w:val="0"/>
              <w:autoSpaceDE/>
              <w:autoSpaceDN/>
              <w:bidi w:val="0"/>
              <w:adjustRightInd/>
              <w:snapToGrid w:val="0"/>
              <w:spacing w:line="240" w:lineRule="auto"/>
              <w:ind w:firstLineChars="0"/>
              <w:jc w:val="center"/>
              <w:textAlignment w:val="auto"/>
              <w:rPr>
                <w:bCs/>
                <w:color w:val="auto"/>
                <w:sz w:val="21"/>
                <w:szCs w:val="21"/>
              </w:rPr>
            </w:pPr>
          </w:p>
        </w:tc>
        <w:tc>
          <w:tcPr>
            <w:tcW w:w="1787"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白龙路路边商铺</w:t>
            </w:r>
          </w:p>
        </w:tc>
        <w:tc>
          <w:tcPr>
            <w:tcW w:w="50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东面</w:t>
            </w:r>
          </w:p>
        </w:tc>
        <w:tc>
          <w:tcPr>
            <w:tcW w:w="74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bCs/>
                <w:color w:val="auto"/>
                <w:sz w:val="21"/>
                <w:szCs w:val="21"/>
              </w:rPr>
              <w:t>10</w:t>
            </w:r>
          </w:p>
        </w:tc>
        <w:tc>
          <w:tcPr>
            <w:tcW w:w="978"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bCs/>
                <w:color w:val="auto"/>
                <w:sz w:val="21"/>
                <w:szCs w:val="21"/>
                <w:lang w:val="en-US" w:eastAsia="zh-CN"/>
              </w:rPr>
            </w:pPr>
            <w:r>
              <w:rPr>
                <w:rFonts w:hint="eastAsia"/>
                <w:bCs/>
                <w:color w:val="auto"/>
                <w:sz w:val="21"/>
                <w:szCs w:val="21"/>
                <w:lang w:val="en-US" w:eastAsia="zh-CN"/>
              </w:rPr>
              <w:t>4</w:t>
            </w:r>
          </w:p>
        </w:tc>
        <w:tc>
          <w:tcPr>
            <w:tcW w:w="534"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48" w:type="pct"/>
            <w:vAlign w:val="center"/>
          </w:tcPr>
          <w:p>
            <w:pPr>
              <w:keepNext w:val="0"/>
              <w:keepLines w:val="0"/>
              <w:pageBreakBefore w:val="0"/>
              <w:widowControl w:val="0"/>
              <w:numPr>
                <w:ilvl w:val="0"/>
                <w:numId w:val="12"/>
              </w:numPr>
              <w:kinsoku/>
              <w:wordWrap/>
              <w:overflowPunct/>
              <w:topLinePunct w:val="0"/>
              <w:autoSpaceDE/>
              <w:autoSpaceDN/>
              <w:bidi w:val="0"/>
              <w:adjustRightInd/>
              <w:snapToGrid w:val="0"/>
              <w:spacing w:line="240" w:lineRule="auto"/>
              <w:ind w:firstLineChars="0"/>
              <w:jc w:val="center"/>
              <w:textAlignment w:val="auto"/>
              <w:rPr>
                <w:bCs/>
                <w:color w:val="auto"/>
                <w:sz w:val="21"/>
                <w:szCs w:val="21"/>
              </w:rPr>
            </w:pPr>
          </w:p>
        </w:tc>
        <w:tc>
          <w:tcPr>
            <w:tcW w:w="1787"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lang w:val="en-US" w:eastAsia="zh-CN"/>
              </w:rPr>
              <w:t>李棋盛来</w:t>
            </w:r>
            <w:r>
              <w:rPr>
                <w:rFonts w:hint="eastAsia"/>
                <w:bCs/>
                <w:color w:val="auto"/>
                <w:sz w:val="21"/>
                <w:szCs w:val="21"/>
              </w:rPr>
              <w:t>农贸市场</w:t>
            </w:r>
          </w:p>
        </w:tc>
        <w:tc>
          <w:tcPr>
            <w:tcW w:w="50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南面</w:t>
            </w:r>
          </w:p>
        </w:tc>
        <w:tc>
          <w:tcPr>
            <w:tcW w:w="74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bCs/>
                <w:color w:val="auto"/>
                <w:sz w:val="21"/>
                <w:szCs w:val="21"/>
              </w:rPr>
              <w:t>10</w:t>
            </w:r>
          </w:p>
        </w:tc>
        <w:tc>
          <w:tcPr>
            <w:tcW w:w="978"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eastAsia="宋体"/>
                <w:bCs/>
                <w:color w:val="auto"/>
                <w:sz w:val="21"/>
                <w:szCs w:val="21"/>
                <w:lang w:val="en-US" w:eastAsia="zh-CN"/>
              </w:rPr>
            </w:pPr>
            <w:r>
              <w:rPr>
                <w:rFonts w:hint="eastAsia"/>
                <w:bCs/>
                <w:color w:val="auto"/>
                <w:sz w:val="21"/>
                <w:szCs w:val="21"/>
                <w:lang w:val="en-US" w:eastAsia="zh-CN"/>
              </w:rPr>
              <w:t>2</w:t>
            </w:r>
          </w:p>
        </w:tc>
        <w:tc>
          <w:tcPr>
            <w:tcW w:w="534"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448" w:type="pct"/>
            <w:vAlign w:val="center"/>
          </w:tcPr>
          <w:p>
            <w:pPr>
              <w:keepNext w:val="0"/>
              <w:keepLines w:val="0"/>
              <w:pageBreakBefore w:val="0"/>
              <w:widowControl w:val="0"/>
              <w:numPr>
                <w:ilvl w:val="0"/>
                <w:numId w:val="12"/>
              </w:numPr>
              <w:kinsoku/>
              <w:wordWrap/>
              <w:overflowPunct/>
              <w:topLinePunct w:val="0"/>
              <w:autoSpaceDE/>
              <w:autoSpaceDN/>
              <w:bidi w:val="0"/>
              <w:adjustRightInd/>
              <w:snapToGrid w:val="0"/>
              <w:spacing w:line="240" w:lineRule="auto"/>
              <w:ind w:firstLineChars="0"/>
              <w:jc w:val="center"/>
              <w:textAlignment w:val="auto"/>
              <w:rPr>
                <w:bCs/>
                <w:color w:val="auto"/>
                <w:sz w:val="21"/>
                <w:szCs w:val="21"/>
              </w:rPr>
            </w:pPr>
          </w:p>
        </w:tc>
        <w:tc>
          <w:tcPr>
            <w:tcW w:w="1787"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盛来房地产办公业务用房</w:t>
            </w:r>
          </w:p>
        </w:tc>
        <w:tc>
          <w:tcPr>
            <w:tcW w:w="50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rPr>
              <w:t>西面</w:t>
            </w:r>
          </w:p>
        </w:tc>
        <w:tc>
          <w:tcPr>
            <w:tcW w:w="746"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bCs/>
                <w:color w:val="auto"/>
                <w:sz w:val="21"/>
                <w:szCs w:val="21"/>
              </w:rPr>
              <w:t>10</w:t>
            </w:r>
          </w:p>
        </w:tc>
        <w:tc>
          <w:tcPr>
            <w:tcW w:w="978"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bCs/>
                <w:color w:val="auto"/>
                <w:sz w:val="21"/>
                <w:szCs w:val="21"/>
                <w:lang w:eastAsia="zh-CN"/>
              </w:rPr>
            </w:pPr>
            <w:r>
              <w:rPr>
                <w:rFonts w:hint="eastAsia"/>
                <w:bCs/>
                <w:color w:val="auto"/>
                <w:sz w:val="21"/>
                <w:szCs w:val="21"/>
                <w:lang w:val="en-US" w:eastAsia="zh-CN"/>
              </w:rPr>
              <w:t>4</w:t>
            </w:r>
          </w:p>
        </w:tc>
        <w:tc>
          <w:tcPr>
            <w:tcW w:w="534" w:type="pct"/>
            <w:vAlign w:val="center"/>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Cs/>
                <w:color w:val="auto"/>
                <w:sz w:val="21"/>
                <w:szCs w:val="21"/>
              </w:rPr>
            </w:pPr>
            <w:r>
              <w:rPr>
                <w:rFonts w:hint="eastAsia"/>
                <w:bCs/>
                <w:color w:val="auto"/>
                <w:sz w:val="21"/>
                <w:szCs w:val="21"/>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leftChars="0"/>
              <w:textAlignment w:val="auto"/>
              <w:rPr>
                <w:rFonts w:hint="eastAsia"/>
                <w:lang w:eastAsia="zh-CN"/>
              </w:rPr>
            </w:pPr>
            <w:r>
              <w:rPr>
                <w:rFonts w:hint="eastAsia"/>
                <w:bCs/>
                <w:color w:val="auto"/>
                <w:sz w:val="21"/>
                <w:szCs w:val="21"/>
                <w:lang w:val="en-US" w:eastAsia="zh-CN"/>
              </w:rPr>
              <w:t>项目厂房之间及其与周边民用建筑防火间距</w:t>
            </w:r>
            <w:r>
              <w:rPr>
                <w:rFonts w:hint="eastAsia"/>
                <w:bCs/>
                <w:color w:val="auto"/>
                <w:sz w:val="21"/>
                <w:szCs w:val="21"/>
              </w:rPr>
              <w:t>根据《建筑设计防火规范（2018年版）》（G</w:t>
            </w:r>
            <w:r>
              <w:rPr>
                <w:bCs/>
                <w:color w:val="auto"/>
                <w:sz w:val="21"/>
                <w:szCs w:val="21"/>
              </w:rPr>
              <w:t>B 50016-2014</w:t>
            </w:r>
            <w:r>
              <w:rPr>
                <w:rFonts w:hint="eastAsia"/>
                <w:bCs/>
                <w:color w:val="auto"/>
                <w:sz w:val="21"/>
                <w:szCs w:val="21"/>
              </w:rPr>
              <w:t>）表3</w:t>
            </w:r>
            <w:r>
              <w:rPr>
                <w:bCs/>
                <w:color w:val="auto"/>
                <w:sz w:val="21"/>
                <w:szCs w:val="21"/>
              </w:rPr>
              <w:t>.4.1</w:t>
            </w:r>
            <w:r>
              <w:rPr>
                <w:rFonts w:hint="eastAsia"/>
                <w:bCs/>
                <w:color w:val="auto"/>
                <w:sz w:val="21"/>
                <w:szCs w:val="21"/>
              </w:rPr>
              <w:t>确定。</w:t>
            </w:r>
            <w:r>
              <w:rPr>
                <w:rFonts w:hint="eastAsia"/>
                <w:bCs/>
                <w:color w:val="auto"/>
                <w:sz w:val="21"/>
                <w:szCs w:val="21"/>
                <w:lang w:val="en-US" w:eastAsia="zh-CN"/>
              </w:rPr>
              <w:t>项目仓库之间及其与周边民用建筑防火间距</w:t>
            </w:r>
            <w:r>
              <w:rPr>
                <w:rFonts w:hint="eastAsia"/>
                <w:bCs/>
                <w:color w:val="auto"/>
                <w:sz w:val="21"/>
                <w:szCs w:val="21"/>
              </w:rPr>
              <w:t>根据《建筑设计防火规范（2018年版）》（G</w:t>
            </w:r>
            <w:r>
              <w:rPr>
                <w:bCs/>
                <w:color w:val="auto"/>
                <w:sz w:val="21"/>
                <w:szCs w:val="21"/>
              </w:rPr>
              <w:t>B 50016-2014</w:t>
            </w:r>
            <w:r>
              <w:rPr>
                <w:rFonts w:hint="eastAsia"/>
                <w:bCs/>
                <w:color w:val="auto"/>
                <w:sz w:val="21"/>
                <w:szCs w:val="21"/>
              </w:rPr>
              <w:t>）表3</w:t>
            </w:r>
            <w:r>
              <w:rPr>
                <w:bCs/>
                <w:color w:val="auto"/>
                <w:sz w:val="21"/>
                <w:szCs w:val="21"/>
              </w:rPr>
              <w:t>.</w:t>
            </w:r>
            <w:r>
              <w:rPr>
                <w:rFonts w:hint="eastAsia"/>
                <w:bCs/>
                <w:color w:val="auto"/>
                <w:sz w:val="21"/>
                <w:szCs w:val="21"/>
                <w:lang w:val="en-US" w:eastAsia="zh-CN"/>
              </w:rPr>
              <w:t>5</w:t>
            </w:r>
            <w:r>
              <w:rPr>
                <w:bCs/>
                <w:color w:val="auto"/>
                <w:sz w:val="21"/>
                <w:szCs w:val="21"/>
              </w:rPr>
              <w:t>.</w:t>
            </w:r>
            <w:r>
              <w:rPr>
                <w:rFonts w:hint="eastAsia"/>
                <w:bCs/>
                <w:color w:val="auto"/>
                <w:sz w:val="21"/>
                <w:szCs w:val="21"/>
                <w:lang w:val="en-US" w:eastAsia="zh-CN"/>
              </w:rPr>
              <w:t>2</w:t>
            </w:r>
            <w:r>
              <w:rPr>
                <w:rFonts w:hint="eastAsia"/>
                <w:bCs/>
                <w:color w:val="auto"/>
                <w:sz w:val="21"/>
                <w:szCs w:val="21"/>
              </w:rPr>
              <w:t>确定。</w:t>
            </w:r>
          </w:p>
        </w:tc>
      </w:tr>
    </w:tbl>
    <w:p>
      <w:pPr>
        <w:ind w:firstLine="560"/>
        <w:rPr>
          <w:rFonts w:hAnsi="宋体"/>
          <w:bCs/>
          <w:color w:val="000000" w:themeColor="text1"/>
          <w:sz w:val="24"/>
          <w:szCs w:val="24"/>
          <w14:textFill>
            <w14:solidFill>
              <w14:schemeClr w14:val="tx1"/>
            </w14:solidFill>
          </w14:textFill>
        </w:rPr>
      </w:pPr>
      <w:r>
        <w:rPr>
          <w:color w:val="000000" w:themeColor="text1"/>
          <w:szCs w:val="28"/>
          <w14:textFill>
            <w14:solidFill>
              <w14:schemeClr w14:val="tx1"/>
            </w14:solidFill>
          </w14:textFill>
        </w:rPr>
        <w:t>项目</w:t>
      </w:r>
      <w:r>
        <w:rPr>
          <w:rFonts w:hint="eastAsia"/>
          <w:color w:val="000000" w:themeColor="text1"/>
          <w:szCs w:val="28"/>
          <w14:textFill>
            <w14:solidFill>
              <w14:schemeClr w14:val="tx1"/>
            </w14:solidFill>
          </w14:textFill>
        </w:rPr>
        <w:t>周边</w:t>
      </w:r>
      <w:r>
        <w:rPr>
          <w:color w:val="000000" w:themeColor="text1"/>
          <w:szCs w:val="28"/>
          <w14:textFill>
            <w14:solidFill>
              <w14:schemeClr w14:val="tx1"/>
            </w14:solidFill>
          </w14:textFill>
        </w:rPr>
        <w:t>关系图见图2-2</w:t>
      </w:r>
      <w:r>
        <w:rPr>
          <w:rFonts w:hint="eastAsia"/>
          <w:color w:val="000000" w:themeColor="text1"/>
          <w:szCs w:val="28"/>
          <w14:textFill>
            <w14:solidFill>
              <w14:schemeClr w14:val="tx1"/>
            </w14:solidFill>
          </w14:textFill>
        </w:rPr>
        <w:t>。</w:t>
      </w:r>
    </w:p>
    <w:p>
      <w:pPr>
        <w:spacing w:line="240" w:lineRule="auto"/>
        <w:ind w:firstLine="0" w:firstLineChars="0"/>
        <w:jc w:val="center"/>
        <w:rPr>
          <w:color w:val="000000" w:themeColor="text1"/>
          <w14:textFill>
            <w14:solidFill>
              <w14:schemeClr w14:val="tx1"/>
            </w14:solidFill>
          </w14:textFill>
        </w:rPr>
      </w:pPr>
      <w:r>
        <w:drawing>
          <wp:inline distT="0" distB="0" distL="0" distR="0">
            <wp:extent cx="5274310" cy="4089400"/>
            <wp:effectExtent l="0" t="0" r="2540"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9"/>
                    <a:stretch>
                      <a:fillRect/>
                    </a:stretch>
                  </pic:blipFill>
                  <pic:spPr>
                    <a:xfrm>
                      <a:off x="0" y="0"/>
                      <a:ext cx="5274310" cy="4089400"/>
                    </a:xfrm>
                    <a:prstGeom prst="rect">
                      <a:avLst/>
                    </a:prstGeom>
                  </pic:spPr>
                </pic:pic>
              </a:graphicData>
            </a:graphic>
          </wp:inline>
        </w:drawing>
      </w:r>
    </w:p>
    <w:p>
      <w:pPr>
        <w:numPr>
          <w:ilvl w:val="0"/>
          <w:numId w:val="10"/>
        </w:numPr>
        <w:ind w:firstLineChars="0"/>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项目周边情况</w:t>
      </w:r>
    </w:p>
    <w:p>
      <w:pPr>
        <w:bidi w:val="0"/>
        <w:rPr>
          <w:rFonts w:hint="default"/>
          <w:lang w:val="en-US"/>
        </w:rPr>
      </w:pPr>
      <w:r>
        <w:rPr>
          <w:rFonts w:hint="eastAsia"/>
          <w:lang w:val="en-US" w:eastAsia="zh-CN"/>
        </w:rPr>
        <w:t>根据地方和该公司提供的资料，造成该公司周边安全距离不足有其历史原因。该公司2009年建厂，2012年同业主签约租用李棋盛来农贸市场内场地建厂时，项目东侧无路边商铺，项目区后的农贸市场内建筑距厂区距离也符合防火间距要求。由于经济发展，后期农贸市场内又建设了商铺，厂区东侧业主又新建了路边商铺，西侧又建设了盛来房地产办公用房，导致项目同周边防火间距不足。</w:t>
      </w:r>
    </w:p>
    <w:p>
      <w:pPr>
        <w:pStyle w:val="6"/>
      </w:pPr>
      <w:bookmarkStart w:id="174" w:name="_Toc16850"/>
      <w:bookmarkStart w:id="175" w:name="_Toc20305"/>
      <w:bookmarkStart w:id="176" w:name="_Toc8153"/>
      <w:r>
        <w:rPr>
          <w:rFonts w:hint="eastAsia"/>
        </w:rPr>
        <w:t>气象条件</w:t>
      </w:r>
      <w:bookmarkEnd w:id="174"/>
      <w:bookmarkEnd w:id="175"/>
    </w:p>
    <w:p>
      <w:pPr>
        <w:spacing w:line="560" w:lineRule="exact"/>
        <w:ind w:firstLine="560"/>
        <w:rPr>
          <w:rFonts w:ascii="宋体" w:hAnsi="宋体" w:cs="宋体"/>
          <w:bCs/>
          <w:szCs w:val="28"/>
        </w:rPr>
      </w:pPr>
      <w:bookmarkStart w:id="177" w:name="_Toc129520595"/>
      <w:bookmarkStart w:id="178" w:name="_Toc51340634"/>
      <w:bookmarkStart w:id="179" w:name="_Toc103178261"/>
      <w:bookmarkStart w:id="180" w:name="_Toc54294400"/>
      <w:r>
        <w:rPr>
          <w:rFonts w:hint="eastAsia" w:ascii="宋体" w:hAnsi="宋体" w:cs="宋体"/>
          <w:bCs/>
          <w:szCs w:val="28"/>
        </w:rPr>
        <w:t>红塔区为中亚热带半湿润冷冬高原季风气候，冬无严寒，夏无酷暑，气候宜人。由于山脉和地势的影响，使红塔区气候的水平差异和垂直差异都较大，首先，山脉对气流的动力抬升作用，使东西部降水量比中部和南部坝区偏多，其次是使气温随海拔升高而降低。因此，坝区气候温和，山区气候冷凉。红塔区地处低纬高原，冬夏半年各受两种性质不同的大气环流交替影响，因此，高原季风气候特点显著，冬半年（即干季11-4月）受南支西风急流控制，空气温暖干燥，因而晴天多，日照充足，太阳辐射强，降水少；同时由于晴朗干燥，夜间辐射冷却亦强，容易形成霜或霜冻。夏半年(即雨季5-10月)，受副热带高压控制，常受来自赤道海洋的西南季风和来自热带海洋的东南季风影响，湿度大、水汽充足、降水多，会形成洪涝灾害，鉴于以上天气特点，红塔区形成了冬暖夏凉，四季如春，夏秋多雨，冬春干旱，雨热同季的气候。</w:t>
      </w:r>
    </w:p>
    <w:p>
      <w:pPr>
        <w:ind w:firstLine="560"/>
        <w:rPr>
          <w:rFonts w:hint="eastAsia" w:ascii="宋体" w:hAnsi="宋体" w:eastAsia="宋体" w:cs="宋体"/>
          <w:bCs/>
          <w:szCs w:val="28"/>
          <w:lang w:val="en-US" w:eastAsia="zh-CN"/>
        </w:rPr>
      </w:pPr>
      <w:r>
        <w:rPr>
          <w:rFonts w:hint="eastAsia" w:ascii="宋体" w:hAnsi="宋体" w:cs="宋体"/>
          <w:bCs/>
          <w:szCs w:val="28"/>
        </w:rPr>
        <w:t>据红塔区气象局资料，全区多年平均气温15.6℃，最冷月（1月）平均温度8.4℃，最热月（7月）平均温度20.7℃，多年极端最低气温-5.5℃，无霜期233天，年平均降水量913.0ｍｍ，年日照时数2185.0小时。2010年全年平均气温17.4℃，极端最高气温32.2℃(5月6日</w:t>
      </w:r>
      <w:r>
        <w:rPr>
          <w:rFonts w:hint="eastAsia" w:ascii="宋体" w:hAnsi="宋体" w:eastAsia="宋体" w:cs="宋体"/>
          <w:bCs/>
          <w:szCs w:val="28"/>
        </w:rPr>
        <w:t>)，极端最低气温0.5℃（12月17日）；全年日照时数为2370.5小时，日照率为54%；霜降从2010年11月3日始，2011年2月23日止，共113天；全年降雨155天，降雨量639.6毫米；平均相对湿度为72%，最小湿度为10%；主要气象灾害有旱灾、冰雹灾等。</w:t>
      </w:r>
      <w:bookmarkEnd w:id="177"/>
      <w:bookmarkEnd w:id="178"/>
      <w:bookmarkEnd w:id="179"/>
      <w:bookmarkEnd w:id="180"/>
      <w:r>
        <w:rPr>
          <w:rFonts w:hint="eastAsia" w:ascii="宋体" w:hAnsi="宋体" w:eastAsia="宋体" w:cs="宋体"/>
          <w:bCs/>
          <w:szCs w:val="28"/>
          <w:lang w:val="en-US" w:eastAsia="zh-CN"/>
        </w:rPr>
        <w:t>红塔区多年平均雷暴日天数</w:t>
      </w:r>
      <w:r>
        <w:rPr>
          <w:rFonts w:hint="eastAsia" w:ascii="宋体" w:hAnsi="宋体" w:eastAsia="宋体" w:cs="宋体"/>
          <w:bCs/>
          <w:szCs w:val="28"/>
        </w:rPr>
        <w:t>63</w:t>
      </w:r>
      <w:r>
        <w:rPr>
          <w:rFonts w:hint="eastAsia" w:ascii="宋体" w:hAnsi="宋体" w:eastAsia="宋体" w:cs="宋体"/>
          <w:bCs/>
          <w:szCs w:val="28"/>
          <w:lang w:val="en-US" w:eastAsia="zh-CN"/>
        </w:rPr>
        <w:t>天，区</w:t>
      </w:r>
      <w:r>
        <w:rPr>
          <w:rFonts w:hint="eastAsia" w:ascii="宋体" w:hAnsi="宋体" w:eastAsia="宋体" w:cs="宋体"/>
          <w:bCs/>
          <w:szCs w:val="28"/>
        </w:rPr>
        <w:t>内</w:t>
      </w:r>
      <w:r>
        <w:rPr>
          <w:rFonts w:hint="eastAsia" w:ascii="宋体" w:hAnsi="宋体" w:eastAsia="宋体" w:cs="宋体"/>
          <w:bCs/>
          <w:szCs w:val="28"/>
          <w:lang w:val="en-US" w:eastAsia="zh-CN"/>
        </w:rPr>
        <w:t>常年</w:t>
      </w:r>
      <w:r>
        <w:rPr>
          <w:rFonts w:hint="eastAsia" w:ascii="宋体" w:hAnsi="宋体" w:eastAsia="宋体" w:cs="宋体"/>
          <w:bCs/>
          <w:szCs w:val="28"/>
        </w:rPr>
        <w:t>主导风向西南风，冬季有少量北风。</w:t>
      </w:r>
    </w:p>
    <w:p>
      <w:pPr>
        <w:pStyle w:val="6"/>
        <w:rPr>
          <w:color w:val="000000" w:themeColor="text1"/>
          <w14:textFill>
            <w14:solidFill>
              <w14:schemeClr w14:val="tx1"/>
            </w14:solidFill>
          </w14:textFill>
        </w:rPr>
      </w:pPr>
      <w:bookmarkStart w:id="181" w:name="_Toc5107"/>
      <w:r>
        <w:rPr>
          <w:rFonts w:hint="eastAsia"/>
          <w:color w:val="000000" w:themeColor="text1"/>
          <w14:textFill>
            <w14:solidFill>
              <w14:schemeClr w14:val="tx1"/>
            </w14:solidFill>
          </w14:textFill>
        </w:rPr>
        <w:t>地质、地震</w:t>
      </w:r>
      <w:bookmarkEnd w:id="176"/>
      <w:bookmarkEnd w:id="181"/>
    </w:p>
    <w:p>
      <w:pPr>
        <w:ind w:firstLine="560"/>
        <w:rPr>
          <w:rFonts w:hint="eastAsia"/>
        </w:rPr>
      </w:pPr>
      <w:r>
        <w:rPr>
          <w:rFonts w:hint="eastAsia"/>
        </w:rPr>
        <w:t>项目位于玉溪市红塔区李棋街道办事处农贸市场旁边，海拔约1</w:t>
      </w:r>
      <w:r>
        <w:t>720</w:t>
      </w:r>
      <w:r>
        <w:rPr>
          <w:rFonts w:hint="eastAsia"/>
        </w:rPr>
        <w:t>m，玉溪市地处扬文准地台与兰坪至思茅褶皱系两大一级大地构造单元的结合带，亚欧与印度两个古板的缝合带和云南“山”字型构造的主体部位。处在地震较活跃的小江断裂带及曲江断裂带附近。主城区地质构造复杂，各方面的断裂交汇点多，属中强度地震活动区，是云南省抗震防灾的重要地区。据历史记载，1</w:t>
      </w:r>
      <w:r>
        <w:t>507</w:t>
      </w:r>
      <w:r>
        <w:rPr>
          <w:rFonts w:hint="eastAsia"/>
        </w:rPr>
        <w:t>年以来，区境内发生过</w:t>
      </w:r>
      <w:r>
        <w:t>5</w:t>
      </w:r>
      <w:r>
        <w:rPr>
          <w:rFonts w:hint="eastAsia"/>
        </w:rPr>
        <w:t>级以上的破坏性地震1</w:t>
      </w:r>
      <w:r>
        <w:t>3</w:t>
      </w:r>
      <w:r>
        <w:rPr>
          <w:rFonts w:hint="eastAsia"/>
        </w:rPr>
        <w:t>次，其中1</w:t>
      </w:r>
      <w:r>
        <w:t>970</w:t>
      </w:r>
      <w:r>
        <w:rPr>
          <w:rFonts w:hint="eastAsia"/>
        </w:rPr>
        <w:t>通海—峨山发生7</w:t>
      </w:r>
      <w:r>
        <w:t>.7</w:t>
      </w:r>
      <w:r>
        <w:rPr>
          <w:rFonts w:hint="eastAsia"/>
        </w:rPr>
        <w:t>级强烈地震，涉及玉溪城区，境内平均烈度达7级，灾区严重。根据《中国地震烈度区划分图》划分，玉溪市主城区地震烈度达8度，属地震防范区。</w:t>
      </w:r>
    </w:p>
    <w:p>
      <w:pPr>
        <w:ind w:firstLine="560"/>
        <w:rPr>
          <w:rFonts w:hint="eastAsia"/>
        </w:rPr>
      </w:pPr>
      <w:r>
        <w:rPr>
          <w:rFonts w:hint="eastAsia"/>
        </w:rPr>
        <w:t>地质条件</w:t>
      </w:r>
      <w:r>
        <w:rPr>
          <w:rFonts w:hint="eastAsia"/>
          <w:lang w:eastAsia="zh-CN"/>
        </w:rPr>
        <w:t>：</w:t>
      </w:r>
      <w:r>
        <w:rPr>
          <w:rFonts w:hint="eastAsia"/>
        </w:rPr>
        <w:t>玉溪玉象包装材料有限公司没有提供厂区地质资料。经评价组现场检查，厂区内未发现塌陷、开裂、下沉等地灾现象。</w:t>
      </w:r>
    </w:p>
    <w:p>
      <w:pPr>
        <w:ind w:firstLine="560"/>
        <w:rPr>
          <w:rFonts w:hint="eastAsia"/>
        </w:rPr>
      </w:pPr>
      <w:r>
        <w:rPr>
          <w:rFonts w:hint="eastAsia"/>
        </w:rPr>
        <w:t>根据《建筑抗震设计规范（2016年版）》（GB 50011-2010）中附录A规定，企业所在地抗震设防烈度为8度，设计基本地震加速度值0.30g，设计地震分组第三组。</w:t>
      </w:r>
    </w:p>
    <w:p>
      <w:pPr>
        <w:ind w:firstLine="560"/>
        <w:rPr>
          <w:rFonts w:hint="eastAsia" w:ascii="Times New Roman" w:hAnsi="Times New Roman" w:eastAsia="宋体" w:cs="Times New Roman"/>
        </w:rPr>
      </w:pPr>
      <w:r>
        <w:rPr>
          <w:rFonts w:hint="eastAsia" w:ascii="Times New Roman" w:hAnsi="Times New Roman" w:eastAsia="宋体" w:cs="Times New Roman"/>
          <w:lang w:val="en-US" w:eastAsia="zh-CN"/>
        </w:rPr>
        <w:t>该项目为租用场地，</w:t>
      </w:r>
      <w:r>
        <w:rPr>
          <w:rFonts w:hint="eastAsia" w:ascii="Times New Roman" w:hAnsi="Times New Roman" w:eastAsia="宋体" w:cs="Times New Roman"/>
        </w:rPr>
        <w:t>玉溪玉象包装材料有限公司没有提供厂区</w:t>
      </w:r>
      <w:r>
        <w:rPr>
          <w:rFonts w:hint="eastAsia" w:ascii="Times New Roman" w:hAnsi="Times New Roman" w:eastAsia="宋体" w:cs="Times New Roman"/>
          <w:lang w:val="en-US" w:eastAsia="zh-CN"/>
        </w:rPr>
        <w:t>详细</w:t>
      </w:r>
      <w:r>
        <w:rPr>
          <w:rFonts w:hint="eastAsia" w:ascii="Times New Roman" w:hAnsi="Times New Roman" w:eastAsia="宋体" w:cs="Times New Roman"/>
        </w:rPr>
        <w:t>岩土工程详细勘察报告。经评价组现场检查，厂区内未发现塌陷、开裂、下沉等地灾现象。</w:t>
      </w:r>
    </w:p>
    <w:p>
      <w:pPr>
        <w:pStyle w:val="5"/>
        <w:rPr>
          <w:snapToGrid w:val="0"/>
          <w:color w:val="000000" w:themeColor="text1"/>
          <w14:textFill>
            <w14:solidFill>
              <w14:schemeClr w14:val="tx1"/>
            </w14:solidFill>
          </w14:textFill>
        </w:rPr>
      </w:pPr>
      <w:bookmarkStart w:id="182" w:name="_Toc27243"/>
      <w:bookmarkStart w:id="183" w:name="_Toc129520596"/>
      <w:bookmarkStart w:id="184" w:name="_Toc51340635"/>
      <w:bookmarkStart w:id="185" w:name="_Toc54294401"/>
      <w:bookmarkStart w:id="186" w:name="_Toc103178262"/>
      <w:bookmarkStart w:id="187" w:name="_Toc14604"/>
      <w:r>
        <w:rPr>
          <w:snapToGrid w:val="0"/>
          <w:color w:val="000000" w:themeColor="text1"/>
          <w14:textFill>
            <w14:solidFill>
              <w14:schemeClr w14:val="tx1"/>
            </w14:solidFill>
          </w14:textFill>
        </w:rPr>
        <w:t>总图</w:t>
      </w:r>
      <w:r>
        <w:rPr>
          <w:rFonts w:hint="eastAsia"/>
          <w:snapToGrid w:val="0"/>
          <w:color w:val="000000" w:themeColor="text1"/>
          <w14:textFill>
            <w14:solidFill>
              <w14:schemeClr w14:val="tx1"/>
            </w14:solidFill>
          </w14:textFill>
        </w:rPr>
        <w:t>布置及</w:t>
      </w:r>
      <w:r>
        <w:rPr>
          <w:snapToGrid w:val="0"/>
          <w:color w:val="000000" w:themeColor="text1"/>
          <w14:textFill>
            <w14:solidFill>
              <w14:schemeClr w14:val="tx1"/>
            </w14:solidFill>
          </w14:textFill>
        </w:rPr>
        <w:t>运输</w:t>
      </w:r>
      <w:bookmarkEnd w:id="182"/>
      <w:bookmarkEnd w:id="183"/>
      <w:bookmarkEnd w:id="184"/>
      <w:bookmarkEnd w:id="185"/>
      <w:bookmarkEnd w:id="186"/>
      <w:bookmarkEnd w:id="187"/>
    </w:p>
    <w:p>
      <w:pPr>
        <w:ind w:firstLine="560"/>
        <w:rPr>
          <w:color w:val="000000" w:themeColor="text1"/>
          <w:szCs w:val="28"/>
          <w14:textFill>
            <w14:solidFill>
              <w14:schemeClr w14:val="tx1"/>
            </w14:solidFill>
          </w14:textFill>
        </w:rPr>
      </w:pPr>
      <w:r>
        <w:t>玉溪玉象包装材料有限公司</w:t>
      </w:r>
      <w:r>
        <w:rPr>
          <w:rFonts w:hint="eastAsia"/>
          <w:color w:val="000000" w:themeColor="text1"/>
          <w:szCs w:val="28"/>
          <w14:textFill>
            <w14:solidFill>
              <w14:schemeClr w14:val="tx1"/>
            </w14:solidFill>
          </w14:textFill>
        </w:rPr>
        <w:t>厂区较为平整。主要设置生产区、仓库、配电室、机修室、空调机组、办公区。</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功能区位于南端，主要设置配电室、机修室、空调机组。</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生产区位于东部，主要设置食品用塑料包装容器生产线。</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仓储区：成品仓库分别位于东边中部、西北端；辅料仓库、配料室、原料仓库位于中部。</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办公区位于东部北部，主要设置办公楼。</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公司</w:t>
      </w:r>
      <w:r>
        <w:rPr>
          <w:color w:val="000000" w:themeColor="text1"/>
          <w:szCs w:val="28"/>
          <w14:textFill>
            <w14:solidFill>
              <w14:schemeClr w14:val="tx1"/>
            </w14:solidFill>
          </w14:textFill>
        </w:rPr>
        <w:t>厂区平面布置</w:t>
      </w:r>
      <w:r>
        <w:rPr>
          <w:rFonts w:hint="eastAsia"/>
          <w:color w:val="000000" w:themeColor="text1"/>
          <w:szCs w:val="28"/>
          <w14:textFill>
            <w14:solidFill>
              <w14:schemeClr w14:val="tx1"/>
            </w14:solidFill>
          </w14:textFill>
        </w:rPr>
        <w:t>示意</w:t>
      </w:r>
      <w:r>
        <w:rPr>
          <w:color w:val="000000" w:themeColor="text1"/>
          <w:szCs w:val="28"/>
          <w14:textFill>
            <w14:solidFill>
              <w14:schemeClr w14:val="tx1"/>
            </w14:solidFill>
          </w14:textFill>
        </w:rPr>
        <w:t>图见图2-3</w:t>
      </w:r>
      <w:r>
        <w:rPr>
          <w:rFonts w:hint="eastAsia"/>
          <w:color w:val="000000" w:themeColor="text1"/>
          <w:szCs w:val="28"/>
          <w14:textFill>
            <w14:solidFill>
              <w14:schemeClr w14:val="tx1"/>
            </w14:solidFill>
          </w14:textFill>
        </w:rPr>
        <w:t>。</w:t>
      </w:r>
    </w:p>
    <w:p>
      <w:pPr>
        <w:spacing w:line="240" w:lineRule="auto"/>
        <w:ind w:firstLine="0" w:firstLineChars="0"/>
        <w:jc w:val="center"/>
        <w:rPr>
          <w:rFonts w:ascii="仿宋" w:hAnsi="仿宋" w:eastAsia="仿宋"/>
          <w:color w:val="000000" w:themeColor="text1"/>
          <w14:textFill>
            <w14:solidFill>
              <w14:schemeClr w14:val="tx1"/>
            </w14:solidFill>
          </w14:textFill>
        </w:rPr>
      </w:pPr>
      <w:r>
        <w:rPr>
          <w:sz w:val="28"/>
        </w:rPr>
        <mc:AlternateContent>
          <mc:Choice Requires="wpg">
            <w:drawing>
              <wp:anchor distT="0" distB="0" distL="114300" distR="114300" simplePos="0" relativeHeight="251664384" behindDoc="0" locked="0" layoutInCell="1" allowOverlap="1">
                <wp:simplePos x="0" y="0"/>
                <wp:positionH relativeFrom="column">
                  <wp:posOffset>3150870</wp:posOffset>
                </wp:positionH>
                <wp:positionV relativeFrom="paragraph">
                  <wp:posOffset>29210</wp:posOffset>
                </wp:positionV>
                <wp:extent cx="2155190" cy="930910"/>
                <wp:effectExtent l="0" t="0" r="12700" b="13970"/>
                <wp:wrapNone/>
                <wp:docPr id="69" name="组合 69"/>
                <wp:cNvGraphicFramePr/>
                <a:graphic xmlns:a="http://schemas.openxmlformats.org/drawingml/2006/main">
                  <a:graphicData uri="http://schemas.microsoft.com/office/word/2010/wordprocessingGroup">
                    <wpg:wgp>
                      <wpg:cNvGrpSpPr/>
                      <wpg:grpSpPr>
                        <a:xfrm>
                          <a:off x="0" y="0"/>
                          <a:ext cx="2155190" cy="930910"/>
                          <a:chOff x="9922" y="412857"/>
                          <a:chExt cx="3394" cy="1466"/>
                        </a:xfrm>
                      </wpg:grpSpPr>
                      <wpg:grpSp>
                        <wpg:cNvPr id="67" name="组合 67"/>
                        <wpg:cNvGrpSpPr/>
                        <wpg:grpSpPr>
                          <a:xfrm>
                            <a:off x="10352" y="412857"/>
                            <a:ext cx="2964" cy="1467"/>
                            <a:chOff x="10352" y="412857"/>
                            <a:chExt cx="2964" cy="1467"/>
                          </a:xfrm>
                        </wpg:grpSpPr>
                        <wpg:grpSp>
                          <wpg:cNvPr id="59" name="组合 59"/>
                          <wpg:cNvGrpSpPr/>
                          <wpg:grpSpPr>
                            <a:xfrm>
                              <a:off x="10352" y="413906"/>
                              <a:ext cx="471" cy="419"/>
                              <a:chOff x="7548" y="413906"/>
                              <a:chExt cx="471" cy="419"/>
                            </a:xfrm>
                          </wpg:grpSpPr>
                          <wps:wsp>
                            <wps:cNvPr id="48" name="直接连接符 48"/>
                            <wps:cNvCnPr/>
                            <wps:spPr>
                              <a:xfrm flipH="1">
                                <a:off x="7548" y="413906"/>
                                <a:ext cx="128" cy="249"/>
                              </a:xfrm>
                              <a:prstGeom prst="line">
                                <a:avLst/>
                              </a:prstGeom>
                              <a:ln>
                                <a:solidFill>
                                  <a:srgbClr val="FFFF00"/>
                                </a:solidFill>
                              </a:ln>
                            </wps:spPr>
                            <wps:style>
                              <a:lnRef idx="2">
                                <a:schemeClr val="accent1"/>
                              </a:lnRef>
                              <a:fillRef idx="0">
                                <a:srgbClr val="FFFFFF"/>
                              </a:fillRef>
                              <a:effectRef idx="0">
                                <a:srgbClr val="FFFFFF"/>
                              </a:effectRef>
                              <a:fontRef idx="minor">
                                <a:schemeClr val="tx1"/>
                              </a:fontRef>
                            </wps:style>
                            <wps:bodyPr/>
                          </wps:wsp>
                          <wps:wsp>
                            <wps:cNvPr id="52" name="直接连接符 52"/>
                            <wps:cNvCnPr/>
                            <wps:spPr>
                              <a:xfrm flipH="1">
                                <a:off x="7891" y="414077"/>
                                <a:ext cx="128" cy="249"/>
                              </a:xfrm>
                              <a:prstGeom prst="line">
                                <a:avLst/>
                              </a:prstGeom>
                              <a:ln>
                                <a:solidFill>
                                  <a:srgbClr val="FFFF00"/>
                                </a:solidFill>
                              </a:ln>
                            </wps:spPr>
                            <wps:style>
                              <a:lnRef idx="2">
                                <a:schemeClr val="accent1"/>
                              </a:lnRef>
                              <a:fillRef idx="0">
                                <a:srgbClr val="FFFFFF"/>
                              </a:fillRef>
                              <a:effectRef idx="0">
                                <a:srgbClr val="FFFFFF"/>
                              </a:effectRef>
                              <a:fontRef idx="minor">
                                <a:schemeClr val="tx1"/>
                              </a:fontRef>
                            </wps:style>
                            <wps:bodyPr/>
                          </wps:wsp>
                        </wpg:grpSp>
                        <pic:pic xmlns:pic="http://schemas.openxmlformats.org/drawingml/2006/picture">
                          <pic:nvPicPr>
                            <pic:cNvPr id="66" name="图片 66" descr="n4"/>
                            <pic:cNvPicPr>
                              <a:picLocks noChangeAspect="1"/>
                            </pic:cNvPicPr>
                          </pic:nvPicPr>
                          <pic:blipFill>
                            <a:blip r:embed="rId30"/>
                            <a:stretch>
                              <a:fillRect/>
                            </a:stretch>
                          </pic:blipFill>
                          <pic:spPr>
                            <a:xfrm>
                              <a:off x="12006" y="412857"/>
                              <a:ext cx="1310" cy="1310"/>
                            </a:xfrm>
                            <a:prstGeom prst="rect">
                              <a:avLst/>
                            </a:prstGeom>
                          </pic:spPr>
                        </pic:pic>
                      </wpg:grpSp>
                      <wps:wsp>
                        <wps:cNvPr id="68" name="文本框 68"/>
                        <wps:cNvSpPr txBox="1"/>
                        <wps:spPr>
                          <a:xfrm rot="1680000">
                            <a:off x="9922" y="413354"/>
                            <a:ext cx="1732" cy="6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right="0" w:rightChars="0" w:firstLine="0" w:firstLineChars="0"/>
                                <w:jc w:val="center"/>
                                <w:rPr>
                                  <w:rFonts w:hint="default" w:eastAsia="宋体"/>
                                  <w:b/>
                                  <w:bCs/>
                                  <w:color w:val="FFFF00"/>
                                  <w:sz w:val="24"/>
                                  <w:szCs w:val="21"/>
                                  <w:lang w:val="en-US" w:eastAsia="zh-CN"/>
                                </w:rPr>
                              </w:pPr>
                              <w:r>
                                <w:rPr>
                                  <w:rFonts w:hint="eastAsia"/>
                                  <w:b/>
                                  <w:bCs/>
                                  <w:color w:val="FFFF00"/>
                                  <w:sz w:val="24"/>
                                  <w:szCs w:val="21"/>
                                  <w:lang w:val="en-US" w:eastAsia="zh-CN"/>
                                </w:rPr>
                                <w:t>厂区大门</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248.1pt;margin-top:2.3pt;height:73.3pt;width:169.7pt;z-index:251664384;mso-width-relative:page;mso-height-relative:page;" coordorigin="9922,412857" coordsize="3394,1466" o:gfxdata="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">
                <o:lock v:ext="edit" aspectratio="f"/>
                <v:group id="_x0000_s1026" o:spid="_x0000_s1026" o:spt="203" style="position:absolute;left:10352;top:412857;height:1467;width:2964;" coordorigin="10352,412857" coordsize="2964,1467"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10352;top:413906;height:419;width:471;" coordorigin="7548,413906" coordsize="471,419"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line id="_x0000_s1026" o:spid="_x0000_s1026" o:spt="20" style="position:absolute;left:7548;top:413906;flip:x;height:249;width:128;" filled="f" stroked="t" coordsize="21600,21600" o:gfxdata="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cwO8ugAAANsA&#10;AAAPAAAAAAAAAAEAIAAAACIAAABkcnMvZG93bnJldi54bWxQSwECFAAUAAAACACHTuJAMy8FnjsA&#10;AAA5AAAAEAAAAAAAAAABACAAAAAJAQAAZHJzL3NoYXBleG1sLnhtbFBLBQYAAAAABgAGAFsBAACz&#10;AwAAAAA=&#10;">
                      <v:fill on="f" focussize="0,0"/>
                      <v:stroke weight="2pt" color="#FFFF00 [3204]" joinstyle="round"/>
                      <v:imagedata o:title=""/>
                      <o:lock v:ext="edit" aspectratio="f"/>
                    </v:line>
                    <v:line id="_x0000_s1026" o:spid="_x0000_s1026" o:spt="20" style="position:absolute;left:7891;top:414077;flip:x;height:249;width:128;" filled="f" stroked="t" coordsize="21600,21600" o:gfxdata="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QqKLvQAA&#10;ANsAAAAPAAAAAAAAAAEAIAAAACIAAABkcnMvZG93bnJldi54bWxQSwECFAAUAAAACACHTuJAMy8F&#10;njsAAAA5AAAAEAAAAAAAAAABACAAAAAMAQAAZHJzL3NoYXBleG1sLnhtbFBLBQYAAAAABgAGAFsB&#10;AAC2AwAAAAA=&#10;">
                      <v:fill on="f" focussize="0,0"/>
                      <v:stroke weight="2pt" color="#FFFF00 [3204]" joinstyle="round"/>
                      <v:imagedata o:title=""/>
                      <o:lock v:ext="edit" aspectratio="f"/>
                    </v:line>
                  </v:group>
                  <v:shape id="_x0000_s1026" o:spid="_x0000_s1026" o:spt="75" alt="n4" type="#_x0000_t75" style="position:absolute;left:12006;top:412857;height:1310;width:1310;" filled="f" o:preferrelative="t" stroked="f" coordsize="21600,21600" o:gfxdata="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21hQC8AAAA&#10;2wAAAA8AAAAAAAAAAQAgAAAAIgAAAGRycy9kb3ducmV2LnhtbFBLAQIUABQAAAAIAIdO4kAzLwWe&#10;OwAAADkAAAAQAAAAAAAAAAEAIAAAAAsBAABkcnMvc2hhcGV4bWwueG1sUEsFBgAAAAAGAAYAWwEA&#10;ALUDAAAAAA==&#10;">
                    <v:fill on="f" focussize="0,0"/>
                    <v:stroke on="f"/>
                    <v:imagedata r:id="rId30" o:title=""/>
                    <o:lock v:ext="edit" aspectratio="t"/>
                  </v:shape>
                </v:group>
                <v:shape id="_x0000_s1026" o:spid="_x0000_s1026" o:spt="202" type="#_x0000_t202" style="position:absolute;left:9922;top:413354;height:615;width:1732;rotation:1835008f;" filled="f" stroked="f" coordsize="21600,21600" o:gfxdata="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gkW+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ind w:left="0" w:leftChars="0" w:right="0" w:rightChars="0" w:firstLine="0" w:firstLineChars="0"/>
                          <w:jc w:val="center"/>
                          <w:rPr>
                            <w:rFonts w:hint="default" w:eastAsia="宋体"/>
                            <w:b/>
                            <w:bCs/>
                            <w:color w:val="FFFF00"/>
                            <w:sz w:val="24"/>
                            <w:szCs w:val="21"/>
                            <w:lang w:val="en-US" w:eastAsia="zh-CN"/>
                          </w:rPr>
                        </w:pPr>
                        <w:r>
                          <w:rPr>
                            <w:rFonts w:hint="eastAsia"/>
                            <w:b/>
                            <w:bCs/>
                            <w:color w:val="FFFF00"/>
                            <w:sz w:val="24"/>
                            <w:szCs w:val="21"/>
                            <w:lang w:val="en-US" w:eastAsia="zh-CN"/>
                          </w:rPr>
                          <w:t>厂区大门</w:t>
                        </w:r>
                      </w:p>
                    </w:txbxContent>
                  </v:textbox>
                </v:shape>
              </v:group>
            </w:pict>
          </mc:Fallback>
        </mc:AlternateContent>
      </w:r>
      <w:r>
        <w:drawing>
          <wp:inline distT="0" distB="0" distL="0" distR="0">
            <wp:extent cx="5274310" cy="5182235"/>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1"/>
                    <a:stretch>
                      <a:fillRect/>
                    </a:stretch>
                  </pic:blipFill>
                  <pic:spPr>
                    <a:xfrm>
                      <a:off x="0" y="0"/>
                      <a:ext cx="5274310" cy="5182235"/>
                    </a:xfrm>
                    <a:prstGeom prst="rect">
                      <a:avLst/>
                    </a:prstGeom>
                  </pic:spPr>
                </pic:pic>
              </a:graphicData>
            </a:graphic>
          </wp:inline>
        </w:drawing>
      </w:r>
    </w:p>
    <w:p>
      <w:pPr>
        <w:numPr>
          <w:ilvl w:val="0"/>
          <w:numId w:val="10"/>
        </w:numPr>
        <w:ind w:firstLineChars="0"/>
        <w:jc w:val="center"/>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厂区平面布置示意图</w:t>
      </w:r>
    </w:p>
    <w:p>
      <w:pPr>
        <w:pStyle w:val="6"/>
        <w:rPr>
          <w:color w:val="000000" w:themeColor="text1"/>
          <w14:textFill>
            <w14:solidFill>
              <w14:schemeClr w14:val="tx1"/>
            </w14:solidFill>
          </w14:textFill>
        </w:rPr>
      </w:pPr>
      <w:bookmarkStart w:id="188" w:name="_Toc7047"/>
      <w:bookmarkStart w:id="189" w:name="_Toc11447"/>
      <w:r>
        <w:rPr>
          <w:color w:val="000000" w:themeColor="text1"/>
          <w14:textFill>
            <w14:solidFill>
              <w14:schemeClr w14:val="tx1"/>
            </w14:solidFill>
          </w14:textFill>
        </w:rPr>
        <w:t>竖向布置</w:t>
      </w:r>
      <w:r>
        <w:rPr>
          <w:rFonts w:hint="eastAsia"/>
          <w:color w:val="000000" w:themeColor="text1"/>
          <w14:textFill>
            <w14:solidFill>
              <w14:schemeClr w14:val="tx1"/>
            </w14:solidFill>
          </w14:textFill>
        </w:rPr>
        <w:t>及运输</w:t>
      </w:r>
      <w:bookmarkEnd w:id="188"/>
      <w:bookmarkEnd w:id="189"/>
    </w:p>
    <w:p>
      <w:pPr>
        <w:pStyle w:val="7"/>
      </w:pPr>
      <w:r>
        <w:rPr>
          <w:rFonts w:hint="eastAsia"/>
        </w:rPr>
        <w:t>竖向布置</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本工程采用平坡式竖向布置，保证场地雨水的顺利排出，生产厂房、原料库房及办公楼顶面汇集雨水经排水管排入厂外排水沟，厂内排水利用地势，雨水顺地坪坡度散流，沿生产区道路四周设置排水沟，将厂区排水坡度设置为</w:t>
      </w:r>
      <w:r>
        <w:rPr>
          <w:rFonts w:hint="eastAsia"/>
          <w:color w:val="000000" w:themeColor="text1"/>
          <w:szCs w:val="28"/>
          <w:lang w:val="en-US" w:eastAsia="zh-CN"/>
          <w14:textFill>
            <w14:solidFill>
              <w14:schemeClr w14:val="tx1"/>
            </w14:solidFill>
          </w14:textFill>
        </w:rPr>
        <w:t>3</w:t>
      </w:r>
      <w:r>
        <w:rPr>
          <w:color w:val="000000" w:themeColor="text1"/>
          <w:szCs w:val="28"/>
          <w14:textFill>
            <w14:solidFill>
              <w14:schemeClr w14:val="tx1"/>
            </w14:solidFill>
          </w14:textFill>
        </w:rPr>
        <w:t>‰，各场地雨水汇入厂内道路边沟后排入</w:t>
      </w:r>
      <w:r>
        <w:rPr>
          <w:rFonts w:hint="eastAsia"/>
          <w:color w:val="000000" w:themeColor="text1"/>
          <w:szCs w:val="28"/>
          <w14:textFill>
            <w14:solidFill>
              <w14:schemeClr w14:val="tx1"/>
            </w14:solidFill>
          </w14:textFill>
        </w:rPr>
        <w:t>市政雨水管网</w:t>
      </w:r>
      <w:r>
        <w:rPr>
          <w:color w:val="000000" w:themeColor="text1"/>
          <w:szCs w:val="28"/>
          <w14:textFill>
            <w14:solidFill>
              <w14:schemeClr w14:val="tx1"/>
            </w14:solidFill>
          </w14:textFill>
        </w:rPr>
        <w:t>系统。</w:t>
      </w:r>
    </w:p>
    <w:p>
      <w:pPr>
        <w:pStyle w:val="7"/>
      </w:pPr>
      <w:r>
        <w:rPr>
          <w:rFonts w:hint="eastAsia"/>
        </w:rPr>
        <w:t>运输</w:t>
      </w:r>
    </w:p>
    <w:p>
      <w:pPr>
        <w:ind w:firstLine="560"/>
      </w:pPr>
      <w:r>
        <w:t>本工程借助社会运输力量确保本工程的汽车运输任务，运输量3000t/a，厂外运输主要为汽车运输，厂内运输主要为</w:t>
      </w:r>
      <w:r>
        <w:rPr>
          <w:rFonts w:hint="eastAsia"/>
        </w:rPr>
        <w:t>手动液压</w:t>
      </w:r>
      <w:r>
        <w:t>叉车或推车运输。</w:t>
      </w:r>
    </w:p>
    <w:p>
      <w:pPr>
        <w:pStyle w:val="5"/>
        <w:rPr>
          <w:snapToGrid w:val="0"/>
          <w:color w:val="000000" w:themeColor="text1"/>
          <w14:textFill>
            <w14:solidFill>
              <w14:schemeClr w14:val="tx1"/>
            </w14:solidFill>
          </w14:textFill>
        </w:rPr>
      </w:pPr>
      <w:bookmarkStart w:id="190" w:name="_Toc17451"/>
      <w:bookmarkStart w:id="191" w:name="_Toc309682408"/>
      <w:bookmarkStart w:id="192" w:name="_Toc350170636"/>
      <w:bookmarkStart w:id="193" w:name="_Toc278151350"/>
      <w:bookmarkStart w:id="194" w:name="_Toc103178264"/>
      <w:bookmarkStart w:id="195" w:name="_Toc51340639"/>
      <w:bookmarkStart w:id="196" w:name="_Toc129520599"/>
      <w:bookmarkStart w:id="197" w:name="_Toc54294405"/>
      <w:bookmarkStart w:id="198" w:name="_Toc13574"/>
      <w:r>
        <w:rPr>
          <w:rFonts w:hint="eastAsia"/>
          <w:snapToGrid w:val="0"/>
          <w:color w:val="000000" w:themeColor="text1"/>
          <w14:textFill>
            <w14:solidFill>
              <w14:schemeClr w14:val="tx1"/>
            </w14:solidFill>
          </w14:textFill>
        </w:rPr>
        <w:t>主要生产工艺</w:t>
      </w:r>
      <w:bookmarkEnd w:id="190"/>
      <w:bookmarkEnd w:id="191"/>
      <w:bookmarkEnd w:id="192"/>
      <w:bookmarkEnd w:id="193"/>
      <w:bookmarkEnd w:id="194"/>
      <w:bookmarkEnd w:id="195"/>
      <w:bookmarkEnd w:id="196"/>
      <w:bookmarkEnd w:id="197"/>
      <w:bookmarkEnd w:id="198"/>
    </w:p>
    <w:p>
      <w:pPr>
        <w:pStyle w:val="6"/>
        <w:rPr>
          <w:color w:val="000000" w:themeColor="text1"/>
          <w14:textFill>
            <w14:solidFill>
              <w14:schemeClr w14:val="tx1"/>
            </w14:solidFill>
          </w14:textFill>
        </w:rPr>
      </w:pPr>
      <w:bookmarkStart w:id="199" w:name="_Toc129520601"/>
      <w:bookmarkStart w:id="200" w:name="_Toc8260"/>
      <w:bookmarkStart w:id="201" w:name="_Toc3480"/>
      <w:bookmarkStart w:id="202" w:name="_Toc129520600"/>
      <w:r>
        <w:rPr>
          <w:rFonts w:hint="eastAsia"/>
          <w:color w:val="000000" w:themeColor="text1"/>
          <w14:textFill>
            <w14:solidFill>
              <w14:schemeClr w14:val="tx1"/>
            </w14:solidFill>
          </w14:textFill>
        </w:rPr>
        <w:t>原、辅料及产品</w:t>
      </w:r>
      <w:bookmarkEnd w:id="199"/>
      <w:bookmarkEnd w:id="200"/>
      <w:bookmarkEnd w:id="201"/>
    </w:p>
    <w:p>
      <w:pPr>
        <w:pStyle w:val="7"/>
      </w:pPr>
      <w:r>
        <w:rPr>
          <w:rFonts w:hint="eastAsia"/>
        </w:rPr>
        <w:t>原、辅料</w:t>
      </w:r>
    </w:p>
    <w:p>
      <w:pPr>
        <w:numPr>
          <w:ilvl w:val="0"/>
          <w:numId w:val="11"/>
        </w:numPr>
        <w:ind w:firstLineChars="0"/>
        <w:jc w:val="center"/>
        <w:rPr>
          <w:rFonts w:hAnsi="宋体"/>
          <w:bCs/>
          <w:color w:val="000000" w:themeColor="text1"/>
          <w:sz w:val="24"/>
          <w:szCs w:val="24"/>
          <w14:textFill>
            <w14:solidFill>
              <w14:schemeClr w14:val="tx1"/>
            </w14:solidFill>
          </w14:textFill>
        </w:rPr>
      </w:pPr>
      <w:r>
        <w:rPr>
          <w:rFonts w:hint="eastAsia" w:hAnsi="宋体"/>
          <w:bCs/>
          <w:color w:val="000000" w:themeColor="text1"/>
          <w:sz w:val="24"/>
          <w:szCs w:val="24"/>
          <w14:textFill>
            <w14:solidFill>
              <w14:schemeClr w14:val="tx1"/>
            </w14:solidFill>
          </w14:textFill>
        </w:rPr>
        <w:t>原辅材料、能源消耗表</w:t>
      </w:r>
    </w:p>
    <w:tbl>
      <w:tblPr>
        <w:tblStyle w:val="34"/>
        <w:tblW w:w="40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2602"/>
        <w:gridCol w:w="1844"/>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82"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1884"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名称</w:t>
            </w:r>
          </w:p>
        </w:tc>
        <w:tc>
          <w:tcPr>
            <w:tcW w:w="1335"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消耗量</w:t>
            </w:r>
          </w:p>
        </w:tc>
        <w:tc>
          <w:tcPr>
            <w:tcW w:w="1298"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2" w:type="pct"/>
            <w:vAlign w:val="center"/>
          </w:tcPr>
          <w:p>
            <w:pPr>
              <w:numPr>
                <w:ilvl w:val="0"/>
                <w:numId w:val="13"/>
              </w:numPr>
              <w:spacing w:line="240" w:lineRule="auto"/>
              <w:ind w:firstLineChars="0"/>
              <w:jc w:val="center"/>
              <w:rPr>
                <w:color w:val="000000" w:themeColor="text1"/>
                <w:sz w:val="21"/>
                <w:szCs w:val="21"/>
                <w14:textFill>
                  <w14:solidFill>
                    <w14:schemeClr w14:val="tx1"/>
                  </w14:solidFill>
                </w14:textFill>
              </w:rPr>
            </w:pPr>
            <w:bookmarkStart w:id="203" w:name="_Hlk128555592"/>
          </w:p>
        </w:tc>
        <w:tc>
          <w:tcPr>
            <w:tcW w:w="188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高密度聚乙烯</w:t>
            </w:r>
          </w:p>
        </w:tc>
        <w:tc>
          <w:tcPr>
            <w:tcW w:w="1335"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1000t/a</w:t>
            </w:r>
          </w:p>
        </w:tc>
        <w:tc>
          <w:tcPr>
            <w:tcW w:w="129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市场采购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2" w:type="pct"/>
            <w:vAlign w:val="center"/>
          </w:tcPr>
          <w:p>
            <w:pPr>
              <w:numPr>
                <w:ilvl w:val="0"/>
                <w:numId w:val="13"/>
              </w:numPr>
              <w:spacing w:line="240" w:lineRule="auto"/>
              <w:ind w:firstLineChars="0"/>
              <w:jc w:val="center"/>
              <w:rPr>
                <w:color w:val="000000" w:themeColor="text1"/>
                <w:sz w:val="21"/>
                <w:szCs w:val="21"/>
                <w14:textFill>
                  <w14:solidFill>
                    <w14:schemeClr w14:val="tx1"/>
                  </w14:solidFill>
                </w14:textFill>
              </w:rPr>
            </w:pPr>
          </w:p>
        </w:tc>
        <w:tc>
          <w:tcPr>
            <w:tcW w:w="188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电</w:t>
            </w:r>
          </w:p>
        </w:tc>
        <w:tc>
          <w:tcPr>
            <w:tcW w:w="1335"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.6</w:t>
            </w:r>
            <w:r>
              <w:rPr>
                <w:rFonts w:hint="eastAsia"/>
                <w:color w:val="000000" w:themeColor="text1"/>
                <w:sz w:val="21"/>
                <w:szCs w:val="21"/>
                <w14:textFill>
                  <w14:solidFill>
                    <w14:schemeClr w14:val="tx1"/>
                  </w14:solidFill>
                </w14:textFill>
              </w:rPr>
              <w:t>万度/年</w:t>
            </w:r>
          </w:p>
        </w:tc>
        <w:tc>
          <w:tcPr>
            <w:tcW w:w="1298" w:type="pct"/>
            <w:vAlign w:val="center"/>
          </w:tcPr>
          <w:p>
            <w:pPr>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2" w:type="pct"/>
            <w:vAlign w:val="center"/>
          </w:tcPr>
          <w:p>
            <w:pPr>
              <w:numPr>
                <w:ilvl w:val="0"/>
                <w:numId w:val="13"/>
              </w:numPr>
              <w:spacing w:line="240" w:lineRule="auto"/>
              <w:ind w:firstLineChars="0"/>
              <w:jc w:val="center"/>
              <w:rPr>
                <w:color w:val="000000" w:themeColor="text1"/>
                <w:sz w:val="21"/>
                <w:szCs w:val="21"/>
                <w14:textFill>
                  <w14:solidFill>
                    <w14:schemeClr w14:val="tx1"/>
                  </w14:solidFill>
                </w14:textFill>
              </w:rPr>
            </w:pPr>
          </w:p>
        </w:tc>
        <w:tc>
          <w:tcPr>
            <w:tcW w:w="188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氧气</w:t>
            </w:r>
          </w:p>
        </w:tc>
        <w:tc>
          <w:tcPr>
            <w:tcW w:w="1335"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29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委外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2" w:type="pct"/>
            <w:vAlign w:val="center"/>
          </w:tcPr>
          <w:p>
            <w:pPr>
              <w:numPr>
                <w:ilvl w:val="0"/>
                <w:numId w:val="13"/>
              </w:numPr>
              <w:spacing w:line="240" w:lineRule="auto"/>
              <w:ind w:firstLineChars="0"/>
              <w:jc w:val="center"/>
              <w:rPr>
                <w:color w:val="000000" w:themeColor="text1"/>
                <w:sz w:val="21"/>
                <w:szCs w:val="21"/>
                <w14:textFill>
                  <w14:solidFill>
                    <w14:schemeClr w14:val="tx1"/>
                  </w14:solidFill>
                </w14:textFill>
              </w:rPr>
            </w:pPr>
          </w:p>
        </w:tc>
        <w:tc>
          <w:tcPr>
            <w:tcW w:w="188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乙炔</w:t>
            </w:r>
          </w:p>
        </w:tc>
        <w:tc>
          <w:tcPr>
            <w:tcW w:w="1335"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29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委外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2" w:type="pct"/>
            <w:vAlign w:val="center"/>
          </w:tcPr>
          <w:p>
            <w:pPr>
              <w:numPr>
                <w:ilvl w:val="0"/>
                <w:numId w:val="13"/>
              </w:numPr>
              <w:spacing w:line="240" w:lineRule="auto"/>
              <w:ind w:firstLineChars="0"/>
              <w:jc w:val="center"/>
              <w:rPr>
                <w:color w:val="000000" w:themeColor="text1"/>
                <w:sz w:val="21"/>
                <w:szCs w:val="21"/>
                <w14:textFill>
                  <w14:solidFill>
                    <w14:schemeClr w14:val="tx1"/>
                  </w14:solidFill>
                </w14:textFill>
              </w:rPr>
            </w:pPr>
          </w:p>
        </w:tc>
        <w:tc>
          <w:tcPr>
            <w:tcW w:w="188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润滑油</w:t>
            </w:r>
          </w:p>
        </w:tc>
        <w:tc>
          <w:tcPr>
            <w:tcW w:w="1335"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298" w:type="pct"/>
            <w:vAlign w:val="center"/>
          </w:tcPr>
          <w:p>
            <w:pPr>
              <w:spacing w:line="240" w:lineRule="auto"/>
              <w:ind w:firstLine="0" w:firstLineChars="0"/>
              <w:jc w:val="center"/>
              <w:rPr>
                <w:color w:val="FF000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2" w:type="pct"/>
            <w:vAlign w:val="center"/>
          </w:tcPr>
          <w:p>
            <w:pPr>
              <w:numPr>
                <w:ilvl w:val="0"/>
                <w:numId w:val="13"/>
              </w:numPr>
              <w:spacing w:line="240" w:lineRule="auto"/>
              <w:ind w:firstLineChars="0"/>
              <w:jc w:val="center"/>
              <w:rPr>
                <w:color w:val="000000" w:themeColor="text1"/>
                <w:sz w:val="21"/>
                <w:szCs w:val="21"/>
                <w14:textFill>
                  <w14:solidFill>
                    <w14:schemeClr w14:val="tx1"/>
                  </w14:solidFill>
                </w14:textFill>
              </w:rPr>
            </w:pPr>
          </w:p>
        </w:tc>
        <w:tc>
          <w:tcPr>
            <w:tcW w:w="188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色母料</w:t>
            </w:r>
          </w:p>
        </w:tc>
        <w:tc>
          <w:tcPr>
            <w:tcW w:w="1335"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4</w:t>
            </w:r>
            <w:r>
              <w:rPr>
                <w:rFonts w:hint="eastAsia"/>
                <w:color w:val="000000" w:themeColor="text1"/>
                <w:sz w:val="21"/>
                <w:szCs w:val="21"/>
                <w14:textFill>
                  <w14:solidFill>
                    <w14:schemeClr w14:val="tx1"/>
                  </w14:solidFill>
                </w14:textFill>
              </w:rPr>
              <w:t>t</w:t>
            </w:r>
            <w:r>
              <w:rPr>
                <w:color w:val="000000" w:themeColor="text1"/>
                <w:sz w:val="21"/>
                <w:szCs w:val="21"/>
                <w14:textFill>
                  <w14:solidFill>
                    <w14:schemeClr w14:val="tx1"/>
                  </w14:solidFill>
                </w14:textFill>
              </w:rPr>
              <w:t>/</w:t>
            </w:r>
            <w:r>
              <w:rPr>
                <w:rFonts w:hint="eastAsia"/>
                <w:color w:val="000000" w:themeColor="text1"/>
                <w:sz w:val="21"/>
                <w:szCs w:val="21"/>
                <w14:textFill>
                  <w14:solidFill>
                    <w14:schemeClr w14:val="tx1"/>
                  </w14:solidFill>
                </w14:textFill>
              </w:rPr>
              <w:t>a</w:t>
            </w:r>
          </w:p>
        </w:tc>
        <w:tc>
          <w:tcPr>
            <w:tcW w:w="1298" w:type="pct"/>
            <w:vAlign w:val="center"/>
          </w:tcPr>
          <w:p>
            <w:pPr>
              <w:spacing w:line="240" w:lineRule="auto"/>
              <w:ind w:firstLine="0" w:firstLineChars="0"/>
              <w:jc w:val="center"/>
              <w:rPr>
                <w:color w:val="FF0000"/>
                <w:sz w:val="21"/>
                <w:szCs w:val="21"/>
                <w:highlight w:val="yellow"/>
              </w:rPr>
            </w:pPr>
            <w:r>
              <w:rPr>
                <w:rFonts w:hint="eastAsia"/>
                <w:color w:val="000000" w:themeColor="text1"/>
                <w:sz w:val="21"/>
                <w:szCs w:val="21"/>
                <w14:textFill>
                  <w14:solidFill>
                    <w14:schemeClr w14:val="tx1"/>
                  </w14:solidFill>
                </w14:textFill>
              </w:rPr>
              <w:t>辅助材料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2" w:type="pct"/>
            <w:vAlign w:val="center"/>
          </w:tcPr>
          <w:p>
            <w:pPr>
              <w:numPr>
                <w:ilvl w:val="0"/>
                <w:numId w:val="13"/>
              </w:numPr>
              <w:spacing w:line="240" w:lineRule="auto"/>
              <w:ind w:firstLineChars="0"/>
              <w:jc w:val="center"/>
              <w:rPr>
                <w:color w:val="000000" w:themeColor="text1"/>
                <w:sz w:val="21"/>
                <w:szCs w:val="21"/>
                <w14:textFill>
                  <w14:solidFill>
                    <w14:schemeClr w14:val="tx1"/>
                  </w14:solidFill>
                </w14:textFill>
              </w:rPr>
            </w:pPr>
          </w:p>
        </w:tc>
        <w:tc>
          <w:tcPr>
            <w:tcW w:w="188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包装物（只）</w:t>
            </w:r>
          </w:p>
        </w:tc>
        <w:tc>
          <w:tcPr>
            <w:tcW w:w="1335"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color w:val="000000" w:themeColor="text1"/>
                <w:sz w:val="21"/>
                <w:szCs w:val="21"/>
                <w14:textFill>
                  <w14:solidFill>
                    <w14:schemeClr w14:val="tx1"/>
                  </w14:solidFill>
                </w14:textFill>
              </w:rPr>
              <w:t>0000</w:t>
            </w:r>
            <w:r>
              <w:rPr>
                <w:rFonts w:hint="eastAsia"/>
                <w:color w:val="000000" w:themeColor="text1"/>
                <w:sz w:val="21"/>
                <w:szCs w:val="21"/>
                <w14:textFill>
                  <w14:solidFill>
                    <w14:schemeClr w14:val="tx1"/>
                  </w14:solidFill>
                </w14:textFill>
              </w:rPr>
              <w:t>只/年</w:t>
            </w:r>
          </w:p>
        </w:tc>
        <w:tc>
          <w:tcPr>
            <w:tcW w:w="1298" w:type="pct"/>
            <w:vAlign w:val="center"/>
          </w:tcPr>
          <w:p>
            <w:pPr>
              <w:spacing w:line="240" w:lineRule="auto"/>
              <w:ind w:firstLine="0" w:firstLineChars="0"/>
              <w:jc w:val="center"/>
              <w:rPr>
                <w:color w:val="FF0000"/>
                <w:sz w:val="21"/>
                <w:szCs w:val="21"/>
                <w:highlight w:val="yellow"/>
              </w:rPr>
            </w:pPr>
          </w:p>
        </w:tc>
      </w:tr>
      <w:bookmarkEnd w:id="203"/>
    </w:tbl>
    <w:p>
      <w:pPr>
        <w:pStyle w:val="7"/>
      </w:pPr>
      <w:r>
        <w:rPr>
          <w:rFonts w:hint="eastAsia"/>
        </w:rPr>
        <w:t>产品</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年产</w:t>
      </w:r>
      <w:r>
        <w:rPr>
          <w:color w:val="000000" w:themeColor="text1"/>
          <w:szCs w:val="28"/>
          <w14:textFill>
            <w14:solidFill>
              <w14:schemeClr w14:val="tx1"/>
            </w14:solidFill>
          </w14:textFill>
        </w:rPr>
        <w:t>2</w:t>
      </w:r>
      <w:r>
        <w:rPr>
          <w:rFonts w:hint="eastAsia"/>
          <w:color w:val="000000" w:themeColor="text1"/>
          <w:szCs w:val="28"/>
          <w14:textFill>
            <w14:solidFill>
              <w14:schemeClr w14:val="tx1"/>
            </w14:solidFill>
          </w14:textFill>
        </w:rPr>
        <w:t>000万只食品用塑料包装容器。</w:t>
      </w:r>
    </w:p>
    <w:p>
      <w:pPr>
        <w:pStyle w:val="6"/>
        <w:rPr>
          <w:color w:val="000000" w:themeColor="text1"/>
          <w14:textFill>
            <w14:solidFill>
              <w14:schemeClr w14:val="tx1"/>
            </w14:solidFill>
          </w14:textFill>
        </w:rPr>
      </w:pPr>
      <w:bookmarkStart w:id="204" w:name="_Toc22921"/>
      <w:bookmarkStart w:id="205" w:name="_Toc7442"/>
      <w:bookmarkStart w:id="206" w:name="_Toc11296"/>
      <w:r>
        <w:rPr>
          <w:color w:val="000000" w:themeColor="text1"/>
          <w14:textFill>
            <w14:solidFill>
              <w14:schemeClr w14:val="tx1"/>
            </w14:solidFill>
          </w14:textFill>
        </w:rPr>
        <w:t>主要设备设施</w:t>
      </w:r>
      <w:bookmarkEnd w:id="204"/>
      <w:bookmarkEnd w:id="205"/>
    </w:p>
    <w:p>
      <w:pPr>
        <w:ind w:firstLine="56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主要设备如下表所示：</w:t>
      </w:r>
    </w:p>
    <w:p>
      <w:pPr>
        <w:numPr>
          <w:ilvl w:val="0"/>
          <w:numId w:val="11"/>
        </w:numPr>
        <w:ind w:firstLineChars="0"/>
        <w:jc w:val="center"/>
        <w:rPr>
          <w:rFonts w:hAnsi="宋体"/>
          <w:bCs/>
          <w:color w:val="000000" w:themeColor="text1"/>
          <w:sz w:val="24"/>
          <w:szCs w:val="24"/>
          <w14:textFill>
            <w14:solidFill>
              <w14:schemeClr w14:val="tx1"/>
            </w14:solidFill>
          </w14:textFill>
        </w:rPr>
      </w:pPr>
      <w:r>
        <w:rPr>
          <w:rFonts w:hint="eastAsia" w:hAnsi="宋体"/>
          <w:bCs/>
          <w:color w:val="000000" w:themeColor="text1"/>
          <w:sz w:val="24"/>
          <w:szCs w:val="24"/>
          <w14:textFill>
            <w14:solidFill>
              <w14:schemeClr w14:val="tx1"/>
            </w14:solidFill>
          </w14:textFill>
        </w:rPr>
        <w:t>主要设备清单</w:t>
      </w:r>
    </w:p>
    <w:tbl>
      <w:tblPr>
        <w:tblStyle w:val="34"/>
        <w:tblW w:w="475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2650"/>
        <w:gridCol w:w="2685"/>
        <w:gridCol w:w="990"/>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spacing w:line="240" w:lineRule="auto"/>
              <w:ind w:firstLine="0" w:firstLineChars="0"/>
              <w:jc w:val="center"/>
              <w:rPr>
                <w:b/>
                <w:color w:val="000000" w:themeColor="text1"/>
                <w:sz w:val="21"/>
                <w:szCs w:val="21"/>
                <w14:textFill>
                  <w14:solidFill>
                    <w14:schemeClr w14:val="tx1"/>
                  </w14:solidFill>
                </w14:textFill>
              </w:rPr>
            </w:pPr>
            <w:bookmarkStart w:id="207" w:name="_Toc309682413"/>
            <w:bookmarkStart w:id="208" w:name="_Toc350170639"/>
            <w:r>
              <w:rPr>
                <w:b/>
                <w:color w:val="000000" w:themeColor="text1"/>
                <w:sz w:val="21"/>
                <w:szCs w:val="21"/>
                <w14:textFill>
                  <w14:solidFill>
                    <w14:schemeClr w14:val="tx1"/>
                  </w14:solidFill>
                </w14:textFill>
              </w:rPr>
              <w:t>序号</w:t>
            </w:r>
          </w:p>
        </w:tc>
        <w:tc>
          <w:tcPr>
            <w:tcW w:w="1635" w:type="pct"/>
            <w:shd w:val="clear" w:color="auto" w:fill="auto"/>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设备名称</w:t>
            </w:r>
          </w:p>
        </w:tc>
        <w:tc>
          <w:tcPr>
            <w:tcW w:w="1657" w:type="pct"/>
            <w:shd w:val="clear" w:color="auto" w:fill="auto"/>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规格型号</w:t>
            </w:r>
          </w:p>
        </w:tc>
        <w:tc>
          <w:tcPr>
            <w:tcW w:w="611" w:type="pct"/>
            <w:shd w:val="clear" w:color="auto" w:fill="auto"/>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数量</w:t>
            </w:r>
          </w:p>
        </w:tc>
        <w:tc>
          <w:tcPr>
            <w:tcW w:w="688" w:type="pct"/>
            <w:shd w:val="clear" w:color="auto" w:fill="auto"/>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中空吹塑机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HFBC802S</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中空吹塑机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HFBC754R</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中空吹塑机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HFBC65SP</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2台</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中空吹塑机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HFBC551C</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中空吹塑机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QIGDJM1-2001</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4台</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中央空调</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10万级</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1套</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停用设备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15KW大粉碎机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11KW小粉碎机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7.5KW小粉碎机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停用设备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全自动贴标机</w:t>
            </w:r>
          </w:p>
        </w:tc>
        <w:tc>
          <w:tcPr>
            <w:tcW w:w="1657"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2套</w:t>
            </w:r>
          </w:p>
        </w:tc>
        <w:tc>
          <w:tcPr>
            <w:tcW w:w="688" w:type="pct"/>
            <w:shd w:val="clear" w:color="auto" w:fill="auto"/>
            <w:vAlign w:val="center"/>
          </w:tcPr>
          <w:p>
            <w:pPr>
              <w:adjustRightInd w:val="0"/>
              <w:snapToGrid w:val="0"/>
              <w:spacing w:line="240" w:lineRule="auto"/>
              <w:ind w:firstLine="0" w:firstLineChars="0"/>
              <w:jc w:val="center"/>
              <w:rPr>
                <w:rFonts w:hint="eastAsia"/>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装袋机</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1套</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全自动塑料瓶口削边机</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1套</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理瓶生产线</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1套</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同大中空机</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2台</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阿特拉斯空压机</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1组</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国产空压机</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1组</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S</w:t>
            </w:r>
            <w:r>
              <w:rPr>
                <w:color w:val="000000" w:themeColor="text1"/>
                <w:sz w:val="21"/>
                <w:szCs w:val="21"/>
                <w14:textFill>
                  <w14:solidFill>
                    <w14:schemeClr w14:val="tx1"/>
                  </w14:solidFill>
                </w14:textFill>
              </w:rPr>
              <w:t>GH-50B</w:t>
            </w:r>
            <w:r>
              <w:rPr>
                <w:rFonts w:hint="eastAsia"/>
                <w:color w:val="000000" w:themeColor="text1"/>
                <w:sz w:val="21"/>
                <w:szCs w:val="21"/>
                <w14:textFill>
                  <w14:solidFill>
                    <w14:schemeClr w14:val="tx1"/>
                  </w14:solidFill>
                </w14:textFill>
              </w:rPr>
              <w:t>搅拌机</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拌料机（5</w:t>
            </w:r>
            <w:r>
              <w:rPr>
                <w:color w:val="000000" w:themeColor="text1"/>
                <w:sz w:val="21"/>
                <w:szCs w:val="21"/>
                <w14:textFill>
                  <w14:solidFill>
                    <w14:schemeClr w14:val="tx1"/>
                  </w14:solidFill>
                </w14:textFill>
              </w:rPr>
              <w:t>0KG</w:t>
            </w:r>
            <w:r>
              <w:rPr>
                <w:rFonts w:hint="eastAsia"/>
                <w:color w:val="000000" w:themeColor="text1"/>
                <w:sz w:val="21"/>
                <w:szCs w:val="21"/>
                <w14:textFill>
                  <w14:solidFill>
                    <w14:schemeClr w14:val="tx1"/>
                  </w14:solidFill>
                </w14:textFill>
              </w:rPr>
              <w:t>）</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拌料机（1</w:t>
            </w:r>
            <w:r>
              <w:rPr>
                <w:color w:val="000000" w:themeColor="text1"/>
                <w:sz w:val="21"/>
                <w:szCs w:val="21"/>
                <w14:textFill>
                  <w14:solidFill>
                    <w14:schemeClr w14:val="tx1"/>
                  </w14:solidFill>
                </w14:textFill>
              </w:rPr>
              <w:t>000GK</w:t>
            </w:r>
            <w:r>
              <w:rPr>
                <w:rFonts w:hint="eastAsia"/>
                <w:color w:val="000000" w:themeColor="text1"/>
                <w:sz w:val="21"/>
                <w:szCs w:val="21"/>
                <w14:textFill>
                  <w14:solidFill>
                    <w14:schemeClr w14:val="tx1"/>
                  </w14:solidFill>
                </w14:textFill>
              </w:rPr>
              <w:t>）</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1台</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冷却系统</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2组</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含管道泵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变压器（2</w:t>
            </w:r>
            <w:r>
              <w:rPr>
                <w:color w:val="000000" w:themeColor="text1"/>
                <w:sz w:val="21"/>
                <w:szCs w:val="21"/>
                <w14:textFill>
                  <w14:solidFill>
                    <w14:schemeClr w14:val="tx1"/>
                  </w14:solidFill>
                </w14:textFill>
              </w:rPr>
              <w:t>50KVA</w:t>
            </w:r>
            <w:r>
              <w:rPr>
                <w:rFonts w:hint="eastAsia"/>
                <w:color w:val="000000" w:themeColor="text1"/>
                <w:sz w:val="21"/>
                <w:szCs w:val="21"/>
                <w14:textFill>
                  <w14:solidFill>
                    <w14:schemeClr w14:val="tx1"/>
                  </w14:solidFill>
                </w14:textFill>
              </w:rPr>
              <w:t>）</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r>
              <w:rPr>
                <w:rFonts w:hint="eastAsia"/>
                <w:color w:val="000000" w:themeColor="text1"/>
                <w:sz w:val="21"/>
                <w:szCs w:val="21"/>
                <w14:textFill>
                  <w14:solidFill>
                    <w14:schemeClr w14:val="tx1"/>
                  </w14:solidFill>
                </w14:textFill>
              </w:rPr>
              <w:t>套</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shd w:val="clear" w:color="auto" w:fill="auto"/>
            <w:vAlign w:val="center"/>
          </w:tcPr>
          <w:p>
            <w:pPr>
              <w:numPr>
                <w:ilvl w:val="0"/>
                <w:numId w:val="14"/>
              </w:numPr>
              <w:spacing w:line="240" w:lineRule="auto"/>
              <w:ind w:firstLineChars="0"/>
              <w:jc w:val="center"/>
              <w:rPr>
                <w:color w:val="000000" w:themeColor="text1"/>
                <w:sz w:val="21"/>
                <w:szCs w:val="21"/>
                <w14:textFill>
                  <w14:solidFill>
                    <w14:schemeClr w14:val="tx1"/>
                  </w14:solidFill>
                </w14:textFill>
              </w:rPr>
            </w:pPr>
          </w:p>
        </w:tc>
        <w:tc>
          <w:tcPr>
            <w:tcW w:w="1635"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配电柜</w:t>
            </w:r>
          </w:p>
        </w:tc>
        <w:tc>
          <w:tcPr>
            <w:tcW w:w="1657"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11"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2套</w:t>
            </w:r>
          </w:p>
        </w:tc>
        <w:tc>
          <w:tcPr>
            <w:tcW w:w="688" w:type="pct"/>
            <w:shd w:val="clear" w:color="auto" w:fill="auto"/>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p>
        </w:tc>
      </w:tr>
      <w:bookmarkEnd w:id="207"/>
      <w:bookmarkEnd w:id="208"/>
    </w:tbl>
    <w:p>
      <w:pPr>
        <w:pStyle w:val="6"/>
        <w:rPr>
          <w:color w:val="000000" w:themeColor="text1"/>
          <w14:textFill>
            <w14:solidFill>
              <w14:schemeClr w14:val="tx1"/>
            </w14:solidFill>
          </w14:textFill>
        </w:rPr>
      </w:pPr>
      <w:bookmarkStart w:id="209" w:name="_Toc6657"/>
      <w:r>
        <w:rPr>
          <w:rFonts w:hint="eastAsia"/>
          <w:color w:val="000000" w:themeColor="text1"/>
          <w14:textFill>
            <w14:solidFill>
              <w14:schemeClr w14:val="tx1"/>
            </w14:solidFill>
          </w14:textFill>
        </w:rPr>
        <w:t>生产工艺</w:t>
      </w:r>
      <w:bookmarkEnd w:id="202"/>
      <w:bookmarkEnd w:id="206"/>
      <w:bookmarkEnd w:id="209"/>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本项目塑料包装容器采用1条流水化作业生产线，项目使用自动化</w:t>
      </w:r>
      <w:r>
        <w:rPr>
          <w:rFonts w:hint="eastAsia"/>
          <w:color w:val="000000" w:themeColor="text1"/>
          <w:szCs w:val="28"/>
          <w14:textFill>
            <w14:solidFill>
              <w14:schemeClr w14:val="tx1"/>
            </w14:solidFill>
          </w14:textFill>
        </w:rPr>
        <w:t>中空吹塑机</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能做到塑化、吹塑、压模、脱模、修整一次成型，整个项目生产除从生产线剔除不合格品和成品搬运入库外，基本不用人工操作，兼之</w:t>
      </w:r>
      <w:r>
        <w:rPr>
          <w:rFonts w:hint="eastAsia"/>
          <w:color w:val="000000" w:themeColor="text1"/>
          <w:lang w:val="en-US" w:eastAsia="zh-CN"/>
          <w14:textFill>
            <w14:solidFill>
              <w14:schemeClr w14:val="tx1"/>
            </w14:solidFill>
          </w14:textFill>
        </w:rPr>
        <w:t>塑料包装容器较轻，搬运风险较低，</w:t>
      </w:r>
      <w:r>
        <w:rPr>
          <w:rFonts w:hint="eastAsia"/>
          <w:color w:val="000000" w:themeColor="text1"/>
          <w:szCs w:val="28"/>
          <w:lang w:val="en-US" w:eastAsia="zh-CN"/>
          <w14:textFill>
            <w14:solidFill>
              <w14:schemeClr w14:val="tx1"/>
            </w14:solidFill>
          </w14:textFill>
        </w:rPr>
        <w:t>项目生产过程安全可靠</w:t>
      </w:r>
      <w:r>
        <w:rPr>
          <w:rFonts w:hint="eastAsia"/>
          <w:color w:val="000000" w:themeColor="text1"/>
          <w:lang w:val="en-US" w:eastAsia="zh-CN"/>
          <w14:textFill>
            <w14:solidFill>
              <w14:schemeClr w14:val="tx1"/>
            </w14:solidFill>
          </w14:textFill>
        </w:rPr>
        <w:t>。</w:t>
      </w:r>
    </w:p>
    <w:p>
      <w:pPr>
        <w:bidi w:val="0"/>
        <w:rPr>
          <w:rFonts w:hint="eastAsia"/>
          <w:lang w:val="en-US" w:eastAsia="zh-CN"/>
        </w:rPr>
      </w:pPr>
      <w:r>
        <w:rPr>
          <w:rFonts w:hint="eastAsia"/>
          <w:lang w:val="en-US" w:eastAsia="zh-CN"/>
        </w:rPr>
        <w:t>生产工艺如下：</w:t>
      </w:r>
    </w:p>
    <w:p>
      <w:pPr>
        <w:bidi w:val="0"/>
        <w:rPr>
          <w:rFonts w:hint="default"/>
          <w:lang w:val="en-US" w:eastAsia="zh-CN"/>
        </w:rPr>
      </w:pPr>
      <w:r>
        <w:rPr>
          <w:rFonts w:hint="eastAsia"/>
          <w:lang w:val="en-US" w:eastAsia="zh-CN"/>
        </w:rPr>
        <w:t>原辅料采购</w:t>
      </w:r>
      <w:r>
        <w:rPr>
          <w:rFonts w:hint="default" w:ascii="Arial" w:hAnsi="Arial" w:cs="Arial"/>
          <w:lang w:val="en-US" w:eastAsia="zh-CN"/>
        </w:rPr>
        <w:t>→塑化→吹塑→</w:t>
      </w:r>
      <w:r>
        <w:rPr>
          <w:rFonts w:hint="eastAsia" w:ascii="Arial" w:hAnsi="Arial" w:cs="Arial"/>
          <w:lang w:val="en-US" w:eastAsia="zh-CN"/>
        </w:rPr>
        <w:t>压模、</w:t>
      </w:r>
      <w:r>
        <w:rPr>
          <w:rFonts w:hint="default" w:ascii="Arial" w:hAnsi="Arial" w:cs="Arial"/>
          <w:lang w:val="en-US" w:eastAsia="zh-CN"/>
        </w:rPr>
        <w:t>脱模→</w:t>
      </w:r>
      <w:r>
        <w:rPr>
          <w:rFonts w:hint="eastAsia" w:ascii="Arial" w:hAnsi="Arial" w:cs="Arial"/>
          <w:lang w:val="en-US" w:eastAsia="zh-CN"/>
        </w:rPr>
        <w:t>修整</w:t>
      </w:r>
      <w:r>
        <w:rPr>
          <w:rFonts w:hint="default" w:ascii="Arial" w:hAnsi="Arial" w:cs="Arial"/>
          <w:lang w:val="en-US" w:eastAsia="zh-CN"/>
        </w:rPr>
        <w:t>→</w:t>
      </w:r>
      <w:r>
        <w:rPr>
          <w:rFonts w:hint="eastAsia" w:ascii="Arial" w:hAnsi="Arial" w:cs="Arial"/>
          <w:lang w:val="en-US" w:eastAsia="zh-CN"/>
        </w:rPr>
        <w:t>理瓶</w:t>
      </w:r>
      <w:r>
        <w:rPr>
          <w:rFonts w:hint="default" w:ascii="Arial" w:hAnsi="Arial" w:cs="Arial"/>
          <w:lang w:val="en-US" w:eastAsia="zh-CN"/>
        </w:rPr>
        <w:t>→</w:t>
      </w:r>
      <w:r>
        <w:rPr>
          <w:rFonts w:hint="eastAsia" w:ascii="Arial" w:hAnsi="Arial" w:cs="Arial"/>
          <w:lang w:val="en-US" w:eastAsia="zh-CN"/>
        </w:rPr>
        <w:t>削口</w:t>
      </w:r>
      <w:r>
        <w:rPr>
          <w:rFonts w:hint="default" w:ascii="Arial" w:hAnsi="Arial" w:cs="Arial"/>
          <w:lang w:val="en-US" w:eastAsia="zh-CN"/>
        </w:rPr>
        <w:t>→</w:t>
      </w:r>
      <w:r>
        <w:rPr>
          <w:rFonts w:hint="eastAsia" w:ascii="Arial" w:hAnsi="Arial" w:cs="Arial"/>
          <w:lang w:val="en-US" w:eastAsia="zh-CN"/>
        </w:rPr>
        <w:t>贴标</w:t>
      </w:r>
      <w:r>
        <w:rPr>
          <w:rFonts w:hint="default" w:ascii="Arial" w:hAnsi="Arial" w:cs="Arial"/>
          <w:lang w:val="en-US" w:eastAsia="zh-CN"/>
        </w:rPr>
        <w:t>→</w:t>
      </w:r>
      <w:r>
        <w:rPr>
          <w:rFonts w:hint="eastAsia" w:ascii="Arial" w:hAnsi="Arial" w:cs="Arial"/>
          <w:lang w:val="en-US" w:eastAsia="zh-CN"/>
        </w:rPr>
        <w:t>检验</w:t>
      </w:r>
      <w:r>
        <w:rPr>
          <w:rFonts w:hint="default" w:ascii="Arial" w:hAnsi="Arial" w:cs="Arial"/>
          <w:lang w:val="en-US" w:eastAsia="zh-CN"/>
        </w:rPr>
        <w:t>→</w:t>
      </w:r>
      <w:r>
        <w:rPr>
          <w:rFonts w:hint="eastAsia" w:ascii="Arial" w:hAnsi="Arial" w:cs="Arial"/>
          <w:lang w:val="en-US" w:eastAsia="zh-CN"/>
        </w:rPr>
        <w:t>装袋</w:t>
      </w:r>
      <w:r>
        <w:rPr>
          <w:rFonts w:hint="default" w:ascii="Arial" w:hAnsi="Arial" w:cs="Arial"/>
          <w:lang w:val="en-US" w:eastAsia="zh-CN"/>
        </w:rPr>
        <w:t>→</w:t>
      </w:r>
      <w:r>
        <w:rPr>
          <w:rFonts w:hint="eastAsia" w:ascii="Arial" w:hAnsi="Arial" w:cs="Arial"/>
          <w:lang w:val="en-US" w:eastAsia="zh-CN"/>
        </w:rPr>
        <w:t>搬运入库</w:t>
      </w:r>
    </w:p>
    <w:p>
      <w:pPr>
        <w:pStyle w:val="7"/>
      </w:pPr>
      <w:r>
        <w:rPr>
          <w:rFonts w:hint="eastAsia"/>
        </w:rPr>
        <w:t>原料采购</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本项目从市场采购原</w:t>
      </w:r>
      <w:r>
        <w:rPr>
          <w:rFonts w:hint="eastAsia"/>
          <w:color w:val="000000" w:themeColor="text1"/>
          <w:szCs w:val="28"/>
          <w:lang w:val="en-US" w:eastAsia="zh-CN"/>
          <w14:textFill>
            <w14:solidFill>
              <w14:schemeClr w14:val="tx1"/>
            </w14:solidFill>
          </w14:textFill>
        </w:rPr>
        <w:t>辅</w:t>
      </w:r>
      <w:r>
        <w:rPr>
          <w:rFonts w:hint="eastAsia"/>
          <w:color w:val="000000" w:themeColor="text1"/>
          <w:szCs w:val="28"/>
          <w14:textFill>
            <w14:solidFill>
              <w14:schemeClr w14:val="tx1"/>
            </w14:solidFill>
          </w14:textFill>
        </w:rPr>
        <w:t>料，主要为高密度颗粒聚乙烯</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色母</w:t>
      </w:r>
      <w:r>
        <w:rPr>
          <w:rFonts w:hint="eastAsia"/>
          <w:color w:val="000000" w:themeColor="text1"/>
          <w:szCs w:val="28"/>
          <w14:textFill>
            <w14:solidFill>
              <w14:schemeClr w14:val="tx1"/>
            </w14:solidFill>
          </w14:textFill>
        </w:rPr>
        <w:t>。</w:t>
      </w:r>
    </w:p>
    <w:p>
      <w:pPr>
        <w:pStyle w:val="7"/>
      </w:pPr>
      <w:r>
        <w:rPr>
          <w:rFonts w:hint="eastAsia"/>
        </w:rPr>
        <w:t>塑化</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配比好的原料进入</w:t>
      </w:r>
      <w:r>
        <w:rPr>
          <w:rFonts w:hint="eastAsia"/>
          <w:color w:val="000000" w:themeColor="text1"/>
          <w:lang w:val="en-US" w:eastAsia="zh-CN"/>
          <w14:textFill>
            <w14:solidFill>
              <w14:schemeClr w14:val="tx1"/>
            </w14:solidFill>
          </w14:textFill>
        </w:rPr>
        <w:t>全自动</w:t>
      </w:r>
      <w:r>
        <w:rPr>
          <w:rFonts w:hint="eastAsia"/>
          <w:color w:val="000000" w:themeColor="text1"/>
          <w:szCs w:val="28"/>
          <w14:textFill>
            <w14:solidFill>
              <w14:schemeClr w14:val="tx1"/>
            </w14:solidFill>
          </w14:textFill>
        </w:rPr>
        <w:t>中空吹塑机进行塑化。本项目使用的高密度聚乙烯为无毒、无味、无臭的白色颗粒，相对密度为0</w:t>
      </w:r>
      <w:r>
        <w:rPr>
          <w:color w:val="000000" w:themeColor="text1"/>
          <w:szCs w:val="28"/>
          <w14:textFill>
            <w14:solidFill>
              <w14:schemeClr w14:val="tx1"/>
            </w14:solidFill>
          </w14:textFill>
        </w:rPr>
        <w:t>.941</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0.969</w:t>
      </w:r>
      <w:r>
        <w:rPr>
          <w:rFonts w:hint="eastAsia"/>
          <w:color w:val="000000" w:themeColor="text1"/>
          <w:szCs w:val="28"/>
          <w14:textFill>
            <w14:solidFill>
              <w14:schemeClr w14:val="tx1"/>
            </w14:solidFill>
          </w14:textFill>
        </w:rPr>
        <w:t>，熔点约为1</w:t>
      </w:r>
      <w:r>
        <w:rPr>
          <w:color w:val="000000" w:themeColor="text1"/>
          <w:szCs w:val="28"/>
          <w14:textFill>
            <w14:solidFill>
              <w14:schemeClr w14:val="tx1"/>
            </w14:solidFill>
          </w14:textFill>
        </w:rPr>
        <w:t>30</w:t>
      </w:r>
      <w:r>
        <w:rPr>
          <w:rFonts w:hint="eastAsia"/>
          <w:color w:val="000000" w:themeColor="text1"/>
          <w:szCs w:val="28"/>
          <w14:textFill>
            <w14:solidFill>
              <w14:schemeClr w14:val="tx1"/>
            </w14:solidFill>
          </w14:textFill>
        </w:rPr>
        <w:t>℃，软化点为1</w:t>
      </w:r>
      <w:r>
        <w:rPr>
          <w:color w:val="000000" w:themeColor="text1"/>
          <w:szCs w:val="28"/>
          <w14:textFill>
            <w14:solidFill>
              <w14:schemeClr w14:val="tx1"/>
            </w14:solidFill>
          </w14:textFill>
        </w:rPr>
        <w:t>25</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135</w:t>
      </w:r>
      <w:r>
        <w:rPr>
          <w:rFonts w:hint="eastAsia"/>
          <w:color w:val="000000" w:themeColor="text1"/>
          <w:szCs w:val="28"/>
          <w14:textFill>
            <w14:solidFill>
              <w14:schemeClr w14:val="tx1"/>
            </w14:solidFill>
          </w14:textFill>
        </w:rPr>
        <w:t>℃，根据不同工艺，塑化温度设置为</w:t>
      </w:r>
      <w:r>
        <w:rPr>
          <w:rFonts w:hint="eastAsia" w:ascii="宋体" w:hAnsi="宋体"/>
          <w:szCs w:val="28"/>
        </w:rPr>
        <w:t>5段，分别是：</w:t>
      </w:r>
      <w:r>
        <w:rPr>
          <w:szCs w:val="28"/>
        </w:rPr>
        <w:t>1</w:t>
      </w:r>
      <w:r>
        <w:rPr>
          <w:rFonts w:hint="eastAsia" w:ascii="宋体" w:hAnsi="宋体"/>
          <w:szCs w:val="28"/>
        </w:rPr>
        <w:t>段</w:t>
      </w:r>
      <w:r>
        <w:rPr>
          <w:szCs w:val="28"/>
        </w:rPr>
        <w:t>165</w:t>
      </w:r>
      <w:r>
        <w:rPr>
          <w:rFonts w:hint="eastAsia"/>
          <w:szCs w:val="28"/>
        </w:rPr>
        <w:t>℃，土</w:t>
      </w:r>
      <w:r>
        <w:rPr>
          <w:szCs w:val="28"/>
        </w:rPr>
        <w:t>10</w:t>
      </w:r>
      <w:r>
        <w:rPr>
          <w:rFonts w:hint="eastAsia"/>
          <w:szCs w:val="28"/>
        </w:rPr>
        <w:t>℃；</w:t>
      </w:r>
      <w:r>
        <w:rPr>
          <w:szCs w:val="28"/>
        </w:rPr>
        <w:t>2</w:t>
      </w:r>
      <w:r>
        <w:rPr>
          <w:rFonts w:hint="eastAsia" w:ascii="宋体" w:hAnsi="宋体"/>
          <w:szCs w:val="28"/>
        </w:rPr>
        <w:t>段</w:t>
      </w:r>
      <w:r>
        <w:rPr>
          <w:szCs w:val="28"/>
        </w:rPr>
        <w:t>170</w:t>
      </w:r>
      <w:r>
        <w:rPr>
          <w:rFonts w:hint="eastAsia"/>
          <w:szCs w:val="28"/>
        </w:rPr>
        <w:t>℃，土</w:t>
      </w:r>
      <w:r>
        <w:rPr>
          <w:szCs w:val="28"/>
        </w:rPr>
        <w:t>10</w:t>
      </w:r>
      <w:r>
        <w:rPr>
          <w:rFonts w:hint="eastAsia"/>
          <w:szCs w:val="28"/>
        </w:rPr>
        <w:t>℃；</w:t>
      </w:r>
      <w:r>
        <w:rPr>
          <w:szCs w:val="28"/>
        </w:rPr>
        <w:t>3</w:t>
      </w:r>
      <w:r>
        <w:rPr>
          <w:rFonts w:hint="eastAsia" w:ascii="宋体" w:hAnsi="宋体"/>
          <w:szCs w:val="28"/>
        </w:rPr>
        <w:t>段</w:t>
      </w:r>
      <w:r>
        <w:rPr>
          <w:szCs w:val="28"/>
        </w:rPr>
        <w:t>170</w:t>
      </w:r>
      <w:r>
        <w:rPr>
          <w:rFonts w:hint="eastAsia"/>
          <w:szCs w:val="28"/>
        </w:rPr>
        <w:t>℃，土</w:t>
      </w:r>
      <w:r>
        <w:rPr>
          <w:szCs w:val="28"/>
        </w:rPr>
        <w:t>10</w:t>
      </w:r>
      <w:r>
        <w:rPr>
          <w:rFonts w:hint="eastAsia"/>
          <w:szCs w:val="28"/>
        </w:rPr>
        <w:t>℃；</w:t>
      </w:r>
      <w:r>
        <w:rPr>
          <w:szCs w:val="28"/>
        </w:rPr>
        <w:t>4</w:t>
      </w:r>
      <w:r>
        <w:rPr>
          <w:rFonts w:hint="eastAsia" w:ascii="宋体" w:hAnsi="宋体"/>
          <w:szCs w:val="28"/>
        </w:rPr>
        <w:t>段</w:t>
      </w:r>
      <w:r>
        <w:rPr>
          <w:szCs w:val="28"/>
        </w:rPr>
        <w:t>175</w:t>
      </w:r>
      <w:r>
        <w:rPr>
          <w:rFonts w:hint="eastAsia"/>
          <w:szCs w:val="28"/>
        </w:rPr>
        <w:t>℃，土</w:t>
      </w:r>
      <w:r>
        <w:rPr>
          <w:szCs w:val="28"/>
        </w:rPr>
        <w:t>10</w:t>
      </w:r>
      <w:r>
        <w:rPr>
          <w:rFonts w:hint="eastAsia"/>
          <w:szCs w:val="28"/>
        </w:rPr>
        <w:t>℃；</w:t>
      </w:r>
      <w:r>
        <w:rPr>
          <w:szCs w:val="28"/>
        </w:rPr>
        <w:t>5</w:t>
      </w:r>
      <w:r>
        <w:rPr>
          <w:rFonts w:hint="eastAsia" w:ascii="宋体" w:hAnsi="宋体"/>
          <w:szCs w:val="28"/>
        </w:rPr>
        <w:t>段</w:t>
      </w:r>
      <w:r>
        <w:rPr>
          <w:szCs w:val="28"/>
        </w:rPr>
        <w:t>180</w:t>
      </w:r>
      <w:r>
        <w:rPr>
          <w:rFonts w:hint="eastAsia"/>
          <w:szCs w:val="28"/>
        </w:rPr>
        <w:t>℃，土</w:t>
      </w:r>
      <w:r>
        <w:rPr>
          <w:szCs w:val="28"/>
        </w:rPr>
        <w:t>10</w:t>
      </w:r>
      <w:r>
        <w:rPr>
          <w:rFonts w:hint="eastAsia"/>
          <w:szCs w:val="28"/>
        </w:rPr>
        <w:t>℃。</w:t>
      </w:r>
    </w:p>
    <w:p>
      <w:pPr>
        <w:pStyle w:val="7"/>
        <w:rPr>
          <w:rFonts w:hint="eastAsia" w:ascii="Times New Roman" w:hAnsi="Times New Roman" w:cs="Times New Roman"/>
        </w:rPr>
      </w:pPr>
      <w:r>
        <w:rPr>
          <w:rFonts w:hint="eastAsia" w:ascii="Times New Roman" w:hAnsi="Times New Roman" w:cs="Times New Roman"/>
        </w:rPr>
        <w:t>吹塑</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根据不同产品技术需求，设置吹塑时间、吹塑压力，对塑</w:t>
      </w:r>
      <w:r>
        <w:rPr>
          <w:rFonts w:hint="eastAsia"/>
          <w:color w:val="000000" w:themeColor="text1"/>
          <w:szCs w:val="28"/>
          <w:lang w:eastAsia="zh-CN"/>
          <w14:textFill>
            <w14:solidFill>
              <w14:schemeClr w14:val="tx1"/>
            </w14:solidFill>
          </w14:textFill>
        </w:rPr>
        <w:t>化</w:t>
      </w:r>
      <w:r>
        <w:rPr>
          <w:rFonts w:hint="eastAsia"/>
          <w:color w:val="000000" w:themeColor="text1"/>
          <w:szCs w:val="28"/>
          <w14:textFill>
            <w14:solidFill>
              <w14:schemeClr w14:val="tx1"/>
            </w14:solidFill>
          </w14:textFill>
        </w:rPr>
        <w:t>后的高密度颗粒聚乙烯进行吹塑处理。</w:t>
      </w:r>
    </w:p>
    <w:p>
      <w:pPr>
        <w:pStyle w:val="7"/>
      </w:pPr>
      <w:r>
        <w:rPr>
          <w:rFonts w:hint="eastAsia"/>
          <w:lang w:val="en-US" w:eastAsia="zh-CN"/>
        </w:rPr>
        <w:t>压模、</w:t>
      </w:r>
      <w:r>
        <w:rPr>
          <w:rFonts w:hint="eastAsia"/>
        </w:rPr>
        <w:t>脱模</w:t>
      </w:r>
    </w:p>
    <w:p>
      <w:pPr>
        <w:ind w:firstLine="560"/>
      </w:pPr>
      <w:r>
        <w:rPr>
          <w:rFonts w:hint="eastAsia"/>
        </w:rPr>
        <w:t>通过模具对吹塑后的</w:t>
      </w:r>
      <w:r>
        <w:rPr>
          <w:rFonts w:hint="eastAsia"/>
          <w:color w:val="000000" w:themeColor="text1"/>
          <w:szCs w:val="28"/>
          <w14:textFill>
            <w14:solidFill>
              <w14:schemeClr w14:val="tx1"/>
            </w14:solidFill>
          </w14:textFill>
        </w:rPr>
        <w:t>聚乙烯进行压模、脱模处理。</w:t>
      </w:r>
    </w:p>
    <w:p>
      <w:pPr>
        <w:pStyle w:val="7"/>
      </w:pPr>
      <w:r>
        <w:rPr>
          <w:rFonts w:hint="eastAsia"/>
        </w:rPr>
        <w:t>修整</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在模具中</w:t>
      </w:r>
      <w:r>
        <w:rPr>
          <w:rFonts w:hint="eastAsia"/>
          <w:color w:val="000000" w:themeColor="text1"/>
          <w:szCs w:val="28"/>
          <w:lang w:eastAsia="zh-CN"/>
          <w14:textFill>
            <w14:solidFill>
              <w14:schemeClr w14:val="tx1"/>
            </w14:solidFill>
          </w14:textFill>
        </w:rPr>
        <w:t>压制</w:t>
      </w:r>
      <w:r>
        <w:rPr>
          <w:rFonts w:hint="eastAsia"/>
          <w:color w:val="000000" w:themeColor="text1"/>
          <w:szCs w:val="28"/>
          <w14:textFill>
            <w14:solidFill>
              <w14:schemeClr w14:val="tx1"/>
            </w14:solidFill>
          </w14:textFill>
        </w:rPr>
        <w:t>成的产品中，部分需要对毛边进行清理，通过设备上设置的模切工具对产品的边角料进行切除，切除的边角料回收破碎后做原料使用。</w:t>
      </w:r>
    </w:p>
    <w:p>
      <w:pPr>
        <w:pStyle w:val="7"/>
      </w:pPr>
      <w:r>
        <w:rPr>
          <w:rFonts w:hint="eastAsia"/>
          <w:lang w:val="en-US" w:eastAsia="zh-CN"/>
        </w:rPr>
        <w:t>理瓶</w:t>
      </w:r>
    </w:p>
    <w:p>
      <w:pPr>
        <w:rPr>
          <w:rFonts w:hint="default" w:eastAsia="宋体"/>
          <w:lang w:val="en-US" w:eastAsia="zh-CN"/>
        </w:rPr>
      </w:pPr>
      <w:r>
        <w:rPr>
          <w:rFonts w:hint="eastAsia"/>
          <w:lang w:val="en-US" w:eastAsia="zh-CN"/>
        </w:rPr>
        <w:t>使用自动理瓶生产线，对修整后包装容器进行理顺。</w:t>
      </w:r>
    </w:p>
    <w:p>
      <w:pPr>
        <w:pStyle w:val="7"/>
        <w:bidi w:val="0"/>
        <w:rPr>
          <w:rFonts w:hint="eastAsia"/>
          <w:lang w:val="en-US" w:eastAsia="zh-CN"/>
        </w:rPr>
      </w:pPr>
      <w:r>
        <w:rPr>
          <w:rFonts w:hint="eastAsia"/>
          <w:lang w:val="en-US" w:eastAsia="zh-CN"/>
        </w:rPr>
        <w:t>削口</w:t>
      </w:r>
    </w:p>
    <w:p>
      <w:pPr>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使用全自动塑料瓶口削边机对塑料容器瓶口飞边、毛刺的进行削平、修整和瓶口倒角。</w:t>
      </w:r>
    </w:p>
    <w:p>
      <w:pPr>
        <w:pStyle w:val="7"/>
      </w:pPr>
      <w:r>
        <w:rPr>
          <w:rFonts w:hint="eastAsia"/>
        </w:rPr>
        <w:t>贴标</w:t>
      </w:r>
    </w:p>
    <w:p>
      <w:pPr>
        <w:ind w:firstLine="560"/>
        <w:rPr>
          <w:rFonts w:hint="eastAsia"/>
        </w:rPr>
      </w:pPr>
      <w:r>
        <w:rPr>
          <w:rFonts w:hint="eastAsia"/>
        </w:rPr>
        <w:t>通过贴标机对</w:t>
      </w:r>
      <w:r>
        <w:rPr>
          <w:rFonts w:hint="eastAsia"/>
          <w:lang w:val="en-US" w:eastAsia="zh-CN"/>
        </w:rPr>
        <w:t>削口后</w:t>
      </w:r>
      <w:r>
        <w:rPr>
          <w:rFonts w:hint="eastAsia" w:ascii="Times New Roman" w:hAnsi="Times New Roman" w:eastAsia="宋体" w:cs="Times New Roman"/>
          <w:lang w:val="en-US" w:eastAsia="zh-CN"/>
        </w:rPr>
        <w:t>的塑料容器</w:t>
      </w:r>
      <w:r>
        <w:rPr>
          <w:rFonts w:hint="eastAsia"/>
        </w:rPr>
        <w:t>产品</w:t>
      </w:r>
      <w:r>
        <w:rPr>
          <w:rFonts w:hint="eastAsia"/>
          <w:lang w:val="en-US" w:eastAsia="zh-CN"/>
        </w:rPr>
        <w:t>贴上商标</w:t>
      </w:r>
      <w:r>
        <w:rPr>
          <w:rFonts w:hint="eastAsia"/>
        </w:rPr>
        <w:t>。</w:t>
      </w:r>
    </w:p>
    <w:p>
      <w:pPr>
        <w:pStyle w:val="7"/>
      </w:pPr>
      <w:r>
        <w:rPr>
          <w:rFonts w:hint="eastAsia"/>
        </w:rPr>
        <w:t>检验</w:t>
      </w:r>
    </w:p>
    <w:p>
      <w:pPr>
        <w:ind w:firstLine="560"/>
      </w:pPr>
      <w:r>
        <w:rPr>
          <w:rFonts w:hint="eastAsia"/>
        </w:rPr>
        <w:t>质检人员对产品质量进行检验，剔除其中存在质量问题的产品。</w:t>
      </w:r>
    </w:p>
    <w:p>
      <w:pPr>
        <w:pStyle w:val="7"/>
        <w:bidi w:val="0"/>
        <w:rPr>
          <w:rFonts w:hint="default"/>
          <w:lang w:val="en-US" w:eastAsia="zh-CN"/>
        </w:rPr>
      </w:pPr>
      <w:r>
        <w:rPr>
          <w:rFonts w:hint="eastAsia"/>
          <w:lang w:val="en-US" w:eastAsia="zh-CN"/>
        </w:rPr>
        <w:t>装袋</w:t>
      </w:r>
    </w:p>
    <w:p>
      <w:pPr>
        <w:bidi w:val="0"/>
      </w:pPr>
      <w:r>
        <w:rPr>
          <w:rFonts w:hint="eastAsia" w:ascii="Times New Roman" w:hAnsi="Times New Roman" w:eastAsia="宋体" w:cs="Times New Roman"/>
          <w:lang w:val="en-US" w:eastAsia="zh-CN"/>
        </w:rPr>
        <w:t>合格后的塑料容器送装袋机进行打包装袋。</w:t>
      </w:r>
    </w:p>
    <w:p>
      <w:pPr>
        <w:pStyle w:val="7"/>
      </w:pPr>
      <w:r>
        <w:rPr>
          <w:rFonts w:hint="eastAsia" w:ascii="Arial" w:hAnsi="Arial" w:cs="Arial"/>
          <w:lang w:val="en-US" w:eastAsia="zh-CN"/>
        </w:rPr>
        <w:t>搬运</w:t>
      </w:r>
      <w:r>
        <w:rPr>
          <w:rFonts w:hint="eastAsia"/>
        </w:rPr>
        <w:t>入库</w:t>
      </w:r>
    </w:p>
    <w:p>
      <w:pPr>
        <w:ind w:firstLine="560"/>
      </w:pPr>
      <w:r>
        <w:rPr>
          <w:rFonts w:hint="eastAsia"/>
          <w:lang w:val="en-US" w:eastAsia="zh-CN"/>
        </w:rPr>
        <w:t>打包产品通过手推车拉入</w:t>
      </w:r>
      <w:r>
        <w:rPr>
          <w:rFonts w:hint="eastAsia"/>
        </w:rPr>
        <w:t>成品库</w:t>
      </w:r>
      <w:r>
        <w:rPr>
          <w:rFonts w:hint="eastAsia"/>
          <w:lang w:val="en-US" w:eastAsia="zh-CN"/>
        </w:rPr>
        <w:t>堆码</w:t>
      </w:r>
      <w:r>
        <w:rPr>
          <w:rFonts w:hint="eastAsia"/>
        </w:rPr>
        <w:t>。</w:t>
      </w:r>
    </w:p>
    <w:p>
      <w:pPr>
        <w:pStyle w:val="5"/>
        <w:rPr>
          <w:snapToGrid w:val="0"/>
          <w:color w:val="000000" w:themeColor="text1"/>
          <w14:textFill>
            <w14:solidFill>
              <w14:schemeClr w14:val="tx1"/>
            </w14:solidFill>
          </w14:textFill>
        </w:rPr>
      </w:pPr>
      <w:bookmarkStart w:id="210" w:name="_Toc18968"/>
      <w:bookmarkStart w:id="211" w:name="_Toc129520602"/>
      <w:bookmarkStart w:id="212" w:name="_Toc51340640"/>
      <w:bookmarkStart w:id="213" w:name="_Toc103178265"/>
      <w:bookmarkStart w:id="214" w:name="_Toc458245963"/>
      <w:bookmarkStart w:id="215" w:name="_Toc54294406"/>
      <w:bookmarkStart w:id="216" w:name="_Toc31822"/>
      <w:r>
        <w:rPr>
          <w:snapToGrid w:val="0"/>
          <w:color w:val="000000" w:themeColor="text1"/>
          <w14:textFill>
            <w14:solidFill>
              <w14:schemeClr w14:val="tx1"/>
            </w14:solidFill>
          </w14:textFill>
        </w:rPr>
        <w:t>主要建</w:t>
      </w:r>
      <w:r>
        <w:rPr>
          <w:rFonts w:hint="eastAsia"/>
          <w:snapToGrid w:val="0"/>
          <w:color w:val="000000" w:themeColor="text1"/>
          <w14:textFill>
            <w14:solidFill>
              <w14:schemeClr w14:val="tx1"/>
            </w14:solidFill>
          </w14:textFill>
        </w:rPr>
        <w:t>（</w:t>
      </w:r>
      <w:r>
        <w:rPr>
          <w:snapToGrid w:val="0"/>
          <w:color w:val="000000" w:themeColor="text1"/>
          <w14:textFill>
            <w14:solidFill>
              <w14:schemeClr w14:val="tx1"/>
            </w14:solidFill>
          </w14:textFill>
        </w:rPr>
        <w:t>构</w:t>
      </w:r>
      <w:r>
        <w:rPr>
          <w:rFonts w:hint="eastAsia"/>
          <w:snapToGrid w:val="0"/>
          <w:color w:val="000000" w:themeColor="text1"/>
          <w14:textFill>
            <w14:solidFill>
              <w14:schemeClr w14:val="tx1"/>
            </w14:solidFill>
          </w14:textFill>
        </w:rPr>
        <w:t>）</w:t>
      </w:r>
      <w:r>
        <w:rPr>
          <w:snapToGrid w:val="0"/>
          <w:color w:val="000000" w:themeColor="text1"/>
          <w14:textFill>
            <w14:solidFill>
              <w14:schemeClr w14:val="tx1"/>
            </w14:solidFill>
          </w14:textFill>
        </w:rPr>
        <w:t>筑物</w:t>
      </w:r>
      <w:bookmarkEnd w:id="210"/>
      <w:bookmarkEnd w:id="211"/>
      <w:bookmarkEnd w:id="212"/>
      <w:bookmarkEnd w:id="213"/>
      <w:bookmarkEnd w:id="214"/>
      <w:bookmarkEnd w:id="215"/>
      <w:bookmarkEnd w:id="216"/>
    </w:p>
    <w:p>
      <w:pPr>
        <w:rPr>
          <w:rFonts w:hint="default" w:eastAsia="宋体"/>
          <w:lang w:val="en-US" w:eastAsia="zh-CN"/>
        </w:rPr>
      </w:pPr>
      <w:r>
        <w:rPr>
          <w:rFonts w:hint="eastAsia" w:hAnsi="宋体"/>
          <w:bCs/>
          <w:color w:val="000000" w:themeColor="text1"/>
          <w:sz w:val="24"/>
          <w:szCs w:val="24"/>
          <w:lang w:val="en-US" w:eastAsia="zh-CN"/>
          <w14:textFill>
            <w14:solidFill>
              <w14:schemeClr w14:val="tx1"/>
            </w14:solidFill>
          </w14:textFill>
        </w:rPr>
        <w:t>主要</w:t>
      </w:r>
      <w:r>
        <w:rPr>
          <w:rFonts w:hint="eastAsia" w:hAnsi="宋体"/>
          <w:bCs/>
          <w:color w:val="000000" w:themeColor="text1"/>
          <w:sz w:val="24"/>
          <w:szCs w:val="24"/>
          <w14:textFill>
            <w14:solidFill>
              <w14:schemeClr w14:val="tx1"/>
            </w14:solidFill>
          </w14:textFill>
        </w:rPr>
        <w:t>建</w:t>
      </w:r>
      <w:r>
        <w:rPr>
          <w:rFonts w:hint="eastAsia" w:hAnsi="宋体"/>
          <w:bCs/>
          <w:color w:val="000000" w:themeColor="text1"/>
          <w:sz w:val="24"/>
          <w:szCs w:val="24"/>
          <w:lang w:eastAsia="zh-CN"/>
          <w14:textFill>
            <w14:solidFill>
              <w14:schemeClr w14:val="tx1"/>
            </w14:solidFill>
          </w14:textFill>
        </w:rPr>
        <w:t>（</w:t>
      </w:r>
      <w:r>
        <w:rPr>
          <w:rFonts w:hint="eastAsia" w:hAnsi="宋体"/>
          <w:bCs/>
          <w:color w:val="000000" w:themeColor="text1"/>
          <w:sz w:val="24"/>
          <w:szCs w:val="24"/>
          <w14:textFill>
            <w14:solidFill>
              <w14:schemeClr w14:val="tx1"/>
            </w14:solidFill>
          </w14:textFill>
        </w:rPr>
        <w:t>构</w:t>
      </w:r>
      <w:r>
        <w:rPr>
          <w:rFonts w:hint="eastAsia" w:hAnsi="宋体"/>
          <w:bCs/>
          <w:color w:val="000000" w:themeColor="text1"/>
          <w:sz w:val="24"/>
          <w:szCs w:val="24"/>
          <w:lang w:eastAsia="zh-CN"/>
          <w14:textFill>
            <w14:solidFill>
              <w14:schemeClr w14:val="tx1"/>
            </w14:solidFill>
          </w14:textFill>
        </w:rPr>
        <w:t>）</w:t>
      </w:r>
      <w:r>
        <w:rPr>
          <w:rFonts w:hint="eastAsia" w:hAnsi="宋体"/>
          <w:bCs/>
          <w:color w:val="000000" w:themeColor="text1"/>
          <w:sz w:val="24"/>
          <w:szCs w:val="24"/>
          <w14:textFill>
            <w14:solidFill>
              <w14:schemeClr w14:val="tx1"/>
            </w14:solidFill>
          </w14:textFill>
        </w:rPr>
        <w:t>筑物一览表</w:t>
      </w:r>
      <w:r>
        <w:rPr>
          <w:rFonts w:hint="eastAsia" w:hAnsi="宋体"/>
          <w:bCs/>
          <w:color w:val="000000" w:themeColor="text1"/>
          <w:sz w:val="24"/>
          <w:szCs w:val="24"/>
          <w:lang w:val="en-US" w:eastAsia="zh-CN"/>
          <w14:textFill>
            <w14:solidFill>
              <w14:schemeClr w14:val="tx1"/>
            </w14:solidFill>
          </w14:textFill>
        </w:rPr>
        <w:t>耐火等级及火灾危险性见下表：</w:t>
      </w:r>
    </w:p>
    <w:p>
      <w:pPr>
        <w:numPr>
          <w:ilvl w:val="0"/>
          <w:numId w:val="11"/>
        </w:numPr>
        <w:ind w:firstLineChars="0"/>
        <w:jc w:val="center"/>
        <w:rPr>
          <w:rFonts w:hAnsi="宋体"/>
          <w:bCs/>
          <w:color w:val="000000" w:themeColor="text1"/>
          <w:sz w:val="24"/>
          <w:szCs w:val="24"/>
          <w14:textFill>
            <w14:solidFill>
              <w14:schemeClr w14:val="tx1"/>
            </w14:solidFill>
          </w14:textFill>
        </w:rPr>
      </w:pPr>
      <w:bookmarkStart w:id="217" w:name="_Toc458245965"/>
      <w:bookmarkStart w:id="218" w:name="_Toc51340642"/>
      <w:bookmarkStart w:id="219" w:name="_Toc103178267"/>
      <w:bookmarkStart w:id="220" w:name="_Toc54294408"/>
      <w:bookmarkStart w:id="221" w:name="_Toc129520603"/>
      <w:r>
        <w:rPr>
          <w:rFonts w:hint="eastAsia" w:hAnsi="宋体"/>
          <w:bCs/>
          <w:color w:val="000000" w:themeColor="text1"/>
          <w:sz w:val="24"/>
          <w:szCs w:val="24"/>
          <w14:textFill>
            <w14:solidFill>
              <w14:schemeClr w14:val="tx1"/>
            </w14:solidFill>
          </w14:textFill>
        </w:rPr>
        <w:t>主要建构筑物一览表</w:t>
      </w:r>
    </w:p>
    <w:tbl>
      <w:tblPr>
        <w:tblStyle w:val="34"/>
        <w:tblW w:w="495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977"/>
        <w:gridCol w:w="1352"/>
        <w:gridCol w:w="1555"/>
        <w:gridCol w:w="720"/>
        <w:gridCol w:w="1095"/>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3"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1170"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名称</w:t>
            </w:r>
          </w:p>
        </w:tc>
        <w:tc>
          <w:tcPr>
            <w:tcW w:w="800"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建筑面积(m</w:t>
            </w:r>
            <w:r>
              <w:rPr>
                <w:b/>
                <w:bCs/>
                <w:color w:val="000000" w:themeColor="text1"/>
                <w:sz w:val="21"/>
                <w:szCs w:val="21"/>
                <w:vertAlign w:val="superscript"/>
                <w14:textFill>
                  <w14:solidFill>
                    <w14:schemeClr w14:val="tx1"/>
                  </w14:solidFill>
                </w14:textFill>
              </w:rPr>
              <w:t>2</w:t>
            </w:r>
            <w:r>
              <w:rPr>
                <w:b/>
                <w:bCs/>
                <w:color w:val="000000" w:themeColor="text1"/>
                <w:sz w:val="21"/>
                <w:szCs w:val="21"/>
                <w14:textFill>
                  <w14:solidFill>
                    <w14:schemeClr w14:val="tx1"/>
                  </w14:solidFill>
                </w14:textFill>
              </w:rPr>
              <w:t>)</w:t>
            </w:r>
          </w:p>
        </w:tc>
        <w:tc>
          <w:tcPr>
            <w:tcW w:w="920"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建筑结构</w:t>
            </w:r>
          </w:p>
        </w:tc>
        <w:tc>
          <w:tcPr>
            <w:tcW w:w="426"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层数</w:t>
            </w:r>
          </w:p>
        </w:tc>
        <w:tc>
          <w:tcPr>
            <w:tcW w:w="648"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耐火等级</w:t>
            </w:r>
          </w:p>
        </w:tc>
        <w:tc>
          <w:tcPr>
            <w:tcW w:w="670"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火灾危险性类别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3" w:type="pct"/>
            <w:vAlign w:val="center"/>
          </w:tcPr>
          <w:p>
            <w:pPr>
              <w:numPr>
                <w:ilvl w:val="0"/>
                <w:numId w:val="15"/>
              </w:numPr>
              <w:spacing w:line="240" w:lineRule="auto"/>
              <w:ind w:firstLineChars="0"/>
              <w:jc w:val="center"/>
              <w:rPr>
                <w:color w:val="000000" w:themeColor="text1"/>
                <w:sz w:val="21"/>
                <w:szCs w:val="21"/>
                <w14:textFill>
                  <w14:solidFill>
                    <w14:schemeClr w14:val="tx1"/>
                  </w14:solidFill>
                </w14:textFill>
              </w:rPr>
            </w:pPr>
          </w:p>
        </w:tc>
        <w:tc>
          <w:tcPr>
            <w:tcW w:w="117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G</w:t>
            </w:r>
            <w:r>
              <w:rPr>
                <w:color w:val="000000" w:themeColor="text1"/>
                <w:sz w:val="21"/>
                <w:szCs w:val="21"/>
                <w14:textFill>
                  <w14:solidFill>
                    <w14:schemeClr w14:val="tx1"/>
                  </w14:solidFill>
                </w14:textFill>
              </w:rPr>
              <w:t>MP</w:t>
            </w:r>
            <w:r>
              <w:rPr>
                <w:rFonts w:hint="eastAsia"/>
                <w:color w:val="000000" w:themeColor="text1"/>
                <w:sz w:val="21"/>
                <w:szCs w:val="21"/>
                <w14:textFill>
                  <w14:solidFill>
                    <w14:schemeClr w14:val="tx1"/>
                  </w14:solidFill>
                </w14:textFill>
              </w:rPr>
              <w:t>净化车间</w:t>
            </w:r>
          </w:p>
        </w:tc>
        <w:tc>
          <w:tcPr>
            <w:tcW w:w="80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945</w:t>
            </w:r>
          </w:p>
        </w:tc>
        <w:tc>
          <w:tcPr>
            <w:tcW w:w="92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按G</w:t>
            </w:r>
            <w:r>
              <w:rPr>
                <w:color w:val="000000" w:themeColor="text1"/>
                <w:sz w:val="21"/>
                <w:szCs w:val="21"/>
                <w14:textFill>
                  <w14:solidFill>
                    <w14:schemeClr w14:val="tx1"/>
                  </w14:solidFill>
                </w14:textFill>
              </w:rPr>
              <w:t>MP</w:t>
            </w:r>
            <w:r>
              <w:rPr>
                <w:rFonts w:hint="eastAsia"/>
                <w:color w:val="000000" w:themeColor="text1"/>
                <w:sz w:val="21"/>
                <w:szCs w:val="21"/>
                <w14:textFill>
                  <w14:solidFill>
                    <w14:schemeClr w14:val="tx1"/>
                  </w14:solidFill>
                </w14:textFill>
              </w:rPr>
              <w:t>要求设计建造</w:t>
            </w:r>
          </w:p>
        </w:tc>
        <w:tc>
          <w:tcPr>
            <w:tcW w:w="42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64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二级</w:t>
            </w:r>
          </w:p>
        </w:tc>
        <w:tc>
          <w:tcPr>
            <w:tcW w:w="67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w:t>
            </w:r>
            <w:r>
              <w:rPr>
                <w:color w:val="000000" w:themeColor="text1"/>
                <w:sz w:val="21"/>
                <w:szCs w:val="21"/>
                <w14:textFill>
                  <w14:solidFill>
                    <w14:schemeClr w14:val="tx1"/>
                  </w14:solidFill>
                </w14:textFill>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3" w:type="pct"/>
            <w:vAlign w:val="center"/>
          </w:tcPr>
          <w:p>
            <w:pPr>
              <w:numPr>
                <w:ilvl w:val="0"/>
                <w:numId w:val="15"/>
              </w:numPr>
              <w:spacing w:line="240" w:lineRule="auto"/>
              <w:ind w:firstLineChars="0"/>
              <w:jc w:val="center"/>
              <w:rPr>
                <w:color w:val="000000" w:themeColor="text1"/>
                <w:sz w:val="21"/>
                <w:szCs w:val="21"/>
                <w14:textFill>
                  <w14:solidFill>
                    <w14:schemeClr w14:val="tx1"/>
                  </w14:solidFill>
                </w14:textFill>
              </w:rPr>
            </w:pPr>
          </w:p>
        </w:tc>
        <w:tc>
          <w:tcPr>
            <w:tcW w:w="117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成品</w:t>
            </w:r>
            <w:r>
              <w:rPr>
                <w:color w:val="000000" w:themeColor="text1"/>
                <w:sz w:val="21"/>
                <w:szCs w:val="21"/>
                <w14:textFill>
                  <w14:solidFill>
                    <w14:schemeClr w14:val="tx1"/>
                  </w14:solidFill>
                </w14:textFill>
              </w:rPr>
              <w:t>仓库</w:t>
            </w:r>
          </w:p>
        </w:tc>
        <w:tc>
          <w:tcPr>
            <w:tcW w:w="80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294</w:t>
            </w:r>
          </w:p>
        </w:tc>
        <w:tc>
          <w:tcPr>
            <w:tcW w:w="92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钢架彩钢瓦结构</w:t>
            </w:r>
          </w:p>
        </w:tc>
        <w:tc>
          <w:tcPr>
            <w:tcW w:w="42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64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二级</w:t>
            </w:r>
          </w:p>
        </w:tc>
        <w:tc>
          <w:tcPr>
            <w:tcW w:w="67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w:t>
            </w:r>
            <w:r>
              <w:rPr>
                <w:color w:val="000000" w:themeColor="text1"/>
                <w:sz w:val="21"/>
                <w:szCs w:val="21"/>
                <w14:textFill>
                  <w14:solidFill>
                    <w14:schemeClr w14:val="tx1"/>
                  </w14:solidFill>
                </w14:textFill>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363" w:type="pct"/>
            <w:vAlign w:val="center"/>
          </w:tcPr>
          <w:p>
            <w:pPr>
              <w:numPr>
                <w:ilvl w:val="0"/>
                <w:numId w:val="15"/>
              </w:numPr>
              <w:spacing w:line="240" w:lineRule="auto"/>
              <w:ind w:firstLineChars="0"/>
              <w:jc w:val="center"/>
              <w:rPr>
                <w:color w:val="000000" w:themeColor="text1"/>
                <w:sz w:val="21"/>
                <w:szCs w:val="21"/>
                <w14:textFill>
                  <w14:solidFill>
                    <w14:schemeClr w14:val="tx1"/>
                  </w14:solidFill>
                </w14:textFill>
              </w:rPr>
            </w:pPr>
          </w:p>
        </w:tc>
        <w:tc>
          <w:tcPr>
            <w:tcW w:w="117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普通车间、成品仓库</w:t>
            </w:r>
          </w:p>
        </w:tc>
        <w:tc>
          <w:tcPr>
            <w:tcW w:w="80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1067.7</w:t>
            </w:r>
          </w:p>
        </w:tc>
        <w:tc>
          <w:tcPr>
            <w:tcW w:w="92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钢架彩钢瓦结构</w:t>
            </w:r>
          </w:p>
        </w:tc>
        <w:tc>
          <w:tcPr>
            <w:tcW w:w="42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64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二级</w:t>
            </w:r>
          </w:p>
        </w:tc>
        <w:tc>
          <w:tcPr>
            <w:tcW w:w="67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w:t>
            </w:r>
            <w:r>
              <w:rPr>
                <w:color w:val="000000" w:themeColor="text1"/>
                <w:sz w:val="21"/>
                <w:szCs w:val="21"/>
                <w14:textFill>
                  <w14:solidFill>
                    <w14:schemeClr w14:val="tx1"/>
                  </w14:solidFill>
                </w14:textFill>
              </w:rPr>
              <w:t>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363" w:type="pct"/>
            <w:vAlign w:val="center"/>
          </w:tcPr>
          <w:p>
            <w:pPr>
              <w:numPr>
                <w:ilvl w:val="0"/>
                <w:numId w:val="15"/>
              </w:numPr>
              <w:spacing w:line="240" w:lineRule="auto"/>
              <w:ind w:firstLineChars="0"/>
              <w:jc w:val="center"/>
              <w:rPr>
                <w:color w:val="000000" w:themeColor="text1"/>
                <w:sz w:val="21"/>
                <w:szCs w:val="21"/>
                <w14:textFill>
                  <w14:solidFill>
                    <w14:schemeClr w14:val="tx1"/>
                  </w14:solidFill>
                </w14:textFill>
              </w:rPr>
            </w:pPr>
          </w:p>
        </w:tc>
        <w:tc>
          <w:tcPr>
            <w:tcW w:w="117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办公楼</w:t>
            </w:r>
          </w:p>
        </w:tc>
        <w:tc>
          <w:tcPr>
            <w:tcW w:w="80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304.5</w:t>
            </w:r>
          </w:p>
        </w:tc>
        <w:tc>
          <w:tcPr>
            <w:tcW w:w="92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混凝土结构</w:t>
            </w:r>
          </w:p>
        </w:tc>
        <w:tc>
          <w:tcPr>
            <w:tcW w:w="42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64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二级</w:t>
            </w:r>
          </w:p>
        </w:tc>
        <w:tc>
          <w:tcPr>
            <w:tcW w:w="670" w:type="pct"/>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戊类</w:t>
            </w:r>
          </w:p>
        </w:tc>
      </w:tr>
      <w:bookmarkEnd w:id="217"/>
      <w:bookmarkEnd w:id="218"/>
      <w:bookmarkEnd w:id="219"/>
      <w:bookmarkEnd w:id="220"/>
      <w:bookmarkEnd w:id="221"/>
    </w:tbl>
    <w:p>
      <w:pPr>
        <w:pStyle w:val="5"/>
        <w:rPr>
          <w:snapToGrid w:val="0"/>
          <w:color w:val="000000" w:themeColor="text1"/>
          <w14:textFill>
            <w14:solidFill>
              <w14:schemeClr w14:val="tx1"/>
            </w14:solidFill>
          </w14:textFill>
        </w:rPr>
      </w:pPr>
      <w:bookmarkStart w:id="222" w:name="_Toc129520605"/>
      <w:bookmarkStart w:id="223" w:name="_Toc103178268"/>
      <w:bookmarkStart w:id="224" w:name="_Toc51340644"/>
      <w:bookmarkStart w:id="225" w:name="_Toc54294410"/>
      <w:bookmarkStart w:id="226" w:name="_Toc458245966"/>
      <w:bookmarkStart w:id="227" w:name="_Toc30352"/>
      <w:bookmarkStart w:id="228" w:name="_Toc201697562"/>
      <w:bookmarkStart w:id="229" w:name="_Toc30858"/>
      <w:r>
        <w:rPr>
          <w:snapToGrid w:val="0"/>
          <w:color w:val="000000" w:themeColor="text1"/>
          <w14:textFill>
            <w14:solidFill>
              <w14:schemeClr w14:val="tx1"/>
            </w14:solidFill>
          </w14:textFill>
        </w:rPr>
        <w:t>公用工程及辅助设施</w:t>
      </w:r>
      <w:bookmarkEnd w:id="222"/>
      <w:bookmarkEnd w:id="223"/>
      <w:bookmarkEnd w:id="224"/>
      <w:bookmarkEnd w:id="225"/>
      <w:bookmarkEnd w:id="226"/>
      <w:bookmarkEnd w:id="227"/>
      <w:bookmarkEnd w:id="228"/>
      <w:bookmarkEnd w:id="229"/>
    </w:p>
    <w:p>
      <w:pPr>
        <w:pStyle w:val="6"/>
        <w:rPr>
          <w:color w:val="000000" w:themeColor="text1"/>
          <w14:textFill>
            <w14:solidFill>
              <w14:schemeClr w14:val="tx1"/>
            </w14:solidFill>
          </w14:textFill>
        </w:rPr>
      </w:pPr>
      <w:bookmarkStart w:id="230" w:name="_Toc51340645"/>
      <w:bookmarkStart w:id="231" w:name="_Toc54294411"/>
      <w:bookmarkStart w:id="232" w:name="_Toc103178269"/>
      <w:bookmarkStart w:id="233" w:name="_Toc4200"/>
      <w:bookmarkStart w:id="234" w:name="_Toc458245967"/>
      <w:bookmarkStart w:id="235" w:name="_Toc129520606"/>
      <w:bookmarkStart w:id="236" w:name="_Toc20246"/>
      <w:r>
        <w:rPr>
          <w:color w:val="000000" w:themeColor="text1"/>
          <w14:textFill>
            <w14:solidFill>
              <w14:schemeClr w14:val="tx1"/>
            </w14:solidFill>
          </w14:textFill>
        </w:rPr>
        <w:t>供配电</w:t>
      </w:r>
      <w:bookmarkEnd w:id="230"/>
      <w:bookmarkEnd w:id="231"/>
      <w:bookmarkEnd w:id="232"/>
      <w:bookmarkEnd w:id="233"/>
      <w:bookmarkEnd w:id="234"/>
      <w:bookmarkEnd w:id="235"/>
      <w:bookmarkEnd w:id="236"/>
    </w:p>
    <w:p>
      <w:pPr>
        <w:ind w:firstLine="560"/>
        <w:rPr>
          <w:rFonts w:hint="default" w:ascii="Times New Roman" w:hAnsi="Times New Roman" w:eastAsia="宋体" w:cs="Times New Roman"/>
          <w:color w:val="000000" w:themeColor="text1"/>
          <w:szCs w:val="24"/>
          <w:lang w:val="en-US" w:eastAsia="zh-CN"/>
          <w14:textFill>
            <w14:solidFill>
              <w14:schemeClr w14:val="tx1"/>
            </w14:solidFill>
          </w14:textFill>
        </w:rPr>
      </w:pPr>
      <w:r>
        <w:rPr>
          <w:rFonts w:hint="eastAsia"/>
          <w:color w:val="000000" w:themeColor="text1"/>
          <w:szCs w:val="24"/>
          <w14:textFill>
            <w14:solidFill>
              <w14:schemeClr w14:val="tx1"/>
            </w14:solidFill>
          </w14:textFill>
        </w:rPr>
        <w:t>电源由</w:t>
      </w:r>
      <w:r>
        <w:rPr>
          <w:color w:val="000000" w:themeColor="text1"/>
          <w:szCs w:val="24"/>
          <w14:textFill>
            <w14:solidFill>
              <w14:schemeClr w14:val="tx1"/>
            </w14:solidFill>
          </w14:textFill>
        </w:rPr>
        <w:t>10kV</w:t>
      </w:r>
      <w:r>
        <w:rPr>
          <w:rFonts w:hint="eastAsia"/>
          <w:color w:val="000000" w:themeColor="text1"/>
          <w:szCs w:val="24"/>
          <w14:textFill>
            <w14:solidFill>
              <w14:schemeClr w14:val="tx1"/>
            </w14:solidFill>
          </w14:textFill>
        </w:rPr>
        <w:t>高压线路</w:t>
      </w:r>
      <w:r>
        <w:rPr>
          <w:color w:val="000000" w:themeColor="text1"/>
          <w:szCs w:val="24"/>
          <w14:textFill>
            <w14:solidFill>
              <w14:schemeClr w14:val="tx1"/>
            </w14:solidFill>
          </w14:textFill>
        </w:rPr>
        <w:t>引入，厂内设250KVA变压器接入，然后通过配电</w:t>
      </w:r>
      <w:r>
        <w:rPr>
          <w:rFonts w:hint="eastAsia"/>
          <w:color w:val="000000" w:themeColor="text1"/>
          <w:szCs w:val="24"/>
          <w14:textFill>
            <w14:solidFill>
              <w14:schemeClr w14:val="tx1"/>
            </w14:solidFill>
          </w14:textFill>
        </w:rPr>
        <w:t>设施</w:t>
      </w:r>
      <w:r>
        <w:rPr>
          <w:color w:val="000000" w:themeColor="text1"/>
          <w:szCs w:val="24"/>
          <w14:textFill>
            <w14:solidFill>
              <w14:schemeClr w14:val="tx1"/>
            </w14:solidFill>
          </w14:textFill>
        </w:rPr>
        <w:t>向各用电设备供电。负荷等级及电压，根据工艺提供的动力设备资料，均为380V三相交流电动机以及使用220V单相交流电的气动控制设备，低压配电系统采用380/220V三相四线制，生产系统用电负荷等级为三级负荷</w:t>
      </w:r>
      <w:r>
        <w:rPr>
          <w:rFonts w:hint="eastAsia"/>
          <w:color w:val="000000" w:themeColor="text1"/>
          <w:szCs w:val="24"/>
          <w14:textFill>
            <w14:solidFill>
              <w14:schemeClr w14:val="tx1"/>
            </w14:solidFill>
          </w14:textFill>
        </w:rPr>
        <w:t>，供电系统运行委托云南玉溪中汇电力设备有限责任公司进行维保。</w:t>
      </w:r>
      <w:r>
        <w:rPr>
          <w:rFonts w:hint="eastAsia" w:ascii="Times New Roman" w:hAnsi="Times New Roman" w:eastAsia="宋体" w:cs="Times New Roman"/>
          <w:color w:val="000000" w:themeColor="text1"/>
          <w:szCs w:val="24"/>
          <w:lang w:val="en-US" w:eastAsia="zh-CN"/>
          <w14:textFill>
            <w14:solidFill>
              <w14:schemeClr w14:val="tx1"/>
            </w14:solidFill>
          </w14:textFill>
        </w:rPr>
        <w:t>根据现场踏勘检查，公司各用电设备均按要求进行接地。公司在大门、各生产车间、仓库、机修配电室等处共设置13路高清摄像，能做到厂区作业监控无死角。监控录像存储时间不少于45天。</w:t>
      </w:r>
    </w:p>
    <w:p>
      <w:pPr>
        <w:pStyle w:val="6"/>
        <w:rPr>
          <w:color w:val="000000" w:themeColor="text1"/>
          <w14:textFill>
            <w14:solidFill>
              <w14:schemeClr w14:val="tx1"/>
            </w14:solidFill>
          </w14:textFill>
        </w:rPr>
      </w:pPr>
      <w:bookmarkStart w:id="237" w:name="_Toc458245968"/>
      <w:bookmarkStart w:id="238" w:name="_Toc51340646"/>
      <w:bookmarkStart w:id="239" w:name="_Toc54294412"/>
      <w:bookmarkStart w:id="240" w:name="_Toc8206"/>
      <w:bookmarkStart w:id="241" w:name="_Toc103178270"/>
      <w:bookmarkStart w:id="242" w:name="_Toc129520607"/>
      <w:bookmarkStart w:id="243" w:name="_Toc2980"/>
      <w:r>
        <w:rPr>
          <w:color w:val="000000" w:themeColor="text1"/>
          <w14:textFill>
            <w14:solidFill>
              <w14:schemeClr w14:val="tx1"/>
            </w14:solidFill>
          </w14:textFill>
        </w:rPr>
        <w:t>给排水</w:t>
      </w:r>
      <w:bookmarkEnd w:id="237"/>
      <w:bookmarkEnd w:id="238"/>
      <w:bookmarkEnd w:id="239"/>
      <w:bookmarkEnd w:id="240"/>
      <w:bookmarkEnd w:id="241"/>
      <w:bookmarkEnd w:id="242"/>
      <w:bookmarkEnd w:id="243"/>
    </w:p>
    <w:p>
      <w:pPr>
        <w:ind w:firstLine="56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1.给水</w:t>
      </w:r>
    </w:p>
    <w:p>
      <w:pPr>
        <w:ind w:firstLine="56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厂区用水主要为设备冷却用水、生活用水，水源来自当地自来水供水管网，可满足生产生活需求。厂区内设有冷却水循环水池。</w:t>
      </w:r>
    </w:p>
    <w:p>
      <w:pPr>
        <w:ind w:firstLine="560" w:firstLineChars="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2.排水</w:t>
      </w:r>
    </w:p>
    <w:p>
      <w:pPr>
        <w:ind w:firstLine="560"/>
      </w:pPr>
      <w:bookmarkStart w:id="244" w:name="_Toc129520608"/>
      <w:r>
        <w:rPr>
          <w:rFonts w:hint="eastAsia"/>
        </w:rPr>
        <w:t>本项目实行雨污分流，雨水通过厂区的两条排水沟汇集后排入厂外雨水沟。污水主要来自生活用水，污</w:t>
      </w:r>
      <w:r>
        <w:rPr>
          <w:szCs w:val="28"/>
        </w:rPr>
        <w:t>水经化粪池预处理后</w:t>
      </w:r>
      <w:r>
        <w:rPr>
          <w:rFonts w:hint="eastAsia"/>
          <w:szCs w:val="28"/>
        </w:rPr>
        <w:t>排放市政污水管网。</w:t>
      </w:r>
    </w:p>
    <w:p>
      <w:pPr>
        <w:ind w:firstLine="560"/>
      </w:pPr>
      <w:r>
        <w:rPr>
          <w:rFonts w:hint="eastAsia"/>
        </w:rPr>
        <w:t>本项目中空吹塑机需要使用冷却循环水，冷却循环水通过管道收集到厂区中央的水池内循环使用，不外排废水。</w:t>
      </w:r>
    </w:p>
    <w:p>
      <w:pPr>
        <w:pStyle w:val="6"/>
        <w:rPr>
          <w:color w:val="000000" w:themeColor="text1"/>
          <w14:textFill>
            <w14:solidFill>
              <w14:schemeClr w14:val="tx1"/>
            </w14:solidFill>
          </w14:textFill>
        </w:rPr>
      </w:pPr>
      <w:bookmarkStart w:id="245" w:name="_Toc2496"/>
      <w:bookmarkStart w:id="246" w:name="_Toc28570"/>
      <w:r>
        <w:rPr>
          <w:rFonts w:hint="eastAsia"/>
          <w:color w:val="000000" w:themeColor="text1"/>
          <w14:textFill>
            <w14:solidFill>
              <w14:schemeClr w14:val="tx1"/>
            </w14:solidFill>
          </w14:textFill>
        </w:rPr>
        <w:t>消防</w:t>
      </w:r>
      <w:bookmarkEnd w:id="244"/>
      <w:bookmarkEnd w:id="245"/>
      <w:bookmarkEnd w:id="246"/>
    </w:p>
    <w:p>
      <w:pPr>
        <w:pStyle w:val="50"/>
        <w:tabs>
          <w:tab w:val="left" w:pos="1000"/>
        </w:tabs>
        <w:autoSpaceDE w:val="0"/>
        <w:autoSpaceDN w:val="0"/>
        <w:adjustRightInd w:val="0"/>
        <w:ind w:right="113" w:firstLine="560"/>
      </w:pPr>
      <w:r>
        <w:rPr>
          <w:rFonts w:hint="eastAsia"/>
          <w:kern w:val="0"/>
          <w:szCs w:val="28"/>
        </w:rPr>
        <w:t>本</w:t>
      </w:r>
      <w:r>
        <w:rPr>
          <w:kern w:val="0"/>
          <w:szCs w:val="28"/>
        </w:rPr>
        <w:t>项目</w:t>
      </w:r>
      <w:r>
        <w:rPr>
          <w:rFonts w:hint="eastAsia"/>
          <w:szCs w:val="21"/>
        </w:rPr>
        <w:t>生产厂区</w:t>
      </w:r>
      <w:r>
        <w:rPr>
          <w:kern w:val="0"/>
          <w:szCs w:val="28"/>
        </w:rPr>
        <w:t>设有</w:t>
      </w:r>
      <w:r>
        <w:rPr>
          <w:rFonts w:hint="eastAsia"/>
          <w:kern w:val="0"/>
          <w:szCs w:val="28"/>
        </w:rPr>
        <w:t>手提式</w:t>
      </w:r>
      <w:r>
        <w:rPr>
          <w:kern w:val="0"/>
          <w:szCs w:val="28"/>
        </w:rPr>
        <w:t>灭火器、消火栓、应急照明</w:t>
      </w:r>
      <w:r>
        <w:rPr>
          <w:rFonts w:hint="eastAsia"/>
          <w:kern w:val="0"/>
          <w:szCs w:val="28"/>
        </w:rPr>
        <w:t>灯</w:t>
      </w:r>
      <w:r>
        <w:rPr>
          <w:kern w:val="0"/>
          <w:szCs w:val="28"/>
        </w:rPr>
        <w:t>等消防设施，同时，厂区</w:t>
      </w:r>
      <w:r>
        <w:rPr>
          <w:rFonts w:hint="eastAsia"/>
          <w:kern w:val="0"/>
          <w:szCs w:val="28"/>
        </w:rPr>
        <w:t>中央</w:t>
      </w:r>
      <w:r>
        <w:rPr>
          <w:kern w:val="0"/>
          <w:szCs w:val="28"/>
        </w:rPr>
        <w:t>设置有</w:t>
      </w:r>
      <w:r>
        <w:rPr>
          <w:rFonts w:eastAsiaTheme="minorEastAsia"/>
          <w:kern w:val="0"/>
          <w:szCs w:val="28"/>
        </w:rPr>
        <w:t>70m</w:t>
      </w:r>
      <w:r>
        <w:rPr>
          <w:rFonts w:eastAsiaTheme="minorEastAsia"/>
          <w:kern w:val="0"/>
          <w:szCs w:val="28"/>
          <w:vertAlign w:val="superscript"/>
        </w:rPr>
        <w:t>3</w:t>
      </w:r>
      <w:r>
        <w:rPr>
          <w:rFonts w:hint="eastAsia"/>
          <w:kern w:val="0"/>
          <w:szCs w:val="28"/>
        </w:rPr>
        <w:t>冷却水</w:t>
      </w:r>
      <w:r>
        <w:rPr>
          <w:kern w:val="0"/>
          <w:szCs w:val="28"/>
        </w:rPr>
        <w:t>池</w:t>
      </w:r>
      <w:r>
        <w:rPr>
          <w:rFonts w:hint="eastAsia"/>
          <w:kern w:val="0"/>
          <w:szCs w:val="28"/>
        </w:rPr>
        <w:t>兼</w:t>
      </w:r>
      <w:r>
        <w:rPr>
          <w:kern w:val="0"/>
          <w:szCs w:val="28"/>
        </w:rPr>
        <w:t>作应急消防水源。</w:t>
      </w:r>
      <w:r>
        <w:t>具体设置情况详见下表。</w:t>
      </w:r>
    </w:p>
    <w:p>
      <w:pPr>
        <w:numPr>
          <w:ilvl w:val="0"/>
          <w:numId w:val="11"/>
        </w:numPr>
        <w:ind w:firstLineChars="0"/>
        <w:jc w:val="center"/>
        <w:rPr>
          <w:rFonts w:hAnsi="宋体"/>
          <w:bCs/>
          <w:color w:val="000000" w:themeColor="text1"/>
          <w:sz w:val="24"/>
          <w:szCs w:val="24"/>
          <w14:textFill>
            <w14:solidFill>
              <w14:schemeClr w14:val="tx1"/>
            </w14:solidFill>
          </w14:textFill>
        </w:rPr>
      </w:pPr>
      <w:r>
        <w:rPr>
          <w:rFonts w:hint="eastAsia" w:hAnsi="宋体"/>
          <w:bCs/>
          <w:color w:val="000000" w:themeColor="text1"/>
          <w:sz w:val="24"/>
          <w:szCs w:val="24"/>
          <w14:textFill>
            <w14:solidFill>
              <w14:schemeClr w14:val="tx1"/>
            </w14:solidFill>
          </w14:textFill>
        </w:rPr>
        <w:t>消防器材配备台账</w:t>
      </w:r>
    </w:p>
    <w:tbl>
      <w:tblPr>
        <w:tblStyle w:val="3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2355"/>
        <w:gridCol w:w="1660"/>
        <w:gridCol w:w="977"/>
        <w:gridCol w:w="2234"/>
        <w:gridCol w:w="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87" w:type="pct"/>
            <w:vAlign w:val="center"/>
          </w:tcPr>
          <w:p>
            <w:pPr>
              <w:spacing w:line="240" w:lineRule="auto"/>
              <w:ind w:firstLine="0" w:firstLineChars="0"/>
              <w:jc w:val="center"/>
              <w:rPr>
                <w:b/>
                <w:sz w:val="21"/>
                <w:szCs w:val="24"/>
              </w:rPr>
            </w:pPr>
            <w:r>
              <w:rPr>
                <w:b/>
                <w:sz w:val="21"/>
                <w:szCs w:val="24"/>
              </w:rPr>
              <w:t>序号</w:t>
            </w:r>
          </w:p>
        </w:tc>
        <w:tc>
          <w:tcPr>
            <w:tcW w:w="1382" w:type="pct"/>
            <w:vAlign w:val="center"/>
          </w:tcPr>
          <w:p>
            <w:pPr>
              <w:spacing w:line="240" w:lineRule="auto"/>
              <w:ind w:firstLine="0" w:firstLineChars="0"/>
              <w:jc w:val="center"/>
              <w:rPr>
                <w:b/>
                <w:sz w:val="21"/>
                <w:szCs w:val="24"/>
              </w:rPr>
            </w:pPr>
            <w:r>
              <w:rPr>
                <w:b/>
                <w:sz w:val="21"/>
                <w:szCs w:val="24"/>
              </w:rPr>
              <w:t>名称</w:t>
            </w:r>
          </w:p>
        </w:tc>
        <w:tc>
          <w:tcPr>
            <w:tcW w:w="974" w:type="pct"/>
            <w:vAlign w:val="center"/>
          </w:tcPr>
          <w:p>
            <w:pPr>
              <w:spacing w:line="240" w:lineRule="auto"/>
              <w:ind w:firstLine="0" w:firstLineChars="0"/>
              <w:jc w:val="center"/>
              <w:rPr>
                <w:b/>
                <w:sz w:val="21"/>
                <w:szCs w:val="24"/>
              </w:rPr>
            </w:pPr>
            <w:r>
              <w:rPr>
                <w:b/>
                <w:sz w:val="21"/>
                <w:szCs w:val="24"/>
              </w:rPr>
              <w:t>型号</w:t>
            </w:r>
          </w:p>
        </w:tc>
        <w:tc>
          <w:tcPr>
            <w:tcW w:w="573" w:type="pct"/>
            <w:vAlign w:val="center"/>
          </w:tcPr>
          <w:p>
            <w:pPr>
              <w:spacing w:line="240" w:lineRule="auto"/>
              <w:ind w:firstLine="0" w:firstLineChars="0"/>
              <w:jc w:val="center"/>
              <w:rPr>
                <w:b/>
                <w:sz w:val="21"/>
                <w:szCs w:val="24"/>
              </w:rPr>
            </w:pPr>
            <w:r>
              <w:rPr>
                <w:b/>
                <w:sz w:val="21"/>
                <w:szCs w:val="24"/>
              </w:rPr>
              <w:t>数量</w:t>
            </w:r>
          </w:p>
        </w:tc>
        <w:tc>
          <w:tcPr>
            <w:tcW w:w="1311" w:type="pct"/>
            <w:vAlign w:val="center"/>
          </w:tcPr>
          <w:p>
            <w:pPr>
              <w:spacing w:line="240" w:lineRule="auto"/>
              <w:ind w:firstLine="0" w:firstLineChars="0"/>
              <w:jc w:val="center"/>
              <w:rPr>
                <w:b/>
                <w:sz w:val="21"/>
                <w:szCs w:val="24"/>
              </w:rPr>
            </w:pPr>
            <w:r>
              <w:rPr>
                <w:b/>
                <w:sz w:val="21"/>
                <w:szCs w:val="24"/>
              </w:rPr>
              <w:t>设置位置</w:t>
            </w:r>
          </w:p>
        </w:tc>
        <w:tc>
          <w:tcPr>
            <w:tcW w:w="373" w:type="pct"/>
            <w:vAlign w:val="center"/>
          </w:tcPr>
          <w:p>
            <w:pPr>
              <w:spacing w:line="240" w:lineRule="auto"/>
              <w:ind w:firstLine="0" w:firstLineChars="0"/>
              <w:jc w:val="center"/>
              <w:rPr>
                <w:b/>
                <w:sz w:val="21"/>
                <w:szCs w:val="24"/>
              </w:rPr>
            </w:pPr>
            <w:r>
              <w:rPr>
                <w:b/>
                <w:sz w:val="21"/>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numPr>
                <w:ilvl w:val="0"/>
                <w:numId w:val="16"/>
              </w:numPr>
              <w:spacing w:line="240" w:lineRule="auto"/>
              <w:ind w:firstLineChars="0"/>
              <w:jc w:val="center"/>
              <w:rPr>
                <w:sz w:val="21"/>
                <w:szCs w:val="24"/>
              </w:rPr>
            </w:pPr>
          </w:p>
        </w:tc>
        <w:tc>
          <w:tcPr>
            <w:tcW w:w="1382" w:type="pct"/>
            <w:vAlign w:val="center"/>
          </w:tcPr>
          <w:p>
            <w:pPr>
              <w:spacing w:line="240" w:lineRule="auto"/>
              <w:ind w:firstLine="0" w:firstLineChars="0"/>
              <w:jc w:val="center"/>
              <w:rPr>
                <w:sz w:val="21"/>
                <w:szCs w:val="24"/>
              </w:rPr>
            </w:pPr>
            <w:r>
              <w:rPr>
                <w:sz w:val="21"/>
                <w:szCs w:val="24"/>
              </w:rPr>
              <w:t>手提式干粉灭火器</w:t>
            </w:r>
          </w:p>
        </w:tc>
        <w:tc>
          <w:tcPr>
            <w:tcW w:w="974" w:type="pct"/>
            <w:vAlign w:val="center"/>
          </w:tcPr>
          <w:p>
            <w:pPr>
              <w:spacing w:line="240" w:lineRule="auto"/>
              <w:ind w:firstLine="0" w:firstLineChars="0"/>
              <w:jc w:val="center"/>
              <w:rPr>
                <w:sz w:val="21"/>
                <w:szCs w:val="24"/>
              </w:rPr>
            </w:pPr>
            <w:r>
              <w:rPr>
                <w:sz w:val="21"/>
                <w:szCs w:val="24"/>
              </w:rPr>
              <w:t>MFZ/ABC3</w:t>
            </w:r>
          </w:p>
        </w:tc>
        <w:tc>
          <w:tcPr>
            <w:tcW w:w="573" w:type="pct"/>
            <w:vAlign w:val="center"/>
          </w:tcPr>
          <w:p>
            <w:pPr>
              <w:spacing w:line="240" w:lineRule="auto"/>
              <w:ind w:firstLine="0" w:firstLineChars="0"/>
              <w:jc w:val="center"/>
              <w:rPr>
                <w:sz w:val="21"/>
                <w:szCs w:val="24"/>
              </w:rPr>
            </w:pPr>
            <w:r>
              <w:rPr>
                <w:sz w:val="21"/>
                <w:szCs w:val="24"/>
              </w:rPr>
              <w:t>6</w:t>
            </w:r>
            <w:r>
              <w:rPr>
                <w:rFonts w:hint="eastAsia"/>
                <w:sz w:val="21"/>
                <w:szCs w:val="24"/>
              </w:rPr>
              <w:t>具</w:t>
            </w:r>
          </w:p>
        </w:tc>
        <w:tc>
          <w:tcPr>
            <w:tcW w:w="1311" w:type="pct"/>
            <w:vAlign w:val="center"/>
          </w:tcPr>
          <w:p>
            <w:pPr>
              <w:spacing w:line="240" w:lineRule="auto"/>
              <w:ind w:firstLine="0" w:firstLineChars="0"/>
              <w:jc w:val="center"/>
              <w:rPr>
                <w:sz w:val="21"/>
                <w:szCs w:val="24"/>
              </w:rPr>
            </w:pPr>
            <w:r>
              <w:rPr>
                <w:rFonts w:hint="eastAsia"/>
                <w:sz w:val="21"/>
                <w:szCs w:val="24"/>
              </w:rPr>
              <w:t>生产</w:t>
            </w:r>
            <w:r>
              <w:rPr>
                <w:sz w:val="21"/>
                <w:szCs w:val="24"/>
              </w:rPr>
              <w:t>车间</w:t>
            </w:r>
          </w:p>
        </w:tc>
        <w:tc>
          <w:tcPr>
            <w:tcW w:w="373" w:type="pct"/>
            <w:vAlign w:val="center"/>
          </w:tcPr>
          <w:p>
            <w:pPr>
              <w:spacing w:line="240" w:lineRule="auto"/>
              <w:ind w:firstLine="0" w:firstLineChars="0"/>
              <w:jc w:val="center"/>
              <w:rPr>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numPr>
                <w:ilvl w:val="0"/>
                <w:numId w:val="16"/>
              </w:numPr>
              <w:spacing w:line="240" w:lineRule="auto"/>
              <w:ind w:firstLineChars="0"/>
              <w:jc w:val="center"/>
              <w:rPr>
                <w:sz w:val="21"/>
                <w:szCs w:val="24"/>
              </w:rPr>
            </w:pPr>
          </w:p>
        </w:tc>
        <w:tc>
          <w:tcPr>
            <w:tcW w:w="1382" w:type="pct"/>
            <w:vAlign w:val="center"/>
          </w:tcPr>
          <w:p>
            <w:pPr>
              <w:spacing w:line="240" w:lineRule="auto"/>
              <w:ind w:firstLine="0" w:firstLineChars="0"/>
              <w:jc w:val="center"/>
              <w:rPr>
                <w:sz w:val="21"/>
                <w:szCs w:val="24"/>
              </w:rPr>
            </w:pPr>
            <w:r>
              <w:rPr>
                <w:sz w:val="21"/>
                <w:szCs w:val="24"/>
              </w:rPr>
              <w:t>手提式干粉灭火器</w:t>
            </w:r>
          </w:p>
        </w:tc>
        <w:tc>
          <w:tcPr>
            <w:tcW w:w="974" w:type="pct"/>
            <w:vAlign w:val="center"/>
          </w:tcPr>
          <w:p>
            <w:pPr>
              <w:spacing w:line="240" w:lineRule="auto"/>
              <w:ind w:firstLine="0" w:firstLineChars="0"/>
              <w:jc w:val="center"/>
              <w:rPr>
                <w:sz w:val="21"/>
                <w:szCs w:val="24"/>
              </w:rPr>
            </w:pPr>
            <w:r>
              <w:rPr>
                <w:sz w:val="21"/>
                <w:szCs w:val="24"/>
              </w:rPr>
              <w:t>MFZ/ABC3</w:t>
            </w:r>
          </w:p>
        </w:tc>
        <w:tc>
          <w:tcPr>
            <w:tcW w:w="573" w:type="pct"/>
            <w:vAlign w:val="center"/>
          </w:tcPr>
          <w:p>
            <w:pPr>
              <w:spacing w:line="240" w:lineRule="auto"/>
              <w:ind w:firstLine="0" w:firstLineChars="0"/>
              <w:jc w:val="center"/>
              <w:rPr>
                <w:sz w:val="21"/>
                <w:szCs w:val="24"/>
              </w:rPr>
            </w:pPr>
            <w:r>
              <w:rPr>
                <w:sz w:val="21"/>
                <w:szCs w:val="24"/>
              </w:rPr>
              <w:t>2具</w:t>
            </w:r>
          </w:p>
        </w:tc>
        <w:tc>
          <w:tcPr>
            <w:tcW w:w="1311" w:type="pct"/>
            <w:vAlign w:val="center"/>
          </w:tcPr>
          <w:p>
            <w:pPr>
              <w:spacing w:line="240" w:lineRule="auto"/>
              <w:ind w:firstLine="0" w:firstLineChars="0"/>
              <w:jc w:val="center"/>
              <w:rPr>
                <w:sz w:val="21"/>
                <w:szCs w:val="24"/>
              </w:rPr>
            </w:pPr>
            <w:r>
              <w:rPr>
                <w:rFonts w:hint="eastAsia"/>
                <w:sz w:val="21"/>
                <w:szCs w:val="24"/>
              </w:rPr>
              <w:t>搅拌室</w:t>
            </w:r>
          </w:p>
        </w:tc>
        <w:tc>
          <w:tcPr>
            <w:tcW w:w="373" w:type="pct"/>
            <w:vAlign w:val="center"/>
          </w:tcPr>
          <w:p>
            <w:pPr>
              <w:spacing w:line="240" w:lineRule="auto"/>
              <w:ind w:firstLine="0" w:firstLineChars="0"/>
              <w:jc w:val="center"/>
              <w:rPr>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numPr>
                <w:ilvl w:val="0"/>
                <w:numId w:val="16"/>
              </w:numPr>
              <w:spacing w:line="240" w:lineRule="auto"/>
              <w:ind w:firstLineChars="0"/>
              <w:jc w:val="center"/>
              <w:rPr>
                <w:sz w:val="21"/>
                <w:szCs w:val="24"/>
              </w:rPr>
            </w:pPr>
          </w:p>
        </w:tc>
        <w:tc>
          <w:tcPr>
            <w:tcW w:w="1382" w:type="pct"/>
            <w:vAlign w:val="center"/>
          </w:tcPr>
          <w:p>
            <w:pPr>
              <w:spacing w:line="240" w:lineRule="auto"/>
              <w:ind w:firstLine="0" w:firstLineChars="0"/>
              <w:jc w:val="center"/>
              <w:rPr>
                <w:sz w:val="21"/>
                <w:szCs w:val="24"/>
              </w:rPr>
            </w:pPr>
            <w:r>
              <w:rPr>
                <w:sz w:val="21"/>
                <w:szCs w:val="24"/>
              </w:rPr>
              <w:t>手提式干粉灭火器</w:t>
            </w:r>
          </w:p>
        </w:tc>
        <w:tc>
          <w:tcPr>
            <w:tcW w:w="974" w:type="pct"/>
            <w:vAlign w:val="center"/>
          </w:tcPr>
          <w:p>
            <w:pPr>
              <w:spacing w:line="240" w:lineRule="auto"/>
              <w:ind w:firstLine="0" w:firstLineChars="0"/>
              <w:jc w:val="center"/>
              <w:rPr>
                <w:sz w:val="21"/>
                <w:szCs w:val="24"/>
              </w:rPr>
            </w:pPr>
            <w:r>
              <w:rPr>
                <w:sz w:val="21"/>
                <w:szCs w:val="24"/>
              </w:rPr>
              <w:t>MFZ/ABC3</w:t>
            </w:r>
          </w:p>
        </w:tc>
        <w:tc>
          <w:tcPr>
            <w:tcW w:w="573" w:type="pct"/>
            <w:vAlign w:val="center"/>
          </w:tcPr>
          <w:p>
            <w:pPr>
              <w:spacing w:line="240" w:lineRule="auto"/>
              <w:ind w:firstLine="0" w:firstLineChars="0"/>
              <w:jc w:val="center"/>
              <w:rPr>
                <w:sz w:val="21"/>
                <w:szCs w:val="24"/>
              </w:rPr>
            </w:pPr>
            <w:r>
              <w:rPr>
                <w:sz w:val="21"/>
                <w:szCs w:val="24"/>
              </w:rPr>
              <w:t>2具</w:t>
            </w:r>
          </w:p>
        </w:tc>
        <w:tc>
          <w:tcPr>
            <w:tcW w:w="1311" w:type="pct"/>
            <w:vAlign w:val="center"/>
          </w:tcPr>
          <w:p>
            <w:pPr>
              <w:spacing w:line="240" w:lineRule="auto"/>
              <w:ind w:firstLine="0" w:firstLineChars="0"/>
              <w:jc w:val="center"/>
              <w:rPr>
                <w:sz w:val="21"/>
                <w:szCs w:val="24"/>
              </w:rPr>
            </w:pPr>
            <w:r>
              <w:rPr>
                <w:sz w:val="21"/>
                <w:szCs w:val="24"/>
              </w:rPr>
              <w:t>配电室</w:t>
            </w:r>
          </w:p>
        </w:tc>
        <w:tc>
          <w:tcPr>
            <w:tcW w:w="373" w:type="pct"/>
            <w:vAlign w:val="center"/>
          </w:tcPr>
          <w:p>
            <w:pPr>
              <w:spacing w:line="240" w:lineRule="auto"/>
              <w:ind w:firstLine="0" w:firstLineChars="0"/>
              <w:jc w:val="center"/>
              <w:rPr>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numPr>
                <w:ilvl w:val="0"/>
                <w:numId w:val="16"/>
              </w:numPr>
              <w:spacing w:line="240" w:lineRule="auto"/>
              <w:ind w:firstLineChars="0"/>
              <w:jc w:val="center"/>
              <w:rPr>
                <w:sz w:val="21"/>
                <w:szCs w:val="24"/>
              </w:rPr>
            </w:pPr>
          </w:p>
        </w:tc>
        <w:tc>
          <w:tcPr>
            <w:tcW w:w="1382" w:type="pct"/>
            <w:vAlign w:val="center"/>
          </w:tcPr>
          <w:p>
            <w:pPr>
              <w:spacing w:line="240" w:lineRule="auto"/>
              <w:ind w:firstLine="0" w:firstLineChars="0"/>
              <w:jc w:val="center"/>
              <w:rPr>
                <w:sz w:val="21"/>
                <w:szCs w:val="24"/>
              </w:rPr>
            </w:pPr>
            <w:r>
              <w:rPr>
                <w:sz w:val="21"/>
                <w:szCs w:val="24"/>
              </w:rPr>
              <w:t>手提式干粉灭火器</w:t>
            </w:r>
          </w:p>
        </w:tc>
        <w:tc>
          <w:tcPr>
            <w:tcW w:w="974" w:type="pct"/>
            <w:vAlign w:val="center"/>
          </w:tcPr>
          <w:p>
            <w:pPr>
              <w:spacing w:line="240" w:lineRule="auto"/>
              <w:ind w:firstLine="0" w:firstLineChars="0"/>
              <w:jc w:val="center"/>
              <w:rPr>
                <w:sz w:val="21"/>
                <w:szCs w:val="24"/>
              </w:rPr>
            </w:pPr>
            <w:r>
              <w:rPr>
                <w:sz w:val="21"/>
                <w:szCs w:val="24"/>
              </w:rPr>
              <w:t>MFZ/ABC3</w:t>
            </w:r>
          </w:p>
        </w:tc>
        <w:tc>
          <w:tcPr>
            <w:tcW w:w="573" w:type="pct"/>
            <w:vAlign w:val="center"/>
          </w:tcPr>
          <w:p>
            <w:pPr>
              <w:spacing w:line="240" w:lineRule="auto"/>
              <w:ind w:firstLine="0" w:firstLineChars="0"/>
              <w:jc w:val="center"/>
              <w:rPr>
                <w:sz w:val="21"/>
                <w:szCs w:val="24"/>
              </w:rPr>
            </w:pPr>
            <w:r>
              <w:rPr>
                <w:sz w:val="21"/>
                <w:szCs w:val="24"/>
              </w:rPr>
              <w:t>4具</w:t>
            </w:r>
          </w:p>
        </w:tc>
        <w:tc>
          <w:tcPr>
            <w:tcW w:w="1311" w:type="pct"/>
            <w:vAlign w:val="center"/>
          </w:tcPr>
          <w:p>
            <w:pPr>
              <w:spacing w:line="240" w:lineRule="auto"/>
              <w:ind w:firstLine="0" w:firstLineChars="0"/>
              <w:jc w:val="center"/>
              <w:rPr>
                <w:sz w:val="21"/>
                <w:szCs w:val="24"/>
              </w:rPr>
            </w:pPr>
            <w:r>
              <w:rPr>
                <w:rFonts w:hint="eastAsia"/>
                <w:sz w:val="21"/>
                <w:szCs w:val="24"/>
              </w:rPr>
              <w:t>贴标车间</w:t>
            </w:r>
          </w:p>
        </w:tc>
        <w:tc>
          <w:tcPr>
            <w:tcW w:w="373" w:type="pct"/>
            <w:vAlign w:val="center"/>
          </w:tcPr>
          <w:p>
            <w:pPr>
              <w:spacing w:line="240" w:lineRule="auto"/>
              <w:ind w:firstLine="0" w:firstLineChars="0"/>
              <w:jc w:val="center"/>
              <w:rPr>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numPr>
                <w:ilvl w:val="0"/>
                <w:numId w:val="16"/>
              </w:numPr>
              <w:spacing w:line="240" w:lineRule="auto"/>
              <w:ind w:firstLineChars="0"/>
              <w:jc w:val="center"/>
              <w:rPr>
                <w:sz w:val="21"/>
                <w:szCs w:val="24"/>
              </w:rPr>
            </w:pPr>
          </w:p>
        </w:tc>
        <w:tc>
          <w:tcPr>
            <w:tcW w:w="1382" w:type="pct"/>
            <w:vAlign w:val="center"/>
          </w:tcPr>
          <w:p>
            <w:pPr>
              <w:spacing w:line="240" w:lineRule="auto"/>
              <w:ind w:firstLine="0" w:firstLineChars="0"/>
              <w:jc w:val="center"/>
              <w:rPr>
                <w:sz w:val="21"/>
                <w:szCs w:val="24"/>
              </w:rPr>
            </w:pPr>
            <w:r>
              <w:rPr>
                <w:sz w:val="21"/>
                <w:szCs w:val="24"/>
              </w:rPr>
              <w:t>手提式干粉灭火器</w:t>
            </w:r>
          </w:p>
        </w:tc>
        <w:tc>
          <w:tcPr>
            <w:tcW w:w="974" w:type="pct"/>
            <w:vAlign w:val="center"/>
          </w:tcPr>
          <w:p>
            <w:pPr>
              <w:spacing w:line="240" w:lineRule="auto"/>
              <w:ind w:firstLine="0" w:firstLineChars="0"/>
              <w:jc w:val="center"/>
              <w:rPr>
                <w:sz w:val="21"/>
                <w:szCs w:val="24"/>
              </w:rPr>
            </w:pPr>
            <w:r>
              <w:rPr>
                <w:sz w:val="21"/>
                <w:szCs w:val="24"/>
              </w:rPr>
              <w:t>MFZ/ABC3</w:t>
            </w:r>
          </w:p>
        </w:tc>
        <w:tc>
          <w:tcPr>
            <w:tcW w:w="573" w:type="pct"/>
            <w:vAlign w:val="center"/>
          </w:tcPr>
          <w:p>
            <w:pPr>
              <w:spacing w:line="240" w:lineRule="auto"/>
              <w:ind w:firstLine="0" w:firstLineChars="0"/>
              <w:jc w:val="center"/>
              <w:rPr>
                <w:sz w:val="21"/>
                <w:szCs w:val="24"/>
              </w:rPr>
            </w:pPr>
            <w:r>
              <w:rPr>
                <w:sz w:val="21"/>
                <w:szCs w:val="24"/>
              </w:rPr>
              <w:t>2具</w:t>
            </w:r>
          </w:p>
        </w:tc>
        <w:tc>
          <w:tcPr>
            <w:tcW w:w="1311" w:type="pct"/>
            <w:vAlign w:val="center"/>
          </w:tcPr>
          <w:p>
            <w:pPr>
              <w:spacing w:line="240" w:lineRule="auto"/>
              <w:ind w:firstLine="0" w:firstLineChars="0"/>
              <w:jc w:val="center"/>
              <w:rPr>
                <w:sz w:val="21"/>
                <w:szCs w:val="24"/>
              </w:rPr>
            </w:pPr>
            <w:r>
              <w:rPr>
                <w:rFonts w:hint="eastAsia"/>
                <w:sz w:val="21"/>
                <w:szCs w:val="24"/>
              </w:rPr>
              <w:t>机修房</w:t>
            </w:r>
          </w:p>
        </w:tc>
        <w:tc>
          <w:tcPr>
            <w:tcW w:w="373" w:type="pct"/>
            <w:vAlign w:val="center"/>
          </w:tcPr>
          <w:p>
            <w:pPr>
              <w:spacing w:line="240" w:lineRule="auto"/>
              <w:ind w:firstLine="0" w:firstLineChars="0"/>
              <w:jc w:val="center"/>
              <w:rPr>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numPr>
                <w:ilvl w:val="0"/>
                <w:numId w:val="16"/>
              </w:numPr>
              <w:spacing w:line="240" w:lineRule="auto"/>
              <w:ind w:firstLineChars="0"/>
              <w:jc w:val="center"/>
              <w:rPr>
                <w:sz w:val="21"/>
                <w:szCs w:val="24"/>
              </w:rPr>
            </w:pPr>
          </w:p>
        </w:tc>
        <w:tc>
          <w:tcPr>
            <w:tcW w:w="1382" w:type="pct"/>
            <w:vAlign w:val="center"/>
          </w:tcPr>
          <w:p>
            <w:pPr>
              <w:spacing w:line="240" w:lineRule="auto"/>
              <w:ind w:firstLine="0" w:firstLineChars="0"/>
              <w:jc w:val="center"/>
              <w:rPr>
                <w:sz w:val="21"/>
                <w:szCs w:val="24"/>
              </w:rPr>
            </w:pPr>
            <w:r>
              <w:rPr>
                <w:sz w:val="21"/>
                <w:szCs w:val="24"/>
              </w:rPr>
              <w:t>室内消火栓</w:t>
            </w:r>
          </w:p>
        </w:tc>
        <w:tc>
          <w:tcPr>
            <w:tcW w:w="974" w:type="pct"/>
            <w:vAlign w:val="center"/>
          </w:tcPr>
          <w:p>
            <w:pPr>
              <w:spacing w:line="240" w:lineRule="auto"/>
              <w:ind w:firstLine="0" w:firstLineChars="0"/>
              <w:jc w:val="center"/>
              <w:rPr>
                <w:sz w:val="21"/>
                <w:szCs w:val="24"/>
              </w:rPr>
            </w:pPr>
            <w:r>
              <w:rPr>
                <w:sz w:val="21"/>
                <w:szCs w:val="24"/>
              </w:rPr>
              <w:t>——</w:t>
            </w:r>
          </w:p>
        </w:tc>
        <w:tc>
          <w:tcPr>
            <w:tcW w:w="573" w:type="pct"/>
            <w:vAlign w:val="center"/>
          </w:tcPr>
          <w:p>
            <w:pPr>
              <w:spacing w:line="240" w:lineRule="auto"/>
              <w:ind w:firstLine="0" w:firstLineChars="0"/>
              <w:jc w:val="center"/>
              <w:rPr>
                <w:sz w:val="21"/>
                <w:szCs w:val="24"/>
              </w:rPr>
            </w:pPr>
            <w:r>
              <w:rPr>
                <w:sz w:val="21"/>
                <w:szCs w:val="24"/>
              </w:rPr>
              <w:t>2个</w:t>
            </w:r>
          </w:p>
        </w:tc>
        <w:tc>
          <w:tcPr>
            <w:tcW w:w="1311" w:type="pct"/>
            <w:vAlign w:val="center"/>
          </w:tcPr>
          <w:p>
            <w:pPr>
              <w:spacing w:line="240" w:lineRule="auto"/>
              <w:ind w:firstLine="0" w:firstLineChars="0"/>
              <w:jc w:val="center"/>
              <w:rPr>
                <w:sz w:val="21"/>
                <w:szCs w:val="24"/>
              </w:rPr>
            </w:pPr>
            <w:r>
              <w:rPr>
                <w:rFonts w:hint="eastAsia"/>
                <w:sz w:val="21"/>
                <w:szCs w:val="24"/>
              </w:rPr>
              <w:t>生产车间</w:t>
            </w:r>
          </w:p>
        </w:tc>
        <w:tc>
          <w:tcPr>
            <w:tcW w:w="373" w:type="pct"/>
            <w:vAlign w:val="center"/>
          </w:tcPr>
          <w:p>
            <w:pPr>
              <w:spacing w:line="240" w:lineRule="auto"/>
              <w:ind w:firstLine="0" w:firstLineChars="0"/>
              <w:jc w:val="center"/>
              <w:rPr>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Align w:val="center"/>
          </w:tcPr>
          <w:p>
            <w:pPr>
              <w:numPr>
                <w:ilvl w:val="0"/>
                <w:numId w:val="16"/>
              </w:numPr>
              <w:spacing w:line="240" w:lineRule="auto"/>
              <w:ind w:firstLineChars="0"/>
              <w:jc w:val="center"/>
              <w:rPr>
                <w:sz w:val="21"/>
                <w:szCs w:val="24"/>
              </w:rPr>
            </w:pPr>
          </w:p>
        </w:tc>
        <w:tc>
          <w:tcPr>
            <w:tcW w:w="1382" w:type="pct"/>
          </w:tcPr>
          <w:p>
            <w:pPr>
              <w:spacing w:line="240" w:lineRule="auto"/>
              <w:ind w:firstLine="0" w:firstLineChars="0"/>
              <w:jc w:val="center"/>
              <w:rPr>
                <w:sz w:val="21"/>
                <w:szCs w:val="24"/>
              </w:rPr>
            </w:pPr>
            <w:r>
              <w:rPr>
                <w:sz w:val="21"/>
                <w:szCs w:val="24"/>
              </w:rPr>
              <w:t>室</w:t>
            </w:r>
            <w:r>
              <w:rPr>
                <w:rFonts w:hint="eastAsia"/>
                <w:sz w:val="21"/>
                <w:szCs w:val="24"/>
              </w:rPr>
              <w:t>外</w:t>
            </w:r>
            <w:r>
              <w:rPr>
                <w:sz w:val="21"/>
                <w:szCs w:val="24"/>
              </w:rPr>
              <w:t>消火栓</w:t>
            </w:r>
          </w:p>
        </w:tc>
        <w:tc>
          <w:tcPr>
            <w:tcW w:w="974" w:type="pct"/>
            <w:vAlign w:val="center"/>
          </w:tcPr>
          <w:p>
            <w:pPr>
              <w:spacing w:line="240" w:lineRule="auto"/>
              <w:ind w:firstLine="0" w:firstLineChars="0"/>
              <w:jc w:val="center"/>
              <w:rPr>
                <w:sz w:val="21"/>
                <w:szCs w:val="24"/>
              </w:rPr>
            </w:pPr>
            <w:r>
              <w:rPr>
                <w:sz w:val="21"/>
                <w:szCs w:val="24"/>
              </w:rPr>
              <w:t>——</w:t>
            </w:r>
          </w:p>
        </w:tc>
        <w:tc>
          <w:tcPr>
            <w:tcW w:w="573" w:type="pct"/>
            <w:vAlign w:val="center"/>
          </w:tcPr>
          <w:p>
            <w:pPr>
              <w:spacing w:line="240" w:lineRule="auto"/>
              <w:ind w:firstLine="0" w:firstLineChars="0"/>
              <w:jc w:val="center"/>
              <w:rPr>
                <w:sz w:val="21"/>
                <w:szCs w:val="24"/>
              </w:rPr>
            </w:pPr>
            <w:r>
              <w:rPr>
                <w:sz w:val="21"/>
                <w:szCs w:val="24"/>
              </w:rPr>
              <w:t>1个</w:t>
            </w:r>
          </w:p>
        </w:tc>
        <w:tc>
          <w:tcPr>
            <w:tcW w:w="1311" w:type="pct"/>
            <w:vAlign w:val="center"/>
          </w:tcPr>
          <w:p>
            <w:pPr>
              <w:spacing w:line="240" w:lineRule="auto"/>
              <w:ind w:firstLine="0" w:firstLineChars="0"/>
              <w:jc w:val="center"/>
              <w:rPr>
                <w:sz w:val="21"/>
                <w:szCs w:val="24"/>
              </w:rPr>
            </w:pPr>
            <w:r>
              <w:rPr>
                <w:rFonts w:hint="eastAsia"/>
                <w:sz w:val="21"/>
                <w:szCs w:val="24"/>
              </w:rPr>
              <w:t>原料仓库外</w:t>
            </w:r>
          </w:p>
        </w:tc>
        <w:tc>
          <w:tcPr>
            <w:tcW w:w="373" w:type="pct"/>
            <w:vAlign w:val="center"/>
          </w:tcPr>
          <w:p>
            <w:pPr>
              <w:spacing w:line="240" w:lineRule="auto"/>
              <w:ind w:firstLine="0" w:firstLineChars="0"/>
              <w:jc w:val="center"/>
              <w:rPr>
                <w:sz w:val="21"/>
                <w:szCs w:val="24"/>
              </w:rPr>
            </w:pPr>
          </w:p>
        </w:tc>
      </w:tr>
    </w:tbl>
    <w:p>
      <w:pPr>
        <w:pStyle w:val="6"/>
        <w:rPr>
          <w:color w:val="000000" w:themeColor="text1"/>
          <w14:textFill>
            <w14:solidFill>
              <w14:schemeClr w14:val="tx1"/>
            </w14:solidFill>
          </w14:textFill>
        </w:rPr>
      </w:pPr>
      <w:bookmarkStart w:id="247" w:name="_Toc12842"/>
      <w:bookmarkStart w:id="248" w:name="_Toc10319"/>
      <w:r>
        <w:rPr>
          <w:rFonts w:hint="eastAsia"/>
          <w:color w:val="000000" w:themeColor="text1"/>
          <w14:textFill>
            <w14:solidFill>
              <w14:schemeClr w14:val="tx1"/>
            </w14:solidFill>
          </w14:textFill>
        </w:rPr>
        <w:t>通风采暖</w:t>
      </w:r>
      <w:bookmarkEnd w:id="247"/>
      <w:bookmarkEnd w:id="248"/>
    </w:p>
    <w:p>
      <w:pPr>
        <w:pStyle w:val="21"/>
        <w:ind w:firstLine="560"/>
        <w:rPr>
          <w:rFonts w:hint="eastAsia"/>
        </w:rPr>
      </w:pPr>
      <w:r>
        <w:rPr>
          <w:rFonts w:hint="eastAsia"/>
        </w:rPr>
        <w:t>该厂房配置了中央空调系统，厂房东西两侧设有通风窗，空气流通良好。根据项目生产实际</w:t>
      </w:r>
      <w:r>
        <w:rPr>
          <w:rFonts w:hint="eastAsia"/>
          <w:lang w:val="en-US" w:eastAsia="zh-CN"/>
        </w:rPr>
        <w:t>和地方气候特点</w:t>
      </w:r>
      <w:r>
        <w:rPr>
          <w:rFonts w:hint="eastAsia"/>
          <w:lang w:eastAsia="zh-CN"/>
        </w:rPr>
        <w:t>，</w:t>
      </w:r>
      <w:r>
        <w:rPr>
          <w:rFonts w:hint="eastAsia"/>
          <w:lang w:val="en-US" w:eastAsia="zh-CN"/>
        </w:rPr>
        <w:t>项目采用自然通风即可满足要求，</w:t>
      </w:r>
      <w:r>
        <w:rPr>
          <w:rFonts w:hint="eastAsia"/>
        </w:rPr>
        <w:t>目前中央空调系统</w:t>
      </w:r>
      <w:r>
        <w:rPr>
          <w:rFonts w:hint="eastAsia"/>
          <w:lang w:val="en-US" w:eastAsia="zh-CN"/>
        </w:rPr>
        <w:t>已</w:t>
      </w:r>
      <w:r>
        <w:rPr>
          <w:rFonts w:hint="eastAsia"/>
        </w:rPr>
        <w:t>处于停用状态</w:t>
      </w:r>
      <w:r>
        <w:rPr>
          <w:rFonts w:hint="eastAsia"/>
          <w:lang w:val="en-US" w:eastAsia="zh-CN"/>
        </w:rPr>
        <w:t>。</w:t>
      </w:r>
    </w:p>
    <w:p>
      <w:pPr>
        <w:pStyle w:val="6"/>
      </w:pPr>
      <w:bookmarkStart w:id="249" w:name="_Toc14874"/>
      <w:bookmarkStart w:id="250" w:name="_Toc31770"/>
      <w:r>
        <w:rPr>
          <w:rFonts w:hint="eastAsia"/>
        </w:rPr>
        <w:t>供气系统</w:t>
      </w:r>
      <w:bookmarkEnd w:id="249"/>
      <w:bookmarkEnd w:id="250"/>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本项目设置2台螺杆式空气压缩机作为压缩空气气源为项目用气设备供气，每台空压机均配置了安全阀及压力表。</w:t>
      </w:r>
    </w:p>
    <w:p>
      <w:pPr>
        <w:pStyle w:val="6"/>
        <w:rPr>
          <w:color w:val="000000" w:themeColor="text1"/>
          <w14:textFill>
            <w14:solidFill>
              <w14:schemeClr w14:val="tx1"/>
            </w14:solidFill>
          </w14:textFill>
        </w:rPr>
      </w:pPr>
      <w:bookmarkStart w:id="251" w:name="_Toc103178271"/>
      <w:bookmarkStart w:id="252" w:name="_Toc129520612"/>
      <w:bookmarkStart w:id="253" w:name="_Toc51340649"/>
      <w:bookmarkStart w:id="254" w:name="_Toc54294415"/>
      <w:bookmarkStart w:id="255" w:name="_Toc18865"/>
      <w:bookmarkStart w:id="256" w:name="_Toc17385"/>
      <w:r>
        <w:rPr>
          <w:rFonts w:hint="eastAsia"/>
          <w:color w:val="000000" w:themeColor="text1"/>
          <w14:textFill>
            <w14:solidFill>
              <w14:schemeClr w14:val="tx1"/>
            </w14:solidFill>
          </w14:textFill>
        </w:rPr>
        <w:t>危险物质储存</w:t>
      </w:r>
      <w:bookmarkEnd w:id="251"/>
      <w:bookmarkEnd w:id="252"/>
      <w:bookmarkEnd w:id="253"/>
      <w:bookmarkEnd w:id="254"/>
      <w:bookmarkEnd w:id="255"/>
      <w:bookmarkEnd w:id="256"/>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通过对本项目生产工艺、原料、辅助材料、产品进行分析后，本项目生产过程中主要的危险物质</w:t>
      </w:r>
      <w:r>
        <w:rPr>
          <w:rFonts w:hint="eastAsia"/>
          <w:color w:val="000000" w:themeColor="text1"/>
          <w:szCs w:val="28"/>
          <w14:textFill>
            <w14:solidFill>
              <w14:schemeClr w14:val="tx1"/>
            </w14:solidFill>
          </w14:textFill>
        </w:rPr>
        <w:t>高密度聚乙烯</w:t>
      </w:r>
      <w:r>
        <w:rPr>
          <w:color w:val="000000" w:themeColor="text1"/>
          <w:szCs w:val="28"/>
          <w14:textFill>
            <w14:solidFill>
              <w14:schemeClr w14:val="tx1"/>
            </w14:solidFill>
          </w14:textFill>
        </w:rPr>
        <w:t>。</w:t>
      </w:r>
    </w:p>
    <w:p>
      <w:pPr>
        <w:ind w:firstLine="560" w:firstLineChars="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高密度聚乙烯主要储存在原料仓库内</w:t>
      </w:r>
      <w:r>
        <w:rPr>
          <w:color w:val="000000" w:themeColor="text1"/>
          <w:szCs w:val="28"/>
          <w14:textFill>
            <w14:solidFill>
              <w14:schemeClr w14:val="tx1"/>
            </w14:solidFill>
          </w14:textFill>
        </w:rPr>
        <w:t>，最大存储量50t。</w:t>
      </w:r>
    </w:p>
    <w:p>
      <w:pPr>
        <w:pStyle w:val="5"/>
        <w:rPr>
          <w:snapToGrid w:val="0"/>
          <w:color w:val="000000" w:themeColor="text1"/>
          <w14:textFill>
            <w14:solidFill>
              <w14:schemeClr w14:val="tx1"/>
            </w14:solidFill>
          </w14:textFill>
        </w:rPr>
      </w:pPr>
      <w:bookmarkStart w:id="257" w:name="_Toc458245972"/>
      <w:bookmarkStart w:id="258" w:name="_Toc274392468"/>
      <w:bookmarkStart w:id="259" w:name="_Toc51340650"/>
      <w:bookmarkStart w:id="260" w:name="_Toc54294416"/>
      <w:bookmarkStart w:id="261" w:name="_Toc25578"/>
      <w:bookmarkStart w:id="262" w:name="_Toc129520613"/>
      <w:bookmarkStart w:id="263" w:name="_Toc278282242"/>
      <w:bookmarkStart w:id="264" w:name="_Toc103178273"/>
      <w:bookmarkStart w:id="265" w:name="_Toc11290"/>
      <w:r>
        <w:rPr>
          <w:snapToGrid w:val="0"/>
          <w:color w:val="000000" w:themeColor="text1"/>
          <w14:textFill>
            <w14:solidFill>
              <w14:schemeClr w14:val="tx1"/>
            </w14:solidFill>
          </w14:textFill>
        </w:rPr>
        <w:t>安全防护设施设备</w:t>
      </w:r>
      <w:bookmarkEnd w:id="257"/>
      <w:bookmarkEnd w:id="258"/>
      <w:bookmarkEnd w:id="259"/>
      <w:bookmarkEnd w:id="260"/>
      <w:bookmarkEnd w:id="261"/>
      <w:bookmarkEnd w:id="262"/>
      <w:bookmarkEnd w:id="263"/>
      <w:bookmarkEnd w:id="264"/>
      <w:bookmarkEnd w:id="265"/>
    </w:p>
    <w:p>
      <w:p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本项目安全设施配置情况如下表所示：</w:t>
      </w:r>
    </w:p>
    <w:p>
      <w:pPr>
        <w:numPr>
          <w:ilvl w:val="0"/>
          <w:numId w:val="11"/>
        </w:numPr>
        <w:ind w:firstLineChars="0"/>
        <w:jc w:val="center"/>
        <w:rPr>
          <w:rFonts w:hAnsi="宋体"/>
          <w:bCs/>
          <w:color w:val="000000" w:themeColor="text1"/>
          <w:sz w:val="24"/>
          <w:szCs w:val="24"/>
          <w14:textFill>
            <w14:solidFill>
              <w14:schemeClr w14:val="tx1"/>
            </w14:solidFill>
          </w14:textFill>
        </w:rPr>
      </w:pPr>
      <w:r>
        <w:rPr>
          <w:rFonts w:hint="eastAsia" w:hAnsi="宋体"/>
          <w:bCs/>
          <w:color w:val="000000" w:themeColor="text1"/>
          <w:sz w:val="24"/>
          <w:szCs w:val="24"/>
          <w14:textFill>
            <w14:solidFill>
              <w14:schemeClr w14:val="tx1"/>
            </w14:solidFill>
          </w14:textFill>
        </w:rPr>
        <w:t>安全设施配置情况一览表</w:t>
      </w:r>
    </w:p>
    <w:tbl>
      <w:tblPr>
        <w:tblStyle w:val="34"/>
        <w:tblW w:w="48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2729"/>
        <w:gridCol w:w="872"/>
        <w:gridCol w:w="3221"/>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37" w:type="pct"/>
            <w:vAlign w:val="center"/>
          </w:tcPr>
          <w:p>
            <w:pPr>
              <w:widowControl/>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序号</w:t>
            </w:r>
          </w:p>
        </w:tc>
        <w:tc>
          <w:tcPr>
            <w:tcW w:w="1656" w:type="pct"/>
            <w:vAlign w:val="center"/>
          </w:tcPr>
          <w:p>
            <w:pPr>
              <w:widowControl/>
              <w:spacing w:line="240" w:lineRule="auto"/>
              <w:ind w:firstLine="0" w:firstLineChars="0"/>
              <w:jc w:val="center"/>
              <w:rPr>
                <w:b/>
                <w:color w:val="000000" w:themeColor="text1"/>
                <w:sz w:val="21"/>
                <w:szCs w:val="21"/>
                <w14:textFill>
                  <w14:solidFill>
                    <w14:schemeClr w14:val="tx1"/>
                  </w14:solidFill>
                </w14:textFill>
              </w:rPr>
            </w:pPr>
            <w:r>
              <w:rPr>
                <w:b/>
                <w:color w:val="000000" w:themeColor="text1"/>
                <w:kern w:val="0"/>
                <w:sz w:val="21"/>
                <w:szCs w:val="21"/>
                <w14:textFill>
                  <w14:solidFill>
                    <w14:schemeClr w14:val="tx1"/>
                  </w14:solidFill>
                </w14:textFill>
              </w:rPr>
              <w:t>安全设施名称</w:t>
            </w:r>
          </w:p>
        </w:tc>
        <w:tc>
          <w:tcPr>
            <w:tcW w:w="529" w:type="pct"/>
            <w:vAlign w:val="center"/>
          </w:tcPr>
          <w:p>
            <w:pPr>
              <w:widowControl/>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数量</w:t>
            </w:r>
          </w:p>
        </w:tc>
        <w:tc>
          <w:tcPr>
            <w:tcW w:w="1954" w:type="pct"/>
            <w:vAlign w:val="center"/>
          </w:tcPr>
          <w:p>
            <w:pPr>
              <w:widowControl/>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安装位置</w:t>
            </w:r>
          </w:p>
        </w:tc>
        <w:tc>
          <w:tcPr>
            <w:tcW w:w="421" w:type="pct"/>
            <w:vAlign w:val="center"/>
          </w:tcPr>
          <w:p>
            <w:pPr>
              <w:widowControl/>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Align w:val="center"/>
          </w:tcPr>
          <w:p>
            <w:pPr>
              <w:widowControl/>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1656"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机械</w:t>
            </w:r>
            <w:r>
              <w:rPr>
                <w:color w:val="000000" w:themeColor="text1"/>
                <w:sz w:val="21"/>
                <w:szCs w:val="21"/>
                <w14:textFill>
                  <w14:solidFill>
                    <w14:schemeClr w14:val="tx1"/>
                  </w14:solidFill>
                </w14:textFill>
              </w:rPr>
              <w:t>防护罩</w:t>
            </w:r>
          </w:p>
        </w:tc>
        <w:tc>
          <w:tcPr>
            <w:tcW w:w="529"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954"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公司所有</w:t>
            </w:r>
            <w:r>
              <w:rPr>
                <w:color w:val="000000" w:themeColor="text1"/>
                <w:sz w:val="21"/>
                <w:szCs w:val="21"/>
                <w14:textFill>
                  <w14:solidFill>
                    <w14:schemeClr w14:val="tx1"/>
                  </w14:solidFill>
                </w14:textFill>
              </w:rPr>
              <w:t>电机转轴旋转处、链条等</w:t>
            </w:r>
          </w:p>
        </w:tc>
        <w:tc>
          <w:tcPr>
            <w:tcW w:w="421"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Align w:val="center"/>
          </w:tcPr>
          <w:p>
            <w:pPr>
              <w:widowControl/>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1656"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安全警示标志</w:t>
            </w:r>
          </w:p>
        </w:tc>
        <w:tc>
          <w:tcPr>
            <w:tcW w:w="529" w:type="pct"/>
            <w:vAlign w:val="center"/>
          </w:tcPr>
          <w:p>
            <w:pPr>
              <w:widowControl/>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w:t>
            </w:r>
          </w:p>
        </w:tc>
        <w:tc>
          <w:tcPr>
            <w:tcW w:w="1954"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各设备自带、</w:t>
            </w:r>
            <w:r>
              <w:rPr>
                <w:rFonts w:hint="eastAsia"/>
                <w:color w:val="000000" w:themeColor="text1"/>
                <w:sz w:val="21"/>
                <w:szCs w:val="21"/>
                <w14:textFill>
                  <w14:solidFill>
                    <w14:schemeClr w14:val="tx1"/>
                  </w14:solidFill>
                </w14:textFill>
              </w:rPr>
              <w:t>危险点</w:t>
            </w:r>
          </w:p>
        </w:tc>
        <w:tc>
          <w:tcPr>
            <w:tcW w:w="421"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Align w:val="center"/>
          </w:tcPr>
          <w:p>
            <w:pPr>
              <w:widowControl/>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1656"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紧急停车按钮</w:t>
            </w:r>
          </w:p>
        </w:tc>
        <w:tc>
          <w:tcPr>
            <w:tcW w:w="529"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1954"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设备操作台</w:t>
            </w:r>
          </w:p>
        </w:tc>
        <w:tc>
          <w:tcPr>
            <w:tcW w:w="421"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Align w:val="center"/>
          </w:tcPr>
          <w:p>
            <w:pPr>
              <w:widowControl/>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1656"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灭火器</w:t>
            </w:r>
          </w:p>
        </w:tc>
        <w:tc>
          <w:tcPr>
            <w:tcW w:w="529"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20具</w:t>
            </w:r>
          </w:p>
        </w:tc>
        <w:tc>
          <w:tcPr>
            <w:tcW w:w="1954"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各危险点</w:t>
            </w:r>
          </w:p>
        </w:tc>
        <w:tc>
          <w:tcPr>
            <w:tcW w:w="421"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Align w:val="center"/>
          </w:tcPr>
          <w:p>
            <w:pPr>
              <w:widowControl/>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1656"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室内消火栓</w:t>
            </w:r>
          </w:p>
        </w:tc>
        <w:tc>
          <w:tcPr>
            <w:tcW w:w="529"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3套</w:t>
            </w:r>
          </w:p>
        </w:tc>
        <w:tc>
          <w:tcPr>
            <w:tcW w:w="1954"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仓库</w:t>
            </w:r>
            <w:r>
              <w:rPr>
                <w:rFonts w:hint="eastAsia"/>
                <w:color w:val="000000" w:themeColor="text1"/>
                <w:sz w:val="21"/>
                <w:szCs w:val="21"/>
                <w14:textFill>
                  <w14:solidFill>
                    <w14:schemeClr w14:val="tx1"/>
                  </w14:solidFill>
                </w14:textFill>
              </w:rPr>
              <w:t>、车间</w:t>
            </w:r>
          </w:p>
        </w:tc>
        <w:tc>
          <w:tcPr>
            <w:tcW w:w="421"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Align w:val="center"/>
          </w:tcPr>
          <w:p>
            <w:pPr>
              <w:widowControl/>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1656"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应急照明灯</w:t>
            </w:r>
          </w:p>
        </w:tc>
        <w:tc>
          <w:tcPr>
            <w:tcW w:w="529"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10盏</w:t>
            </w:r>
          </w:p>
        </w:tc>
        <w:tc>
          <w:tcPr>
            <w:tcW w:w="1954"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仓库</w:t>
            </w:r>
            <w:r>
              <w:rPr>
                <w:rFonts w:hint="eastAsia"/>
                <w:color w:val="000000" w:themeColor="text1"/>
                <w:sz w:val="21"/>
                <w:szCs w:val="21"/>
                <w14:textFill>
                  <w14:solidFill>
                    <w14:schemeClr w14:val="tx1"/>
                  </w14:solidFill>
                </w14:textFill>
              </w:rPr>
              <w:t>、车间</w:t>
            </w:r>
          </w:p>
        </w:tc>
        <w:tc>
          <w:tcPr>
            <w:tcW w:w="421"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37" w:type="pct"/>
            <w:vAlign w:val="center"/>
          </w:tcPr>
          <w:p>
            <w:pPr>
              <w:widowControl/>
              <w:numPr>
                <w:ilvl w:val="0"/>
                <w:numId w:val="17"/>
              </w:numPr>
              <w:spacing w:line="240" w:lineRule="auto"/>
              <w:ind w:firstLineChars="0"/>
              <w:jc w:val="center"/>
              <w:rPr>
                <w:color w:val="000000" w:themeColor="text1"/>
                <w:sz w:val="21"/>
                <w:szCs w:val="21"/>
                <w14:textFill>
                  <w14:solidFill>
                    <w14:schemeClr w14:val="tx1"/>
                  </w14:solidFill>
                </w14:textFill>
              </w:rPr>
            </w:pPr>
          </w:p>
        </w:tc>
        <w:tc>
          <w:tcPr>
            <w:tcW w:w="1656"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安全联锁装置</w:t>
            </w:r>
          </w:p>
        </w:tc>
        <w:tc>
          <w:tcPr>
            <w:tcW w:w="529" w:type="pct"/>
            <w:vAlign w:val="center"/>
          </w:tcPr>
          <w:p>
            <w:pPr>
              <w:widowControl/>
              <w:spacing w:line="240" w:lineRule="auto"/>
              <w:ind w:firstLine="0" w:firstLineChars="0"/>
              <w:jc w:val="center"/>
              <w:rPr>
                <w:rFonts w:hint="eastAsia"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w:t>
            </w:r>
          </w:p>
        </w:tc>
        <w:tc>
          <w:tcPr>
            <w:tcW w:w="1954"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中空吹塑机</w:t>
            </w:r>
          </w:p>
        </w:tc>
        <w:tc>
          <w:tcPr>
            <w:tcW w:w="421" w:type="pct"/>
            <w:vAlign w:val="center"/>
          </w:tcPr>
          <w:p>
            <w:pPr>
              <w:widowControl/>
              <w:spacing w:line="240" w:lineRule="auto"/>
              <w:ind w:firstLine="0" w:firstLineChars="0"/>
              <w:jc w:val="center"/>
              <w:rPr>
                <w:color w:val="000000" w:themeColor="text1"/>
                <w:sz w:val="21"/>
                <w:szCs w:val="21"/>
                <w14:textFill>
                  <w14:solidFill>
                    <w14:schemeClr w14:val="tx1"/>
                  </w14:solidFill>
                </w14:textFill>
              </w:rPr>
            </w:pPr>
          </w:p>
        </w:tc>
      </w:tr>
    </w:tbl>
    <w:p>
      <w:pPr>
        <w:pStyle w:val="5"/>
        <w:rPr>
          <w:snapToGrid w:val="0"/>
          <w:color w:val="000000" w:themeColor="text1"/>
          <w14:textFill>
            <w14:solidFill>
              <w14:schemeClr w14:val="tx1"/>
            </w14:solidFill>
          </w14:textFill>
        </w:rPr>
      </w:pPr>
      <w:bookmarkStart w:id="266" w:name="_Toc54294417"/>
      <w:bookmarkStart w:id="267" w:name="_Toc51340651"/>
      <w:bookmarkStart w:id="268" w:name="_Toc103178274"/>
      <w:bookmarkStart w:id="269" w:name="_Toc458245973"/>
      <w:bookmarkStart w:id="270" w:name="_Toc15542"/>
      <w:bookmarkStart w:id="271" w:name="_Toc129520614"/>
      <w:bookmarkStart w:id="272" w:name="_Toc22813"/>
      <w:r>
        <w:rPr>
          <w:snapToGrid w:val="0"/>
          <w:color w:val="000000" w:themeColor="text1"/>
          <w14:textFill>
            <w14:solidFill>
              <w14:schemeClr w14:val="tx1"/>
            </w14:solidFill>
          </w14:textFill>
        </w:rPr>
        <w:t>安全生产管理</w:t>
      </w:r>
      <w:bookmarkEnd w:id="266"/>
      <w:bookmarkEnd w:id="267"/>
      <w:bookmarkEnd w:id="268"/>
      <w:bookmarkEnd w:id="269"/>
      <w:bookmarkEnd w:id="270"/>
      <w:bookmarkEnd w:id="271"/>
      <w:bookmarkEnd w:id="272"/>
    </w:p>
    <w:p>
      <w:pPr>
        <w:pStyle w:val="6"/>
        <w:rPr>
          <w:color w:val="000000" w:themeColor="text1"/>
          <w14:textFill>
            <w14:solidFill>
              <w14:schemeClr w14:val="tx1"/>
            </w14:solidFill>
          </w14:textFill>
        </w:rPr>
      </w:pPr>
      <w:bookmarkStart w:id="273" w:name="_Toc54294418"/>
      <w:bookmarkStart w:id="274" w:name="_Toc129520615"/>
      <w:bookmarkStart w:id="275" w:name="_Toc51340652"/>
      <w:bookmarkStart w:id="276" w:name="_Toc103178275"/>
      <w:bookmarkStart w:id="277" w:name="_Toc458245974"/>
      <w:bookmarkStart w:id="278" w:name="_Toc201697575"/>
      <w:bookmarkStart w:id="279" w:name="_Toc29854"/>
      <w:bookmarkStart w:id="280" w:name="_Toc29701"/>
      <w:r>
        <w:rPr>
          <w:color w:val="000000" w:themeColor="text1"/>
          <w14:textFill>
            <w14:solidFill>
              <w14:schemeClr w14:val="tx1"/>
            </w14:solidFill>
          </w14:textFill>
        </w:rPr>
        <w:t>安全管理组织机构</w:t>
      </w:r>
      <w:bookmarkEnd w:id="273"/>
      <w:bookmarkEnd w:id="274"/>
      <w:bookmarkEnd w:id="275"/>
      <w:bookmarkEnd w:id="276"/>
      <w:bookmarkEnd w:id="277"/>
      <w:bookmarkEnd w:id="278"/>
      <w:bookmarkEnd w:id="279"/>
      <w:bookmarkEnd w:id="280"/>
    </w:p>
    <w:p>
      <w:pPr>
        <w:autoSpaceDE w:val="0"/>
        <w:autoSpaceDN w:val="0"/>
        <w:adjustRightInd w:val="0"/>
        <w:ind w:firstLine="560"/>
        <w:rPr>
          <w:color w:val="000000" w:themeColor="text1"/>
          <w:kern w:val="0"/>
          <w:szCs w:val="28"/>
          <w14:textFill>
            <w14:solidFill>
              <w14:schemeClr w14:val="tx1"/>
            </w14:solidFill>
          </w14:textFill>
        </w:rPr>
      </w:pPr>
      <w:r>
        <w:rPr>
          <w:color w:val="000000" w:themeColor="text1"/>
          <w:kern w:val="0"/>
          <w:szCs w:val="28"/>
          <w14:textFill>
            <w14:solidFill>
              <w14:schemeClr w14:val="tx1"/>
            </w14:solidFill>
          </w14:textFill>
        </w:rPr>
        <w:t>为加强安全生产管理，</w:t>
      </w:r>
      <w:r>
        <w:rPr>
          <w:rFonts w:hint="eastAsia"/>
          <w:color w:val="000000" w:themeColor="text1"/>
          <w:kern w:val="0"/>
          <w:szCs w:val="28"/>
          <w14:textFill>
            <w14:solidFill>
              <w14:schemeClr w14:val="tx1"/>
            </w14:solidFill>
          </w14:textFill>
        </w:rPr>
        <w:t>企业</w:t>
      </w:r>
      <w:r>
        <w:rPr>
          <w:color w:val="000000" w:themeColor="text1"/>
          <w:kern w:val="0"/>
          <w:szCs w:val="28"/>
          <w14:textFill>
            <w14:solidFill>
              <w14:schemeClr w14:val="tx1"/>
            </w14:solidFill>
          </w14:textFill>
        </w:rPr>
        <w:t>成立了安全生产领导小组，其组成如下：</w:t>
      </w:r>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组长</w:t>
      </w:r>
      <w:r>
        <w:rPr>
          <w:color w:val="000000" w:themeColor="text1"/>
          <w:kern w:val="0"/>
          <w:szCs w:val="28"/>
          <w14:textFill>
            <w14:solidFill>
              <w14:schemeClr w14:val="tx1"/>
            </w14:solidFill>
          </w14:textFill>
        </w:rPr>
        <w:t>：</w:t>
      </w:r>
      <w:r>
        <w:rPr>
          <w:rFonts w:hint="eastAsia"/>
          <w:color w:val="000000" w:themeColor="text1"/>
          <w:kern w:val="0"/>
          <w:szCs w:val="28"/>
          <w14:textFill>
            <w14:solidFill>
              <w14:schemeClr w14:val="tx1"/>
            </w14:solidFill>
          </w14:textFill>
        </w:rPr>
        <w:t>谢云松（法定代表人）</w:t>
      </w:r>
    </w:p>
    <w:p>
      <w:pPr>
        <w:autoSpaceDE w:val="0"/>
        <w:autoSpaceDN w:val="0"/>
        <w:adjustRightInd w:val="0"/>
        <w:ind w:firstLine="560"/>
        <w:rPr>
          <w:color w:val="000000" w:themeColor="text1"/>
          <w:kern w:val="0"/>
          <w:szCs w:val="28"/>
          <w14:textFill>
            <w14:solidFill>
              <w14:schemeClr w14:val="tx1"/>
            </w14:solidFill>
          </w14:textFill>
        </w:rPr>
      </w:pPr>
      <w:r>
        <w:rPr>
          <w:color w:val="000000" w:themeColor="text1"/>
          <w:kern w:val="0"/>
          <w:szCs w:val="28"/>
          <w14:textFill>
            <w14:solidFill>
              <w14:schemeClr w14:val="tx1"/>
            </w14:solidFill>
          </w14:textFill>
        </w:rPr>
        <w:t>副</w:t>
      </w:r>
      <w:r>
        <w:rPr>
          <w:rFonts w:hint="eastAsia"/>
          <w:color w:val="000000" w:themeColor="text1"/>
          <w:kern w:val="0"/>
          <w:szCs w:val="28"/>
          <w14:textFill>
            <w14:solidFill>
              <w14:schemeClr w14:val="tx1"/>
            </w14:solidFill>
          </w14:textFill>
        </w:rPr>
        <w:t>组长</w:t>
      </w:r>
      <w:r>
        <w:rPr>
          <w:color w:val="000000" w:themeColor="text1"/>
          <w:kern w:val="0"/>
          <w:szCs w:val="28"/>
          <w14:textFill>
            <w14:solidFill>
              <w14:schemeClr w14:val="tx1"/>
            </w14:solidFill>
          </w14:textFill>
        </w:rPr>
        <w:t>：</w:t>
      </w:r>
      <w:r>
        <w:rPr>
          <w:rFonts w:hint="eastAsia"/>
          <w:color w:val="000000" w:themeColor="text1"/>
          <w:kern w:val="0"/>
          <w:szCs w:val="28"/>
          <w14:textFill>
            <w14:solidFill>
              <w14:schemeClr w14:val="tx1"/>
            </w14:solidFill>
          </w14:textFill>
        </w:rPr>
        <w:t>李春（安全管理员）</w:t>
      </w:r>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成员</w:t>
      </w:r>
      <w:r>
        <w:rPr>
          <w:color w:val="000000" w:themeColor="text1"/>
          <w:kern w:val="0"/>
          <w:szCs w:val="28"/>
          <w14:textFill>
            <w14:solidFill>
              <w14:schemeClr w14:val="tx1"/>
            </w14:solidFill>
          </w14:textFill>
        </w:rPr>
        <w:t>：</w:t>
      </w:r>
      <w:r>
        <w:rPr>
          <w:rFonts w:hint="eastAsia"/>
          <w:color w:val="000000" w:themeColor="text1"/>
          <w:kern w:val="0"/>
          <w:szCs w:val="28"/>
          <w14:textFill>
            <w14:solidFill>
              <w14:schemeClr w14:val="tx1"/>
            </w14:solidFill>
          </w14:textFill>
        </w:rPr>
        <w:t>谢潇、唐玉仙、白俊芳、王存荣、高玉敏、李凤萍</w:t>
      </w:r>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任命李春为企业专职安全管理人员，负责日常的安全管理工作。公司安全管理网络图见下图：</w:t>
      </w:r>
    </w:p>
    <w:p>
      <w:pPr>
        <w:autoSpaceDE w:val="0"/>
        <w:autoSpaceDN w:val="0"/>
        <w:adjustRightInd w:val="0"/>
        <w:spacing w:line="240" w:lineRule="auto"/>
        <w:ind w:firstLine="0" w:firstLineChars="0"/>
        <w:jc w:val="center"/>
        <w:rPr>
          <w:color w:val="000000" w:themeColor="text1"/>
          <w:kern w:val="0"/>
          <w:szCs w:val="28"/>
          <w14:textFill>
            <w14:solidFill>
              <w14:schemeClr w14:val="tx1"/>
            </w14:solidFill>
          </w14:textFill>
        </w:rPr>
      </w:pPr>
      <w:r>
        <w:drawing>
          <wp:inline distT="0" distB="0" distL="0" distR="0">
            <wp:extent cx="5274310" cy="3562350"/>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2"/>
                    <a:stretch>
                      <a:fillRect/>
                    </a:stretch>
                  </pic:blipFill>
                  <pic:spPr>
                    <a:xfrm>
                      <a:off x="0" y="0"/>
                      <a:ext cx="5274310" cy="3562350"/>
                    </a:xfrm>
                    <a:prstGeom prst="rect">
                      <a:avLst/>
                    </a:prstGeom>
                  </pic:spPr>
                </pic:pic>
              </a:graphicData>
            </a:graphic>
          </wp:inline>
        </w:drawing>
      </w:r>
    </w:p>
    <w:p>
      <w:pPr>
        <w:numPr>
          <w:ilvl w:val="0"/>
          <w:numId w:val="10"/>
        </w:numPr>
        <w:ind w:firstLineChars="0"/>
        <w:jc w:val="center"/>
        <w:rPr>
          <w:bCs/>
          <w:color w:val="000000" w:themeColor="text1"/>
          <w:sz w:val="24"/>
          <w:szCs w:val="24"/>
          <w14:textFill>
            <w14:solidFill>
              <w14:schemeClr w14:val="tx1"/>
            </w14:solidFill>
          </w14:textFill>
        </w:rPr>
      </w:pPr>
      <w:r>
        <w:rPr>
          <w:bCs/>
          <w:color w:val="000000" w:themeColor="text1"/>
          <w:sz w:val="24"/>
          <w:szCs w:val="24"/>
          <w14:textFill>
            <w14:solidFill>
              <w14:schemeClr w14:val="tx1"/>
            </w14:solidFill>
          </w14:textFill>
        </w:rPr>
        <w:t>玉溪玉象包装材料有限公司</w:t>
      </w:r>
      <w:r>
        <w:rPr>
          <w:rFonts w:hint="eastAsia"/>
          <w:bCs/>
          <w:color w:val="000000" w:themeColor="text1"/>
          <w:sz w:val="24"/>
          <w:szCs w:val="24"/>
          <w14:textFill>
            <w14:solidFill>
              <w14:schemeClr w14:val="tx1"/>
            </w14:solidFill>
          </w14:textFill>
        </w:rPr>
        <w:t>安全管理网络图</w:t>
      </w:r>
    </w:p>
    <w:p>
      <w:pPr>
        <w:pStyle w:val="6"/>
        <w:rPr>
          <w:color w:val="000000" w:themeColor="text1"/>
          <w14:textFill>
            <w14:solidFill>
              <w14:schemeClr w14:val="tx1"/>
            </w14:solidFill>
          </w14:textFill>
        </w:rPr>
      </w:pPr>
      <w:bookmarkStart w:id="281" w:name="_Toc23593597"/>
      <w:bookmarkStart w:id="282" w:name="_Toc7152"/>
      <w:bookmarkStart w:id="283" w:name="_Toc103178276"/>
      <w:bookmarkStart w:id="284" w:name="_Toc129520616"/>
      <w:bookmarkStart w:id="285" w:name="_Toc51340653"/>
      <w:bookmarkStart w:id="286" w:name="_Toc54294419"/>
      <w:bookmarkStart w:id="287" w:name="_Toc1384"/>
      <w:bookmarkStart w:id="288" w:name="_Toc373856881"/>
      <w:r>
        <w:rPr>
          <w:rFonts w:hint="eastAsia"/>
          <w:color w:val="000000" w:themeColor="text1"/>
          <w14:textFill>
            <w14:solidFill>
              <w14:schemeClr w14:val="tx1"/>
            </w14:solidFill>
          </w14:textFill>
        </w:rPr>
        <w:t>安生产投入</w:t>
      </w:r>
      <w:bookmarkEnd w:id="281"/>
      <w:bookmarkEnd w:id="282"/>
      <w:bookmarkEnd w:id="283"/>
      <w:bookmarkEnd w:id="284"/>
      <w:bookmarkEnd w:id="285"/>
      <w:bookmarkEnd w:id="286"/>
      <w:bookmarkEnd w:id="287"/>
    </w:p>
    <w:bookmarkEnd w:id="288"/>
    <w:p>
      <w:pPr>
        <w:autoSpaceDE w:val="0"/>
        <w:autoSpaceDN w:val="0"/>
        <w:adjustRightInd w:val="0"/>
        <w:ind w:firstLine="560"/>
        <w:rPr>
          <w:color w:val="000000" w:themeColor="text1"/>
          <w:kern w:val="0"/>
          <w:szCs w:val="28"/>
          <w14:textFill>
            <w14:solidFill>
              <w14:schemeClr w14:val="tx1"/>
            </w14:solidFill>
          </w14:textFill>
        </w:rPr>
      </w:pPr>
      <w:bookmarkStart w:id="289" w:name="_Toc373856882"/>
      <w:r>
        <w:t>玉溪玉象包装材料有限公司</w:t>
      </w:r>
      <w:r>
        <w:rPr>
          <w:rFonts w:hint="eastAsia"/>
          <w:color w:val="000000" w:themeColor="text1"/>
          <w:kern w:val="0"/>
          <w:szCs w:val="28"/>
          <w14:textFill>
            <w14:solidFill>
              <w14:schemeClr w14:val="tx1"/>
            </w14:solidFill>
          </w14:textFill>
        </w:rPr>
        <w:t>投入的安全生产费用主要包括完善、改造和维护安全生产设施设备支出；配备、维护、保养应急救援预案器材；应急救援演练支出；隐患整改；安全教育培训；劳动保护用品配备等方面。</w:t>
      </w:r>
      <w:bookmarkStart w:id="290" w:name="_Toc103178277"/>
      <w:bookmarkStart w:id="291" w:name="_Toc129520617"/>
      <w:bookmarkStart w:id="292" w:name="_Toc23593598"/>
      <w:bookmarkStart w:id="293" w:name="_Toc51340654"/>
      <w:bookmarkStart w:id="294" w:name="_Toc54294420"/>
    </w:p>
    <w:tbl>
      <w:tblPr>
        <w:tblStyle w:val="34"/>
        <w:tblW w:w="8306" w:type="dxa"/>
        <w:jc w:val="center"/>
        <w:tblLayout w:type="autofit"/>
        <w:tblCellMar>
          <w:top w:w="0" w:type="dxa"/>
          <w:left w:w="108" w:type="dxa"/>
          <w:bottom w:w="0" w:type="dxa"/>
          <w:right w:w="108" w:type="dxa"/>
        </w:tblCellMar>
      </w:tblPr>
      <w:tblGrid>
        <w:gridCol w:w="836"/>
        <w:gridCol w:w="3129"/>
        <w:gridCol w:w="3123"/>
        <w:gridCol w:w="1218"/>
      </w:tblGrid>
      <w:tr>
        <w:tblPrEx>
          <w:tblCellMar>
            <w:top w:w="0" w:type="dxa"/>
            <w:left w:w="108" w:type="dxa"/>
            <w:bottom w:w="0" w:type="dxa"/>
            <w:right w:w="108" w:type="dxa"/>
          </w:tblCellMar>
        </w:tblPrEx>
        <w:trPr>
          <w:trHeight w:val="460" w:hRule="atLeast"/>
          <w:jc w:val="center"/>
        </w:trPr>
        <w:tc>
          <w:tcPr>
            <w:tcW w:w="8306" w:type="dxa"/>
            <w:gridSpan w:val="4"/>
            <w:tcBorders>
              <w:top w:val="nil"/>
              <w:left w:val="nil"/>
              <w:bottom w:val="nil"/>
              <w:right w:val="nil"/>
            </w:tcBorders>
            <w:shd w:val="clear" w:color="auto" w:fill="auto"/>
            <w:noWrap/>
            <w:vAlign w:val="center"/>
          </w:tcPr>
          <w:p>
            <w:pPr>
              <w:numPr>
                <w:ilvl w:val="0"/>
                <w:numId w:val="11"/>
              </w:numPr>
              <w:ind w:firstLineChars="0"/>
              <w:jc w:val="center"/>
              <w:rPr>
                <w:rFonts w:hAnsi="宋体"/>
                <w:bCs/>
                <w:color w:val="000000" w:themeColor="text1"/>
                <w:sz w:val="24"/>
                <w:szCs w:val="24"/>
                <w14:textFill>
                  <w14:solidFill>
                    <w14:schemeClr w14:val="tx1"/>
                  </w14:solidFill>
                </w14:textFill>
              </w:rPr>
            </w:pPr>
            <w:r>
              <w:rPr>
                <w:rFonts w:hint="eastAsia" w:hAnsi="宋体"/>
                <w:bCs/>
                <w:color w:val="000000" w:themeColor="text1"/>
                <w:sz w:val="24"/>
                <w:szCs w:val="24"/>
                <w14:textFill>
                  <w14:solidFill>
                    <w14:schemeClr w14:val="tx1"/>
                  </w14:solidFill>
                </w14:textFill>
              </w:rPr>
              <w:t>安全投入费用明细表</w:t>
            </w:r>
          </w:p>
        </w:tc>
      </w:tr>
      <w:tr>
        <w:tblPrEx>
          <w:tblCellMar>
            <w:top w:w="0" w:type="dxa"/>
            <w:left w:w="108" w:type="dxa"/>
            <w:bottom w:w="0" w:type="dxa"/>
            <w:right w:w="108" w:type="dxa"/>
          </w:tblCellMar>
        </w:tblPrEx>
        <w:trPr>
          <w:trHeight w:val="280" w:hRule="atLeast"/>
          <w:jc w:val="center"/>
        </w:trPr>
        <w:tc>
          <w:tcPr>
            <w:tcW w:w="836" w:type="dxa"/>
            <w:tcBorders>
              <w:top w:val="nil"/>
              <w:left w:val="nil"/>
              <w:bottom w:val="nil"/>
              <w:right w:val="nil"/>
            </w:tcBorders>
            <w:shd w:val="clear" w:color="auto" w:fill="auto"/>
            <w:noWrap/>
            <w:vAlign w:val="center"/>
          </w:tcPr>
          <w:p>
            <w:pPr>
              <w:widowControl/>
              <w:spacing w:line="240" w:lineRule="auto"/>
              <w:ind w:firstLine="0" w:firstLineChars="0"/>
              <w:jc w:val="center"/>
              <w:rPr>
                <w:rFonts w:ascii="宋体" w:hAnsi="宋体" w:cs="宋体"/>
                <w:color w:val="000000"/>
                <w:kern w:val="0"/>
                <w:sz w:val="36"/>
                <w:szCs w:val="36"/>
              </w:rPr>
            </w:pPr>
          </w:p>
        </w:tc>
        <w:tc>
          <w:tcPr>
            <w:tcW w:w="3129" w:type="dxa"/>
            <w:tcBorders>
              <w:top w:val="nil"/>
              <w:left w:val="nil"/>
              <w:bottom w:val="nil"/>
              <w:right w:val="nil"/>
            </w:tcBorders>
            <w:shd w:val="clear" w:color="auto" w:fill="auto"/>
            <w:noWrap/>
            <w:vAlign w:val="center"/>
          </w:tcPr>
          <w:p>
            <w:pPr>
              <w:widowControl/>
              <w:spacing w:line="240" w:lineRule="auto"/>
              <w:ind w:firstLine="0" w:firstLineChars="0"/>
              <w:jc w:val="left"/>
              <w:rPr>
                <w:rFonts w:eastAsia="Times New Roman"/>
                <w:kern w:val="0"/>
                <w:sz w:val="20"/>
                <w:szCs w:val="20"/>
              </w:rPr>
            </w:pPr>
          </w:p>
        </w:tc>
        <w:tc>
          <w:tcPr>
            <w:tcW w:w="3123" w:type="dxa"/>
            <w:tcBorders>
              <w:top w:val="nil"/>
              <w:left w:val="nil"/>
              <w:bottom w:val="nil"/>
              <w:right w:val="nil"/>
            </w:tcBorders>
            <w:shd w:val="clear" w:color="auto" w:fill="auto"/>
            <w:noWrap/>
            <w:vAlign w:val="center"/>
          </w:tcPr>
          <w:p>
            <w:pPr>
              <w:widowControl/>
              <w:spacing w:line="240" w:lineRule="auto"/>
              <w:ind w:firstLine="0" w:firstLineChars="0"/>
              <w:jc w:val="left"/>
              <w:rPr>
                <w:rFonts w:eastAsia="Times New Roman"/>
                <w:kern w:val="0"/>
                <w:sz w:val="20"/>
                <w:szCs w:val="20"/>
              </w:rPr>
            </w:pPr>
          </w:p>
        </w:tc>
        <w:tc>
          <w:tcPr>
            <w:tcW w:w="1218" w:type="dxa"/>
            <w:tcBorders>
              <w:top w:val="nil"/>
              <w:left w:val="nil"/>
              <w:bottom w:val="nil"/>
              <w:right w:val="nil"/>
            </w:tcBorders>
            <w:shd w:val="clear" w:color="auto" w:fill="auto"/>
            <w:noWrap/>
            <w:vAlign w:val="center"/>
          </w:tcPr>
          <w:p>
            <w:pPr>
              <w:widowControl/>
              <w:spacing w:line="240" w:lineRule="auto"/>
              <w:ind w:firstLine="0" w:firstLineChars="0"/>
              <w:jc w:val="left"/>
              <w:rPr>
                <w:rFonts w:ascii="宋体" w:hAnsi="宋体" w:cs="宋体"/>
                <w:color w:val="000000"/>
                <w:kern w:val="0"/>
                <w:sz w:val="22"/>
              </w:rPr>
            </w:pPr>
            <w:r>
              <w:rPr>
                <w:rFonts w:hint="eastAsia" w:ascii="宋体" w:hAnsi="宋体" w:cs="宋体"/>
                <w:color w:val="000000"/>
                <w:kern w:val="0"/>
                <w:sz w:val="22"/>
              </w:rPr>
              <w:t>单位：元</w:t>
            </w:r>
          </w:p>
        </w:tc>
      </w:tr>
      <w:tr>
        <w:tblPrEx>
          <w:tblCellMar>
            <w:top w:w="0" w:type="dxa"/>
            <w:left w:w="108" w:type="dxa"/>
            <w:bottom w:w="0" w:type="dxa"/>
            <w:right w:w="108" w:type="dxa"/>
          </w:tblCellMar>
        </w:tblPrEx>
        <w:trPr>
          <w:trHeight w:val="450" w:hRule="atLeast"/>
          <w:jc w:val="center"/>
        </w:trPr>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序号</w:t>
            </w:r>
          </w:p>
        </w:tc>
        <w:tc>
          <w:tcPr>
            <w:tcW w:w="3129"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费用支出项目名称</w:t>
            </w:r>
          </w:p>
        </w:tc>
        <w:tc>
          <w:tcPr>
            <w:tcW w:w="3123"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费用支出金额</w:t>
            </w:r>
          </w:p>
        </w:tc>
        <w:tc>
          <w:tcPr>
            <w:tcW w:w="1218" w:type="dxa"/>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备注</w:t>
            </w:r>
          </w:p>
        </w:tc>
      </w:tr>
      <w:tr>
        <w:tblPrEx>
          <w:tblCellMar>
            <w:top w:w="0" w:type="dxa"/>
            <w:left w:w="108" w:type="dxa"/>
            <w:bottom w:w="0" w:type="dxa"/>
            <w:right w:w="108" w:type="dxa"/>
          </w:tblCellMar>
        </w:tblPrEx>
        <w:trPr>
          <w:trHeight w:val="392" w:hRule="atLeas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1</w:t>
            </w:r>
          </w:p>
        </w:tc>
        <w:tc>
          <w:tcPr>
            <w:tcW w:w="312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劳保用品</w:t>
            </w:r>
          </w:p>
        </w:tc>
        <w:tc>
          <w:tcPr>
            <w:tcW w:w="3123"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32185.7</w:t>
            </w:r>
          </w:p>
        </w:tc>
        <w:tc>
          <w:tcPr>
            <w:tcW w:w="121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p>
        </w:tc>
      </w:tr>
      <w:tr>
        <w:tblPrEx>
          <w:tblCellMar>
            <w:top w:w="0" w:type="dxa"/>
            <w:left w:w="108" w:type="dxa"/>
            <w:bottom w:w="0" w:type="dxa"/>
            <w:right w:w="108" w:type="dxa"/>
          </w:tblCellMar>
        </w:tblPrEx>
        <w:trPr>
          <w:trHeight w:val="450" w:hRule="atLeas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2</w:t>
            </w:r>
          </w:p>
        </w:tc>
        <w:tc>
          <w:tcPr>
            <w:tcW w:w="312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隐患整改</w:t>
            </w:r>
          </w:p>
        </w:tc>
        <w:tc>
          <w:tcPr>
            <w:tcW w:w="3123"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65493.8</w:t>
            </w:r>
          </w:p>
        </w:tc>
        <w:tc>
          <w:tcPr>
            <w:tcW w:w="121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p>
        </w:tc>
      </w:tr>
      <w:tr>
        <w:tblPrEx>
          <w:tblCellMar>
            <w:top w:w="0" w:type="dxa"/>
            <w:left w:w="108" w:type="dxa"/>
            <w:bottom w:w="0" w:type="dxa"/>
            <w:right w:w="108" w:type="dxa"/>
          </w:tblCellMar>
        </w:tblPrEx>
        <w:trPr>
          <w:trHeight w:val="450" w:hRule="atLeas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3</w:t>
            </w:r>
          </w:p>
        </w:tc>
        <w:tc>
          <w:tcPr>
            <w:tcW w:w="312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安全宣传费用</w:t>
            </w:r>
          </w:p>
        </w:tc>
        <w:tc>
          <w:tcPr>
            <w:tcW w:w="3123"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5349</w:t>
            </w:r>
          </w:p>
        </w:tc>
        <w:tc>
          <w:tcPr>
            <w:tcW w:w="121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p>
        </w:tc>
      </w:tr>
      <w:tr>
        <w:tblPrEx>
          <w:tblCellMar>
            <w:top w:w="0" w:type="dxa"/>
            <w:left w:w="108" w:type="dxa"/>
            <w:bottom w:w="0" w:type="dxa"/>
            <w:right w:w="108" w:type="dxa"/>
          </w:tblCellMar>
        </w:tblPrEx>
        <w:trPr>
          <w:trHeight w:val="450" w:hRule="atLeas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4</w:t>
            </w:r>
          </w:p>
        </w:tc>
        <w:tc>
          <w:tcPr>
            <w:tcW w:w="312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安全物资</w:t>
            </w:r>
          </w:p>
        </w:tc>
        <w:tc>
          <w:tcPr>
            <w:tcW w:w="3123"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21398.6</w:t>
            </w:r>
          </w:p>
        </w:tc>
        <w:tc>
          <w:tcPr>
            <w:tcW w:w="121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p>
        </w:tc>
      </w:tr>
      <w:tr>
        <w:tblPrEx>
          <w:tblCellMar>
            <w:top w:w="0" w:type="dxa"/>
            <w:left w:w="108" w:type="dxa"/>
            <w:bottom w:w="0" w:type="dxa"/>
            <w:right w:w="108" w:type="dxa"/>
          </w:tblCellMar>
        </w:tblPrEx>
        <w:trPr>
          <w:trHeight w:val="450" w:hRule="atLeast"/>
          <w:jc w:val="center"/>
        </w:trPr>
        <w:tc>
          <w:tcPr>
            <w:tcW w:w="836" w:type="dxa"/>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5</w:t>
            </w:r>
          </w:p>
        </w:tc>
        <w:tc>
          <w:tcPr>
            <w:tcW w:w="3129"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安全服务咨询费</w:t>
            </w:r>
          </w:p>
        </w:tc>
        <w:tc>
          <w:tcPr>
            <w:tcW w:w="3123"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32000</w:t>
            </w:r>
          </w:p>
        </w:tc>
        <w:tc>
          <w:tcPr>
            <w:tcW w:w="1218" w:type="dxa"/>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p>
        </w:tc>
      </w:tr>
      <w:tr>
        <w:tblPrEx>
          <w:tblCellMar>
            <w:top w:w="0" w:type="dxa"/>
            <w:left w:w="108" w:type="dxa"/>
            <w:bottom w:w="0" w:type="dxa"/>
            <w:right w:w="108" w:type="dxa"/>
          </w:tblCellMar>
        </w:tblPrEx>
        <w:trPr>
          <w:trHeight w:val="450" w:hRule="atLeast"/>
          <w:jc w:val="center"/>
        </w:trPr>
        <w:tc>
          <w:tcPr>
            <w:tcW w:w="3965" w:type="dxa"/>
            <w:gridSpan w:val="2"/>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合计</w:t>
            </w:r>
          </w:p>
        </w:tc>
        <w:tc>
          <w:tcPr>
            <w:tcW w:w="4341" w:type="dxa"/>
            <w:gridSpan w:val="2"/>
            <w:tcBorders>
              <w:top w:val="nil"/>
              <w:left w:val="nil"/>
              <w:bottom w:val="single" w:color="auto" w:sz="4" w:space="0"/>
              <w:right w:val="single" w:color="auto" w:sz="4" w:space="0"/>
            </w:tcBorders>
            <w:shd w:val="clear" w:color="auto" w:fill="auto"/>
            <w:noWrap/>
            <w:vAlign w:val="center"/>
          </w:tcPr>
          <w:p>
            <w:pPr>
              <w:widowControl/>
              <w:spacing w:line="240" w:lineRule="auto"/>
              <w:ind w:left="0" w:leftChars="0" w:right="0" w:rightChars="0" w:firstLine="0" w:firstLineChars="0"/>
              <w:jc w:val="center"/>
              <w:rPr>
                <w:rFonts w:ascii="宋体" w:hAnsi="宋体" w:cs="宋体"/>
                <w:color w:val="000000"/>
                <w:kern w:val="0"/>
                <w:sz w:val="24"/>
                <w:szCs w:val="28"/>
              </w:rPr>
            </w:pPr>
            <w:r>
              <w:rPr>
                <w:rFonts w:hint="eastAsia" w:ascii="宋体" w:hAnsi="宋体" w:cs="宋体"/>
                <w:color w:val="000000"/>
                <w:kern w:val="0"/>
                <w:sz w:val="24"/>
                <w:szCs w:val="28"/>
              </w:rPr>
              <w:t>156427.1</w:t>
            </w:r>
          </w:p>
        </w:tc>
      </w:tr>
    </w:tbl>
    <w:p>
      <w:pPr>
        <w:pStyle w:val="6"/>
        <w:rPr>
          <w:color w:val="000000" w:themeColor="text1"/>
          <w14:textFill>
            <w14:solidFill>
              <w14:schemeClr w14:val="tx1"/>
            </w14:solidFill>
          </w14:textFill>
        </w:rPr>
      </w:pPr>
      <w:bookmarkStart w:id="295" w:name="_Toc14091"/>
      <w:bookmarkStart w:id="296" w:name="_Toc4890"/>
      <w:r>
        <w:rPr>
          <w:rFonts w:hint="eastAsia"/>
          <w:color w:val="000000" w:themeColor="text1"/>
          <w14:textFill>
            <w14:solidFill>
              <w14:schemeClr w14:val="tx1"/>
            </w14:solidFill>
          </w14:textFill>
        </w:rPr>
        <w:t>管理制度、操作规程</w:t>
      </w:r>
      <w:bookmarkEnd w:id="290"/>
      <w:bookmarkEnd w:id="291"/>
      <w:bookmarkEnd w:id="292"/>
      <w:bookmarkEnd w:id="293"/>
      <w:bookmarkEnd w:id="294"/>
      <w:bookmarkEnd w:id="295"/>
      <w:bookmarkEnd w:id="296"/>
    </w:p>
    <w:bookmarkEnd w:id="289"/>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企业根据实际的安全管理需要，制定了全员安全生产责任制、安全管理制度、安全生产操作规程。</w:t>
      </w:r>
    </w:p>
    <w:p>
      <w:pPr>
        <w:numPr>
          <w:ilvl w:val="0"/>
          <w:numId w:val="11"/>
        </w:numPr>
        <w:ind w:firstLineChars="0"/>
        <w:jc w:val="center"/>
        <w:rPr>
          <w:rFonts w:hAnsi="宋体"/>
          <w:bCs/>
          <w:color w:val="000000" w:themeColor="text1"/>
          <w:sz w:val="24"/>
          <w:szCs w:val="24"/>
          <w14:textFill>
            <w14:solidFill>
              <w14:schemeClr w14:val="tx1"/>
            </w14:solidFill>
          </w14:textFill>
        </w:rPr>
      </w:pPr>
      <w:r>
        <w:rPr>
          <w:rFonts w:hint="eastAsia" w:hAnsi="宋体"/>
          <w:bCs/>
          <w:color w:val="000000" w:themeColor="text1"/>
          <w:sz w:val="24"/>
          <w:szCs w:val="24"/>
          <w14:textFill>
            <w14:solidFill>
              <w14:schemeClr w14:val="tx1"/>
            </w14:solidFill>
          </w14:textFill>
        </w:rPr>
        <w:t>安全管理制度及安全操作规程</w:t>
      </w:r>
    </w:p>
    <w:tbl>
      <w:tblPr>
        <w:tblStyle w:val="35"/>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129" w:type="dxa"/>
            <w:vAlign w:val="center"/>
          </w:tcPr>
          <w:p>
            <w:pPr>
              <w:pStyle w:val="21"/>
              <w:spacing w:line="240" w:lineRule="auto"/>
              <w:ind w:firstLine="0" w:firstLineChars="0"/>
              <w:jc w:val="center"/>
              <w:rPr>
                <w:rFonts w:ascii="Times New Roman" w:hAnsi="Times New Roman" w:eastAsia="宋体" w:cs="Times New Roman"/>
                <w:b/>
                <w:bCs/>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sz w:val="21"/>
                <w:szCs w:val="21"/>
                <w14:textFill>
                  <w14:solidFill>
                    <w14:schemeClr w14:val="tx1"/>
                  </w14:solidFill>
                </w14:textFill>
              </w:rPr>
              <w:t>序号</w:t>
            </w:r>
          </w:p>
        </w:tc>
        <w:tc>
          <w:tcPr>
            <w:tcW w:w="6804" w:type="dxa"/>
            <w:vAlign w:val="center"/>
          </w:tcPr>
          <w:p>
            <w:pPr>
              <w:pStyle w:val="21"/>
              <w:spacing w:line="240" w:lineRule="auto"/>
              <w:ind w:firstLine="0" w:firstLineChars="0"/>
              <w:jc w:val="center"/>
              <w:rPr>
                <w:rFonts w:ascii="Times New Roman" w:hAnsi="Times New Roman" w:eastAsia="宋体" w:cs="Times New Roman"/>
                <w:b/>
                <w:bCs/>
                <w:color w:val="000000" w:themeColor="text1"/>
                <w:sz w:val="21"/>
                <w:szCs w:val="21"/>
                <w14:textFill>
                  <w14:solidFill>
                    <w14:schemeClr w14:val="tx1"/>
                  </w14:solidFill>
                </w14:textFill>
              </w:rPr>
            </w:pPr>
            <w:r>
              <w:rPr>
                <w:rFonts w:hint="eastAsia" w:ascii="Times New Roman" w:hAnsi="Times New Roman" w:eastAsia="宋体" w:cs="Times New Roman"/>
                <w:b/>
                <w:bCs/>
                <w:color w:val="000000" w:themeColor="text1"/>
                <w:sz w:val="21"/>
                <w:szCs w:val="21"/>
                <w14:textFill>
                  <w14:solidFill>
                    <w14:schemeClr w14:val="tx1"/>
                  </w14:solidFill>
                </w14:textFill>
              </w:rPr>
              <w:t>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安全生产责任制度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安全生产责任考核制度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安全生产会议管理制度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安全教育培训制度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安全投入保障制度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安全风险管控制度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安全检查和隐患整改管理制度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危险作业管理制度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有限空间作业安全管理制度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职工工伤歇工及伤愈复工制度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安全检维修管理制度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消防管理制度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安全检维修管理制度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职业危害防治管理制度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事故调查处理报告制度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33" w:type="dxa"/>
            <w:gridSpan w:val="2"/>
            <w:vAlign w:val="center"/>
          </w:tcPr>
          <w:p>
            <w:pPr>
              <w:pStyle w:val="21"/>
              <w:spacing w:line="240" w:lineRule="auto"/>
              <w:ind w:firstLine="0" w:firstLineChars="0"/>
              <w:jc w:val="center"/>
              <w:rPr>
                <w:rFonts w:ascii="Times New Roman" w:hAnsi="Times New Roman" w:eastAsia="宋体" w:cs="Times New Roman"/>
                <w:b/>
                <w:color w:val="000000" w:themeColor="text1"/>
                <w:sz w:val="21"/>
                <w:szCs w:val="21"/>
                <w14:textFill>
                  <w14:solidFill>
                    <w14:schemeClr w14:val="tx1"/>
                  </w14:solidFill>
                </w14:textFill>
              </w:rPr>
            </w:pPr>
            <w:r>
              <w:rPr>
                <w:rFonts w:hint="eastAsia" w:ascii="Times New Roman" w:hAnsi="Times New Roman" w:eastAsia="宋体" w:cs="Times New Roman"/>
                <w:b/>
                <w:color w:val="000000" w:themeColor="text1"/>
                <w:sz w:val="21"/>
                <w:szCs w:val="21"/>
                <w14:textFill>
                  <w14:solidFill>
                    <w14:schemeClr w14:val="tx1"/>
                  </w14:solidFill>
                </w14:textFill>
              </w:rPr>
              <w:t>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安全操作规程十条规定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一般安全技术规程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主要工具使用安全规程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29" w:type="dxa"/>
            <w:vAlign w:val="center"/>
          </w:tcPr>
          <w:p>
            <w:pPr>
              <w:pStyle w:val="21"/>
              <w:numPr>
                <w:ilvl w:val="0"/>
                <w:numId w:val="18"/>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6804" w:type="dxa"/>
            <w:vAlign w:val="center"/>
          </w:tcPr>
          <w:p>
            <w:pPr>
              <w:pStyle w:val="21"/>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车辆安全规程</w:t>
            </w:r>
          </w:p>
        </w:tc>
      </w:tr>
    </w:tbl>
    <w:p>
      <w:pPr>
        <w:pStyle w:val="6"/>
        <w:rPr>
          <w:color w:val="000000" w:themeColor="text1"/>
          <w14:textFill>
            <w14:solidFill>
              <w14:schemeClr w14:val="tx1"/>
            </w14:solidFill>
          </w14:textFill>
        </w:rPr>
      </w:pPr>
      <w:bookmarkStart w:id="297" w:name="_Toc23593599"/>
      <w:bookmarkStart w:id="298" w:name="_Toc51340655"/>
      <w:bookmarkStart w:id="299" w:name="_Toc54294421"/>
      <w:bookmarkStart w:id="300" w:name="_Toc30706"/>
      <w:bookmarkStart w:id="301" w:name="_Toc129520618"/>
      <w:bookmarkStart w:id="302" w:name="_Toc103178278"/>
      <w:bookmarkStart w:id="303" w:name="_Toc11235"/>
      <w:bookmarkStart w:id="304" w:name="_Toc373856883"/>
      <w:r>
        <w:rPr>
          <w:rFonts w:hint="eastAsia"/>
          <w:color w:val="000000" w:themeColor="text1"/>
          <w14:textFill>
            <w14:solidFill>
              <w14:schemeClr w14:val="tx1"/>
            </w14:solidFill>
          </w14:textFill>
        </w:rPr>
        <w:t>劳动定员、安全教育培训</w:t>
      </w:r>
      <w:bookmarkEnd w:id="297"/>
      <w:r>
        <w:rPr>
          <w:rFonts w:hint="eastAsia"/>
          <w:color w:val="000000" w:themeColor="text1"/>
          <w14:textFill>
            <w14:solidFill>
              <w14:schemeClr w14:val="tx1"/>
            </w14:solidFill>
          </w14:textFill>
        </w:rPr>
        <w:t>、人员持证情况</w:t>
      </w:r>
      <w:bookmarkEnd w:id="298"/>
      <w:bookmarkEnd w:id="299"/>
      <w:bookmarkEnd w:id="300"/>
      <w:bookmarkEnd w:id="301"/>
      <w:bookmarkEnd w:id="302"/>
      <w:bookmarkEnd w:id="303"/>
    </w:p>
    <w:bookmarkEnd w:id="304"/>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玉溪玉象包装材料有限公司现有职工</w:t>
      </w:r>
      <w:r>
        <w:rPr>
          <w:color w:val="000000" w:themeColor="text1"/>
          <w:kern w:val="0"/>
          <w:szCs w:val="28"/>
          <w14:textFill>
            <w14:solidFill>
              <w14:schemeClr w14:val="tx1"/>
            </w14:solidFill>
          </w14:textFill>
        </w:rPr>
        <w:t>25</w:t>
      </w:r>
      <w:r>
        <w:rPr>
          <w:rFonts w:hint="eastAsia"/>
          <w:color w:val="000000" w:themeColor="text1"/>
          <w:kern w:val="0"/>
          <w:szCs w:val="28"/>
          <w14:textFill>
            <w14:solidFill>
              <w14:schemeClr w14:val="tx1"/>
            </w14:solidFill>
          </w14:textFill>
        </w:rPr>
        <w:t>人，实行白班工作制，年工作日约3</w:t>
      </w:r>
      <w:r>
        <w:rPr>
          <w:color w:val="000000" w:themeColor="text1"/>
          <w:kern w:val="0"/>
          <w:szCs w:val="28"/>
          <w14:textFill>
            <w14:solidFill>
              <w14:schemeClr w14:val="tx1"/>
            </w14:solidFill>
          </w14:textFill>
        </w:rPr>
        <w:t>00</w:t>
      </w:r>
      <w:r>
        <w:rPr>
          <w:rFonts w:hint="eastAsia"/>
          <w:color w:val="000000" w:themeColor="text1"/>
          <w:kern w:val="0"/>
          <w:szCs w:val="28"/>
          <w14:textFill>
            <w14:solidFill>
              <w14:schemeClr w14:val="tx1"/>
            </w14:solidFill>
          </w14:textFill>
        </w:rPr>
        <w:t>天。</w:t>
      </w:r>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企业制定了培训教育管理制度，根据培训需求制定培训教育计划，按计划组织从业人员开展相关培训。对新员工进行三级培训，对转、复岗员工进行车间、班组级培训，对从业人员开展再培训，对外来人员进行入厂安全教育。</w:t>
      </w:r>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主要负责人、安全管理人员取得安全生产管理知识培训合格证，持证台账如下表所示。</w:t>
      </w:r>
    </w:p>
    <w:p>
      <w:pPr>
        <w:numPr>
          <w:ilvl w:val="0"/>
          <w:numId w:val="11"/>
        </w:numPr>
        <w:ind w:firstLine="480"/>
        <w:jc w:val="center"/>
        <w:rPr>
          <w:rFonts w:ascii="宋体" w:hAnsi="宋体"/>
          <w:b/>
          <w:bCs/>
          <w:color w:val="000000" w:themeColor="text1"/>
          <w:kern w:val="0"/>
          <w:sz w:val="24"/>
          <w:szCs w:val="20"/>
          <w14:textFill>
            <w14:solidFill>
              <w14:schemeClr w14:val="tx1"/>
            </w14:solidFill>
          </w14:textFill>
        </w:rPr>
      </w:pPr>
      <w:r>
        <w:rPr>
          <w:rFonts w:hint="eastAsia" w:hAnsi="宋体"/>
          <w:bCs/>
          <w:color w:val="000000" w:themeColor="text1"/>
          <w:sz w:val="24"/>
          <w:szCs w:val="24"/>
          <w14:textFill>
            <w14:solidFill>
              <w14:schemeClr w14:val="tx1"/>
            </w14:solidFill>
          </w14:textFill>
        </w:rPr>
        <w:t>人员持证情况</w:t>
      </w:r>
    </w:p>
    <w:tbl>
      <w:tblPr>
        <w:tblStyle w:val="34"/>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87"/>
        <w:gridCol w:w="946"/>
        <w:gridCol w:w="1391"/>
        <w:gridCol w:w="1839"/>
        <w:gridCol w:w="1258"/>
        <w:gridCol w:w="23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403" w:type="pct"/>
            <w:shd w:val="clear" w:color="auto" w:fill="auto"/>
            <w:vAlign w:val="center"/>
          </w:tcPr>
          <w:p>
            <w:pPr>
              <w:tabs>
                <w:tab w:val="left" w:pos="7560"/>
                <w:tab w:val="left" w:pos="8100"/>
              </w:tabs>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555" w:type="pct"/>
            <w:shd w:val="clear" w:color="auto" w:fill="auto"/>
            <w:vAlign w:val="center"/>
          </w:tcPr>
          <w:p>
            <w:pPr>
              <w:tabs>
                <w:tab w:val="left" w:pos="7560"/>
                <w:tab w:val="left" w:pos="8100"/>
              </w:tabs>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姓名</w:t>
            </w:r>
          </w:p>
        </w:tc>
        <w:tc>
          <w:tcPr>
            <w:tcW w:w="816" w:type="pct"/>
            <w:shd w:val="clear" w:color="auto" w:fill="auto"/>
            <w:vAlign w:val="center"/>
          </w:tcPr>
          <w:p>
            <w:pPr>
              <w:tabs>
                <w:tab w:val="left" w:pos="7560"/>
                <w:tab w:val="left" w:pos="8100"/>
              </w:tabs>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类型</w:t>
            </w:r>
          </w:p>
        </w:tc>
        <w:tc>
          <w:tcPr>
            <w:tcW w:w="1079" w:type="pct"/>
            <w:shd w:val="clear" w:color="auto" w:fill="auto"/>
            <w:vAlign w:val="center"/>
          </w:tcPr>
          <w:p>
            <w:pPr>
              <w:tabs>
                <w:tab w:val="left" w:pos="7560"/>
                <w:tab w:val="left" w:pos="8100"/>
              </w:tabs>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证号</w:t>
            </w:r>
          </w:p>
        </w:tc>
        <w:tc>
          <w:tcPr>
            <w:tcW w:w="738" w:type="pct"/>
            <w:vAlign w:val="center"/>
          </w:tcPr>
          <w:p>
            <w:pPr>
              <w:tabs>
                <w:tab w:val="left" w:pos="7560"/>
                <w:tab w:val="left" w:pos="8100"/>
              </w:tabs>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有效期</w:t>
            </w:r>
          </w:p>
        </w:tc>
        <w:tc>
          <w:tcPr>
            <w:tcW w:w="1407" w:type="pct"/>
            <w:vAlign w:val="center"/>
          </w:tcPr>
          <w:p>
            <w:pPr>
              <w:tabs>
                <w:tab w:val="left" w:pos="7560"/>
                <w:tab w:val="left" w:pos="8100"/>
              </w:tabs>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lang w:val="en-US" w:eastAsia="zh-CN"/>
                <w14:textFill>
                  <w14:solidFill>
                    <w14:schemeClr w14:val="tx1"/>
                  </w14:solidFill>
                </w14:textFill>
              </w:rPr>
              <w:t>培训</w:t>
            </w:r>
            <w:r>
              <w:rPr>
                <w:b/>
                <w:bCs/>
                <w:color w:val="000000" w:themeColor="text1"/>
                <w:sz w:val="21"/>
                <w:szCs w:val="21"/>
                <w14:textFill>
                  <w14:solidFill>
                    <w14:schemeClr w14:val="tx1"/>
                  </w14:solidFill>
                </w14:textFill>
              </w:rPr>
              <w:t>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03" w:type="pct"/>
            <w:shd w:val="clear" w:color="auto" w:fill="auto"/>
            <w:vAlign w:val="center"/>
          </w:tcPr>
          <w:p>
            <w:pPr>
              <w:pStyle w:val="50"/>
              <w:numPr>
                <w:ilvl w:val="0"/>
                <w:numId w:val="19"/>
              </w:numPr>
              <w:tabs>
                <w:tab w:val="left" w:pos="7560"/>
                <w:tab w:val="left" w:pos="8100"/>
              </w:tabs>
              <w:spacing w:line="240" w:lineRule="auto"/>
              <w:ind w:firstLineChars="0"/>
              <w:jc w:val="center"/>
              <w:rPr>
                <w:color w:val="000000" w:themeColor="text1"/>
                <w:sz w:val="21"/>
                <w:szCs w:val="21"/>
                <w14:textFill>
                  <w14:solidFill>
                    <w14:schemeClr w14:val="tx1"/>
                  </w14:solidFill>
                </w14:textFill>
              </w:rPr>
            </w:pPr>
          </w:p>
        </w:tc>
        <w:tc>
          <w:tcPr>
            <w:tcW w:w="555" w:type="pct"/>
            <w:shd w:val="clear" w:color="auto" w:fill="auto"/>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谢云松</w:t>
            </w:r>
          </w:p>
        </w:tc>
        <w:tc>
          <w:tcPr>
            <w:tcW w:w="816" w:type="pct"/>
            <w:shd w:val="clear" w:color="auto" w:fill="auto"/>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主要负责人</w:t>
            </w:r>
          </w:p>
        </w:tc>
        <w:tc>
          <w:tcPr>
            <w:tcW w:w="1079" w:type="pct"/>
            <w:shd w:val="clear" w:color="auto" w:fill="auto"/>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F</w:t>
            </w:r>
            <w:r>
              <w:rPr>
                <w:color w:val="000000" w:themeColor="text1"/>
                <w:sz w:val="21"/>
                <w:szCs w:val="21"/>
                <w14:textFill>
                  <w14:solidFill>
                    <w14:schemeClr w14:val="tx1"/>
                  </w14:solidFill>
                </w14:textFill>
              </w:rPr>
              <w:t>J7902023FZ2213</w:t>
            </w:r>
          </w:p>
        </w:tc>
        <w:tc>
          <w:tcPr>
            <w:tcW w:w="738" w:type="pct"/>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026.08.06</w:t>
            </w:r>
          </w:p>
        </w:tc>
        <w:tc>
          <w:tcPr>
            <w:tcW w:w="1407" w:type="pct"/>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玉溪惠人信息电子科技有限公司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03" w:type="pct"/>
            <w:shd w:val="clear" w:color="auto" w:fill="auto"/>
            <w:vAlign w:val="center"/>
          </w:tcPr>
          <w:p>
            <w:pPr>
              <w:pStyle w:val="50"/>
              <w:numPr>
                <w:ilvl w:val="0"/>
                <w:numId w:val="19"/>
              </w:numPr>
              <w:tabs>
                <w:tab w:val="left" w:pos="7560"/>
                <w:tab w:val="left" w:pos="8100"/>
              </w:tabs>
              <w:spacing w:line="240" w:lineRule="auto"/>
              <w:ind w:firstLineChars="0"/>
              <w:jc w:val="center"/>
              <w:rPr>
                <w:color w:val="000000" w:themeColor="text1"/>
                <w:sz w:val="21"/>
                <w:szCs w:val="21"/>
                <w14:textFill>
                  <w14:solidFill>
                    <w14:schemeClr w14:val="tx1"/>
                  </w14:solidFill>
                </w14:textFill>
              </w:rPr>
            </w:pPr>
          </w:p>
        </w:tc>
        <w:tc>
          <w:tcPr>
            <w:tcW w:w="555" w:type="pct"/>
            <w:shd w:val="clear" w:color="auto" w:fill="auto"/>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李春</w:t>
            </w:r>
          </w:p>
        </w:tc>
        <w:tc>
          <w:tcPr>
            <w:tcW w:w="816" w:type="pct"/>
            <w:shd w:val="clear" w:color="auto" w:fill="auto"/>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安全管理员</w:t>
            </w:r>
          </w:p>
        </w:tc>
        <w:tc>
          <w:tcPr>
            <w:tcW w:w="1079" w:type="pct"/>
            <w:shd w:val="clear" w:color="auto" w:fill="auto"/>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F</w:t>
            </w:r>
            <w:r>
              <w:rPr>
                <w:color w:val="000000" w:themeColor="text1"/>
                <w:sz w:val="21"/>
                <w:szCs w:val="21"/>
                <w14:textFill>
                  <w14:solidFill>
                    <w14:schemeClr w14:val="tx1"/>
                  </w14:solidFill>
                </w14:textFill>
              </w:rPr>
              <w:t>J7902023FZ2222</w:t>
            </w:r>
          </w:p>
        </w:tc>
        <w:tc>
          <w:tcPr>
            <w:tcW w:w="738" w:type="pct"/>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r>
              <w:rPr>
                <w:color w:val="000000" w:themeColor="text1"/>
                <w:sz w:val="21"/>
                <w:szCs w:val="21"/>
                <w14:textFill>
                  <w14:solidFill>
                    <w14:schemeClr w14:val="tx1"/>
                  </w14:solidFill>
                </w14:textFill>
              </w:rPr>
              <w:t>026.08.06</w:t>
            </w:r>
          </w:p>
        </w:tc>
        <w:tc>
          <w:tcPr>
            <w:tcW w:w="1407" w:type="pct"/>
            <w:vAlign w:val="center"/>
          </w:tcPr>
          <w:p>
            <w:pPr>
              <w:tabs>
                <w:tab w:val="left" w:pos="7560"/>
                <w:tab w:val="left" w:pos="8100"/>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玉溪惠人信息电子科技有限公司</w:t>
            </w:r>
          </w:p>
        </w:tc>
      </w:tr>
    </w:tbl>
    <w:p>
      <w:pPr>
        <w:pStyle w:val="6"/>
        <w:rPr>
          <w:color w:val="000000" w:themeColor="text1"/>
          <w14:textFill>
            <w14:solidFill>
              <w14:schemeClr w14:val="tx1"/>
            </w14:solidFill>
          </w14:textFill>
        </w:rPr>
      </w:pPr>
      <w:bookmarkStart w:id="305" w:name="_Toc28228"/>
      <w:bookmarkStart w:id="306" w:name="_Toc23593600"/>
      <w:bookmarkStart w:id="307" w:name="_Toc54294422"/>
      <w:bookmarkStart w:id="308" w:name="_Toc129520619"/>
      <w:bookmarkStart w:id="309" w:name="_Toc51340656"/>
      <w:bookmarkStart w:id="310" w:name="_Toc103178279"/>
      <w:bookmarkStart w:id="311" w:name="_Toc17819"/>
      <w:bookmarkStart w:id="312" w:name="_Toc373856889"/>
      <w:r>
        <w:rPr>
          <w:rFonts w:hint="eastAsia"/>
          <w:color w:val="000000" w:themeColor="text1"/>
          <w14:textFill>
            <w14:solidFill>
              <w14:schemeClr w14:val="tx1"/>
            </w14:solidFill>
          </w14:textFill>
        </w:rPr>
        <w:t>应急救援</w:t>
      </w:r>
      <w:bookmarkEnd w:id="305"/>
      <w:bookmarkEnd w:id="306"/>
      <w:bookmarkEnd w:id="307"/>
      <w:bookmarkEnd w:id="308"/>
      <w:bookmarkEnd w:id="309"/>
      <w:bookmarkEnd w:id="310"/>
      <w:bookmarkEnd w:id="311"/>
    </w:p>
    <w:bookmarkEnd w:id="312"/>
    <w:p>
      <w:pPr>
        <w:autoSpaceDE w:val="0"/>
        <w:autoSpaceDN w:val="0"/>
        <w:adjustRightInd w:val="0"/>
        <w:ind w:firstLine="560"/>
        <w:rPr>
          <w:rFonts w:hint="default" w:eastAsia="宋体"/>
          <w:color w:val="000000" w:themeColor="text1"/>
          <w:kern w:val="0"/>
          <w:szCs w:val="28"/>
          <w:highlight w:val="none"/>
          <w:lang w:val="en-US" w:eastAsia="zh-CN"/>
          <w14:textFill>
            <w14:solidFill>
              <w14:schemeClr w14:val="tx1"/>
            </w14:solidFill>
          </w14:textFill>
        </w:rPr>
      </w:pPr>
      <w:bookmarkStart w:id="313" w:name="_Toc373856890"/>
      <w:r>
        <w:rPr>
          <w:rFonts w:hint="eastAsia"/>
          <w:color w:val="000000" w:themeColor="text1"/>
          <w:kern w:val="0"/>
          <w:szCs w:val="28"/>
          <w:highlight w:val="none"/>
          <w14:textFill>
            <w14:solidFill>
              <w14:schemeClr w14:val="tx1"/>
            </w14:solidFill>
          </w14:textFill>
        </w:rPr>
        <w:t>企业编制了《</w:t>
      </w:r>
      <w:r>
        <w:rPr>
          <w:color w:val="000000" w:themeColor="text1"/>
          <w:highlight w:val="none"/>
          <w14:textFill>
            <w14:solidFill>
              <w14:schemeClr w14:val="tx1"/>
            </w14:solidFill>
          </w14:textFill>
        </w:rPr>
        <w:t>玉溪玉象包装材料有限公司</w:t>
      </w:r>
      <w:r>
        <w:rPr>
          <w:rFonts w:hint="eastAsia"/>
          <w:color w:val="000000" w:themeColor="text1"/>
          <w:highlight w:val="none"/>
          <w14:textFill>
            <w14:solidFill>
              <w14:schemeClr w14:val="tx1"/>
            </w14:solidFill>
          </w14:textFill>
        </w:rPr>
        <w:t>应急预案</w:t>
      </w:r>
      <w:r>
        <w:rPr>
          <w:rFonts w:hint="eastAsia"/>
          <w:color w:val="000000" w:themeColor="text1"/>
          <w:kern w:val="0"/>
          <w:szCs w:val="28"/>
          <w:highlight w:val="none"/>
          <w14:textFill>
            <w14:solidFill>
              <w14:schemeClr w14:val="tx1"/>
            </w14:solidFill>
          </w14:textFill>
        </w:rPr>
        <w:t>》，成立了应急救援小组，明确了小组及各成员的职责、分工，公布了相关的应急电话，制订了应急响应程序及处置措施，配置了相应应急救援物资</w:t>
      </w:r>
      <w:bookmarkEnd w:id="313"/>
      <w:bookmarkStart w:id="314" w:name="_Toc54294426"/>
      <w:bookmarkStart w:id="315" w:name="_Toc23593604"/>
      <w:bookmarkStart w:id="316" w:name="_Toc51340660"/>
      <w:bookmarkStart w:id="317" w:name="_Toc103178281"/>
      <w:r>
        <w:rPr>
          <w:rFonts w:hint="eastAsia"/>
          <w:color w:val="000000" w:themeColor="text1"/>
          <w:kern w:val="0"/>
          <w:szCs w:val="28"/>
          <w:highlight w:val="none"/>
          <w:lang w:eastAsia="zh-CN"/>
          <w14:textFill>
            <w14:solidFill>
              <w14:schemeClr w14:val="tx1"/>
            </w14:solidFill>
          </w14:textFill>
        </w:rPr>
        <w:t>，</w:t>
      </w:r>
      <w:r>
        <w:rPr>
          <w:rFonts w:hint="eastAsia"/>
          <w:color w:val="000000" w:themeColor="text1"/>
          <w:kern w:val="0"/>
          <w:szCs w:val="28"/>
          <w:highlight w:val="none"/>
          <w:lang w:val="en-US" w:eastAsia="zh-CN"/>
          <w14:textFill>
            <w14:solidFill>
              <w14:schemeClr w14:val="tx1"/>
            </w14:solidFill>
          </w14:textFill>
        </w:rPr>
        <w:t>并按要求定期开展应急演练。应急预案已按要求到玉溪市红塔区进行了备案（备案号530402-2023-0072）。</w:t>
      </w:r>
    </w:p>
    <w:p>
      <w:pPr>
        <w:pStyle w:val="5"/>
        <w:rPr>
          <w:color w:val="000000" w:themeColor="text1"/>
          <w14:textFill>
            <w14:solidFill>
              <w14:schemeClr w14:val="tx1"/>
            </w14:solidFill>
          </w14:textFill>
        </w:rPr>
      </w:pPr>
      <w:bookmarkStart w:id="318" w:name="_Toc20777"/>
      <w:bookmarkStart w:id="319" w:name="_Toc129520620"/>
      <w:bookmarkStart w:id="320" w:name="_Toc3881"/>
      <w:r>
        <w:rPr>
          <w:rStyle w:val="43"/>
          <w:rFonts w:hint="eastAsia"/>
          <w:b/>
          <w:bCs/>
          <w:color w:val="000000" w:themeColor="text1"/>
          <w14:textFill>
            <w14:solidFill>
              <w14:schemeClr w14:val="tx1"/>
            </w14:solidFill>
          </w14:textFill>
        </w:rPr>
        <w:t>项目投产以来的安全生产情况</w:t>
      </w:r>
      <w:bookmarkEnd w:id="314"/>
      <w:bookmarkEnd w:id="315"/>
      <w:bookmarkEnd w:id="316"/>
      <w:bookmarkEnd w:id="317"/>
      <w:bookmarkEnd w:id="318"/>
      <w:bookmarkEnd w:id="319"/>
      <w:bookmarkEnd w:id="320"/>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本项目自生产以来，严格按照国家安全生产法律法规要求进行生产，建立了</w:t>
      </w:r>
      <w:r>
        <w:rPr>
          <w:rFonts w:hint="eastAsia"/>
          <w:color w:val="000000" w:themeColor="text1"/>
          <w:kern w:val="0"/>
          <w:szCs w:val="28"/>
          <w:lang w:eastAsia="zh-CN"/>
          <w14:textFill>
            <w14:solidFill>
              <w14:schemeClr w14:val="tx1"/>
            </w14:solidFill>
          </w14:textFill>
        </w:rPr>
        <w:t>较为</w:t>
      </w:r>
      <w:r>
        <w:rPr>
          <w:rFonts w:hint="eastAsia"/>
          <w:color w:val="000000" w:themeColor="text1"/>
          <w:kern w:val="0"/>
          <w:szCs w:val="28"/>
          <w14:textFill>
            <w14:solidFill>
              <w14:schemeClr w14:val="tx1"/>
            </w14:solidFill>
          </w14:textFill>
        </w:rPr>
        <w:t>完善的安全责任制、安全管理制度、安全操作规程、事故应急救援，以及安全管理台账，根据企业提供的证明，企业投产以来未发生人员伤亡事故。生产以来的基本情况如下：</w:t>
      </w:r>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1.企业建立了安全教育培训体系，定期或不定期开展从业人员学习培训。</w:t>
      </w:r>
    </w:p>
    <w:p>
      <w:pPr>
        <w:autoSpaceDE w:val="0"/>
        <w:autoSpaceDN w:val="0"/>
        <w:adjustRightInd w:val="0"/>
        <w:ind w:firstLine="560"/>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2</w:t>
      </w:r>
      <w:r>
        <w:rPr>
          <w:color w:val="000000" w:themeColor="text1"/>
          <w:kern w:val="0"/>
          <w:szCs w:val="28"/>
          <w14:textFill>
            <w14:solidFill>
              <w14:schemeClr w14:val="tx1"/>
            </w14:solidFill>
          </w14:textFill>
        </w:rPr>
        <w:t>.</w:t>
      </w:r>
      <w:r>
        <w:rPr>
          <w:rFonts w:hint="eastAsia"/>
          <w:color w:val="000000" w:themeColor="text1"/>
          <w:kern w:val="0"/>
          <w:szCs w:val="28"/>
          <w14:textFill>
            <w14:solidFill>
              <w14:schemeClr w14:val="tx1"/>
            </w14:solidFill>
          </w14:textFill>
        </w:rPr>
        <w:t>企业制定了安全检查及隐患排查治理制度，在全厂范围内，每季度至少组织开展一次综合性安全生产大检查，车间每周开展安全检查，对检查出的隐患严格落实整改，并做好了相关资料的收集存档工作，消除安全隐患，在很大程度上保障了生产设施设备的安全运行，确保了安全形势的稳步发展。</w:t>
      </w:r>
    </w:p>
    <w:p>
      <w:pPr>
        <w:autoSpaceDE w:val="0"/>
        <w:autoSpaceDN w:val="0"/>
        <w:adjustRightInd w:val="0"/>
        <w:ind w:firstLine="560"/>
        <w:rPr>
          <w:rFonts w:hint="eastAsia"/>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3.企业严格遵循国家的安全生产方针</w:t>
      </w:r>
      <w:r>
        <w:rPr>
          <w:rFonts w:hint="eastAsia"/>
          <w:color w:val="000000" w:themeColor="text1"/>
          <w:kern w:val="0"/>
          <w:szCs w:val="28"/>
          <w:lang w:eastAsia="zh-CN"/>
          <w14:textFill>
            <w14:solidFill>
              <w14:schemeClr w14:val="tx1"/>
            </w14:solidFill>
          </w14:textFill>
        </w:rPr>
        <w:t>及</w:t>
      </w:r>
      <w:r>
        <w:rPr>
          <w:rFonts w:hint="eastAsia"/>
          <w:color w:val="000000" w:themeColor="text1"/>
          <w:kern w:val="0"/>
          <w:szCs w:val="28"/>
          <w14:textFill>
            <w14:solidFill>
              <w14:schemeClr w14:val="tx1"/>
            </w14:solidFill>
          </w14:textFill>
        </w:rPr>
        <w:t>各类安全生产法律法规，认真组织开展各项安全工作，充分落实安全主体责任。</w:t>
      </w:r>
    </w:p>
    <w:p>
      <w:pPr>
        <w:autoSpaceDE w:val="0"/>
        <w:autoSpaceDN w:val="0"/>
        <w:adjustRightInd w:val="0"/>
        <w:ind w:firstLine="560"/>
        <w:rPr>
          <w:rFonts w:hint="default" w:eastAsia="宋体"/>
          <w:lang w:val="en-US" w:eastAsia="zh-CN"/>
        </w:rPr>
        <w:sectPr>
          <w:footerReference r:id="rId18" w:type="default"/>
          <w:pgSz w:w="11906" w:h="16838"/>
          <w:pgMar w:top="1440" w:right="1800" w:bottom="1440" w:left="1800" w:header="850" w:footer="992" w:gutter="0"/>
          <w:pgNumType w:fmt="decimal"/>
          <w:cols w:space="708" w:num="1"/>
          <w:docGrid w:type="lines" w:linePitch="360" w:charSpace="0"/>
        </w:sectPr>
      </w:pPr>
      <w:r>
        <w:rPr>
          <w:rFonts w:hint="eastAsia"/>
          <w:lang w:val="en-US" w:eastAsia="zh-CN"/>
        </w:rPr>
        <w:t>公司从建厂之日</w:t>
      </w:r>
      <w:r>
        <w:rPr>
          <w:rFonts w:hint="eastAsia"/>
        </w:rPr>
        <w:t>至评价基准日</w:t>
      </w:r>
      <w:r>
        <w:rPr>
          <w:rFonts w:hint="eastAsia"/>
          <w:lang w:eastAsia="zh-CN"/>
        </w:rPr>
        <w:t>，</w:t>
      </w:r>
      <w:r>
        <w:rPr>
          <w:rFonts w:hint="eastAsia"/>
        </w:rPr>
        <w:t>未发生</w:t>
      </w:r>
      <w:r>
        <w:rPr>
          <w:rFonts w:hint="eastAsia"/>
          <w:lang w:val="en-US" w:eastAsia="zh-CN"/>
        </w:rPr>
        <w:t>人员伤亡安全事故。</w:t>
      </w:r>
    </w:p>
    <w:p>
      <w:pPr>
        <w:pStyle w:val="4"/>
        <w:ind w:firstLine="883"/>
        <w:rPr>
          <w:color w:val="000000" w:themeColor="text1"/>
          <w14:textFill>
            <w14:solidFill>
              <w14:schemeClr w14:val="tx1"/>
            </w14:solidFill>
          </w14:textFill>
        </w:rPr>
      </w:pPr>
      <w:bookmarkStart w:id="321" w:name="_Toc129520621"/>
      <w:bookmarkStart w:id="322" w:name="_Toc17439"/>
      <w:bookmarkStart w:id="323" w:name="_Toc103178282"/>
      <w:bookmarkStart w:id="324" w:name="_Toc51340661"/>
      <w:bookmarkStart w:id="325" w:name="_Toc54294427"/>
      <w:bookmarkStart w:id="326" w:name="_Toc458245978"/>
      <w:bookmarkStart w:id="327" w:name="_Toc201697579"/>
      <w:bookmarkStart w:id="328" w:name="_Toc26001"/>
      <w:r>
        <w:rPr>
          <w:color w:val="000000" w:themeColor="text1"/>
          <w14:textFill>
            <w14:solidFill>
              <w14:schemeClr w14:val="tx1"/>
            </w14:solidFill>
          </w14:textFill>
        </w:rPr>
        <w:t>主要危险、有害因素识别</w:t>
      </w:r>
      <w:bookmarkEnd w:id="321"/>
      <w:bookmarkEnd w:id="322"/>
      <w:bookmarkEnd w:id="323"/>
      <w:bookmarkEnd w:id="324"/>
      <w:bookmarkEnd w:id="325"/>
      <w:bookmarkEnd w:id="326"/>
      <w:bookmarkEnd w:id="327"/>
      <w:bookmarkEnd w:id="328"/>
    </w:p>
    <w:p>
      <w:pPr>
        <w:pStyle w:val="5"/>
        <w:rPr>
          <w:snapToGrid w:val="0"/>
          <w:color w:val="000000" w:themeColor="text1"/>
          <w14:textFill>
            <w14:solidFill>
              <w14:schemeClr w14:val="tx1"/>
            </w14:solidFill>
          </w14:textFill>
        </w:rPr>
      </w:pPr>
      <w:bookmarkStart w:id="329" w:name="_Toc54294428"/>
      <w:bookmarkStart w:id="330" w:name="_Toc4291"/>
      <w:bookmarkStart w:id="331" w:name="_Toc201697580"/>
      <w:bookmarkStart w:id="332" w:name="_Toc458245979"/>
      <w:bookmarkStart w:id="333" w:name="_Toc121910214"/>
      <w:bookmarkStart w:id="334" w:name="_Toc103178283"/>
      <w:bookmarkStart w:id="335" w:name="_Toc129520622"/>
      <w:bookmarkStart w:id="336" w:name="_Toc51340662"/>
      <w:bookmarkStart w:id="337" w:name="_Toc9102"/>
      <w:r>
        <w:rPr>
          <w:snapToGrid w:val="0"/>
          <w:color w:val="000000" w:themeColor="text1"/>
          <w14:textFill>
            <w14:solidFill>
              <w14:schemeClr w14:val="tx1"/>
            </w14:solidFill>
          </w14:textFill>
        </w:rPr>
        <w:t>辨识与分析的目的</w:t>
      </w:r>
      <w:bookmarkEnd w:id="329"/>
      <w:bookmarkEnd w:id="330"/>
      <w:bookmarkEnd w:id="331"/>
      <w:bookmarkEnd w:id="332"/>
      <w:bookmarkEnd w:id="333"/>
      <w:bookmarkEnd w:id="334"/>
      <w:bookmarkEnd w:id="335"/>
      <w:bookmarkEnd w:id="336"/>
      <w:bookmarkEnd w:id="337"/>
    </w:p>
    <w:p>
      <w:pPr>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危险、有害因素辨识与分析是安全评价的基础。</w:t>
      </w:r>
    </w:p>
    <w:p>
      <w:pPr>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危险因素是指系统（人、机械、材料、设施、工艺、环境）中存在的，能对人造成伤亡，对物造成突发性损害的因素。</w:t>
      </w:r>
    </w:p>
    <w:p>
      <w:pPr>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有害因素是指影响人的身体健康，导致疾病，或对物造成慢性损害的因素。</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主要危险、有害因素的识别，就是找出生产系统中最有可能引发重大事故，导致不良后果的材、物、工艺过程、设施和环境特征等，识别可能发生的事故、后果和条件，以便采取预防和控制措施。</w:t>
      </w:r>
    </w:p>
    <w:p>
      <w:pPr>
        <w:pStyle w:val="5"/>
        <w:rPr>
          <w:snapToGrid w:val="0"/>
          <w:color w:val="000000" w:themeColor="text1"/>
          <w14:textFill>
            <w14:solidFill>
              <w14:schemeClr w14:val="tx1"/>
            </w14:solidFill>
          </w14:textFill>
        </w:rPr>
      </w:pPr>
      <w:bookmarkStart w:id="338" w:name="_Toc201697581"/>
      <w:bookmarkStart w:id="339" w:name="_Toc121910215"/>
      <w:bookmarkStart w:id="340" w:name="_Toc458245980"/>
      <w:bookmarkStart w:id="341" w:name="_Toc4341"/>
      <w:bookmarkStart w:id="342" w:name="_Toc51340663"/>
      <w:bookmarkStart w:id="343" w:name="_Toc103178284"/>
      <w:bookmarkStart w:id="344" w:name="_Toc129520623"/>
      <w:bookmarkStart w:id="345" w:name="_Toc54294429"/>
      <w:bookmarkStart w:id="346" w:name="_Toc22187"/>
      <w:r>
        <w:rPr>
          <w:snapToGrid w:val="0"/>
          <w:color w:val="000000" w:themeColor="text1"/>
          <w14:textFill>
            <w14:solidFill>
              <w14:schemeClr w14:val="tx1"/>
            </w14:solidFill>
          </w14:textFill>
        </w:rPr>
        <w:t>辨识与分析的</w:t>
      </w:r>
      <w:bookmarkEnd w:id="338"/>
      <w:bookmarkEnd w:id="339"/>
      <w:r>
        <w:rPr>
          <w:snapToGrid w:val="0"/>
          <w:color w:val="000000" w:themeColor="text1"/>
          <w14:textFill>
            <w14:solidFill>
              <w14:schemeClr w14:val="tx1"/>
            </w14:solidFill>
          </w14:textFill>
        </w:rPr>
        <w:t>依据</w:t>
      </w:r>
      <w:bookmarkEnd w:id="340"/>
      <w:bookmarkEnd w:id="341"/>
      <w:bookmarkEnd w:id="342"/>
      <w:bookmarkEnd w:id="343"/>
      <w:bookmarkEnd w:id="344"/>
      <w:bookmarkEnd w:id="345"/>
      <w:bookmarkEnd w:id="346"/>
    </w:p>
    <w:p>
      <w:pPr>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按照《企业职工伤亡事故分类》（GB6441-1986），综合考虑起因物、引起事故的诱导性原因、致害物、伤害方式等，将</w:t>
      </w:r>
      <w:r>
        <w:rPr>
          <w:rFonts w:hint="eastAsia"/>
          <w:snapToGrid w:val="0"/>
          <w:color w:val="000000" w:themeColor="text1"/>
          <w:kern w:val="0"/>
          <w:szCs w:val="28"/>
          <w14:textFill>
            <w14:solidFill>
              <w14:schemeClr w14:val="tx1"/>
            </w14:solidFill>
          </w14:textFill>
        </w:rPr>
        <w:t>事故类别</w:t>
      </w:r>
      <w:r>
        <w:rPr>
          <w:snapToGrid w:val="0"/>
          <w:color w:val="000000" w:themeColor="text1"/>
          <w:kern w:val="0"/>
          <w:szCs w:val="28"/>
          <w14:textFill>
            <w14:solidFill>
              <w14:schemeClr w14:val="tx1"/>
            </w14:solidFill>
          </w14:textFill>
        </w:rPr>
        <w:t>分为20类，分别为物体打击、车辆伤害、机械伤害、起重伤害、触电、淹溺、灼烫、火灾、高处坠落、坍塌、冒顶片帮、透水、放炮、瓦斯爆炸、火药爆炸、锅炉爆炸、容器爆炸、其他爆炸、中毒和窒息及其他伤害。</w:t>
      </w:r>
    </w:p>
    <w:p>
      <w:pPr>
        <w:keepNext w:val="0"/>
        <w:keepLines w:val="0"/>
        <w:pageBreakBefore w:val="0"/>
        <w:widowControl w:val="0"/>
        <w:kinsoku/>
        <w:wordWrap/>
        <w:topLinePunct/>
        <w:bidi w:val="0"/>
        <w:ind w:firstLine="560"/>
        <w:rPr>
          <w:rFonts w:hint="eastAsia"/>
          <w:szCs w:val="28"/>
        </w:rPr>
      </w:pPr>
      <w:bookmarkStart w:id="347" w:name="_Toc6644"/>
      <w:bookmarkStart w:id="348" w:name="_Toc129520624"/>
      <w:bookmarkStart w:id="349" w:name="_Toc201697582"/>
      <w:bookmarkStart w:id="350" w:name="_Toc458245981"/>
      <w:bookmarkStart w:id="351" w:name="_Toc54294430"/>
      <w:bookmarkStart w:id="352" w:name="_Toc51340664"/>
      <w:bookmarkStart w:id="353" w:name="_Toc103178285"/>
      <w:r>
        <w:rPr>
          <w:rFonts w:hint="eastAsia"/>
          <w:szCs w:val="28"/>
        </w:rPr>
        <w:t>根据《生产过程危险和有害因素分类与代码》（GB/T13861-20</w:t>
      </w:r>
      <w:r>
        <w:rPr>
          <w:szCs w:val="28"/>
        </w:rPr>
        <w:t>22</w:t>
      </w:r>
      <w:r>
        <w:rPr>
          <w:rFonts w:hint="eastAsia"/>
          <w:szCs w:val="28"/>
        </w:rPr>
        <w:t>）的规定，将危险因素分为四类：</w:t>
      </w:r>
    </w:p>
    <w:p>
      <w:pPr>
        <w:keepNext w:val="0"/>
        <w:keepLines w:val="0"/>
        <w:pageBreakBefore w:val="0"/>
        <w:widowControl w:val="0"/>
        <w:kinsoku/>
        <w:wordWrap/>
        <w:topLinePunct/>
        <w:bidi w:val="0"/>
        <w:ind w:firstLine="560"/>
        <w:rPr>
          <w:rFonts w:hint="eastAsia"/>
          <w:szCs w:val="28"/>
        </w:rPr>
      </w:pPr>
      <w:r>
        <w:rPr>
          <w:rFonts w:hint="eastAsia"/>
          <w:szCs w:val="28"/>
        </w:rPr>
        <w:t>一、人的因素</w:t>
      </w:r>
    </w:p>
    <w:p>
      <w:pPr>
        <w:keepNext w:val="0"/>
        <w:keepLines w:val="0"/>
        <w:pageBreakBefore w:val="0"/>
        <w:widowControl w:val="0"/>
        <w:kinsoku/>
        <w:wordWrap/>
        <w:topLinePunct/>
        <w:bidi w:val="0"/>
        <w:ind w:firstLine="560"/>
        <w:rPr>
          <w:rFonts w:hint="eastAsia"/>
          <w:szCs w:val="28"/>
        </w:rPr>
      </w:pPr>
      <w:r>
        <w:rPr>
          <w:rFonts w:hint="eastAsia"/>
          <w:szCs w:val="28"/>
        </w:rPr>
        <w:t>1.心理、生理性危险和有害因素；</w:t>
      </w:r>
    </w:p>
    <w:p>
      <w:pPr>
        <w:keepNext w:val="0"/>
        <w:keepLines w:val="0"/>
        <w:pageBreakBefore w:val="0"/>
        <w:widowControl w:val="0"/>
        <w:kinsoku/>
        <w:wordWrap/>
        <w:topLinePunct/>
        <w:bidi w:val="0"/>
        <w:ind w:firstLine="560"/>
        <w:rPr>
          <w:rFonts w:hint="eastAsia"/>
          <w:szCs w:val="28"/>
        </w:rPr>
      </w:pPr>
      <w:r>
        <w:rPr>
          <w:rFonts w:hint="eastAsia"/>
          <w:szCs w:val="28"/>
        </w:rPr>
        <w:t>2.行为性危险和有害因素。</w:t>
      </w:r>
    </w:p>
    <w:p>
      <w:pPr>
        <w:keepNext w:val="0"/>
        <w:keepLines w:val="0"/>
        <w:pageBreakBefore w:val="0"/>
        <w:widowControl w:val="0"/>
        <w:kinsoku/>
        <w:wordWrap/>
        <w:topLinePunct/>
        <w:bidi w:val="0"/>
        <w:ind w:firstLine="560"/>
        <w:rPr>
          <w:rFonts w:hint="eastAsia"/>
          <w:szCs w:val="28"/>
        </w:rPr>
      </w:pPr>
      <w:r>
        <w:rPr>
          <w:rFonts w:hint="eastAsia"/>
          <w:szCs w:val="28"/>
        </w:rPr>
        <w:t>二、物的因素</w:t>
      </w:r>
    </w:p>
    <w:p>
      <w:pPr>
        <w:keepNext w:val="0"/>
        <w:keepLines w:val="0"/>
        <w:pageBreakBefore w:val="0"/>
        <w:widowControl w:val="0"/>
        <w:kinsoku/>
        <w:wordWrap/>
        <w:topLinePunct/>
        <w:bidi w:val="0"/>
        <w:ind w:firstLine="560"/>
        <w:rPr>
          <w:rFonts w:hint="eastAsia"/>
          <w:szCs w:val="28"/>
        </w:rPr>
      </w:pPr>
      <w:r>
        <w:rPr>
          <w:rFonts w:hint="eastAsia"/>
          <w:szCs w:val="28"/>
        </w:rPr>
        <w:t>1.物理性危险和有害因素；</w:t>
      </w:r>
    </w:p>
    <w:p>
      <w:pPr>
        <w:keepNext w:val="0"/>
        <w:keepLines w:val="0"/>
        <w:pageBreakBefore w:val="0"/>
        <w:widowControl w:val="0"/>
        <w:kinsoku/>
        <w:wordWrap/>
        <w:topLinePunct/>
        <w:bidi w:val="0"/>
        <w:ind w:firstLine="560"/>
        <w:rPr>
          <w:rFonts w:hint="eastAsia"/>
          <w:szCs w:val="28"/>
        </w:rPr>
      </w:pPr>
      <w:r>
        <w:rPr>
          <w:rFonts w:hint="eastAsia"/>
          <w:szCs w:val="28"/>
        </w:rPr>
        <w:t>2.化学性危险和有害因素；</w:t>
      </w:r>
    </w:p>
    <w:p>
      <w:pPr>
        <w:keepNext w:val="0"/>
        <w:keepLines w:val="0"/>
        <w:pageBreakBefore w:val="0"/>
        <w:widowControl w:val="0"/>
        <w:kinsoku/>
        <w:wordWrap/>
        <w:topLinePunct/>
        <w:bidi w:val="0"/>
        <w:ind w:firstLine="560"/>
        <w:rPr>
          <w:rFonts w:hint="eastAsia"/>
          <w:szCs w:val="28"/>
        </w:rPr>
      </w:pPr>
      <w:r>
        <w:rPr>
          <w:rFonts w:hint="eastAsia"/>
          <w:szCs w:val="28"/>
        </w:rPr>
        <w:t>3.生物性危险和有害因素。</w:t>
      </w:r>
    </w:p>
    <w:p>
      <w:pPr>
        <w:keepNext w:val="0"/>
        <w:keepLines w:val="0"/>
        <w:pageBreakBefore w:val="0"/>
        <w:widowControl w:val="0"/>
        <w:kinsoku/>
        <w:wordWrap/>
        <w:topLinePunct/>
        <w:bidi w:val="0"/>
        <w:ind w:firstLine="560"/>
        <w:rPr>
          <w:rFonts w:hint="eastAsia"/>
          <w:szCs w:val="28"/>
        </w:rPr>
      </w:pPr>
      <w:r>
        <w:rPr>
          <w:rFonts w:hint="eastAsia"/>
          <w:szCs w:val="28"/>
        </w:rPr>
        <w:t>三、环境因素</w:t>
      </w:r>
    </w:p>
    <w:p>
      <w:pPr>
        <w:keepNext w:val="0"/>
        <w:keepLines w:val="0"/>
        <w:pageBreakBefore w:val="0"/>
        <w:widowControl w:val="0"/>
        <w:kinsoku/>
        <w:wordWrap/>
        <w:topLinePunct/>
        <w:bidi w:val="0"/>
        <w:ind w:firstLine="560"/>
        <w:rPr>
          <w:rFonts w:hint="eastAsia"/>
          <w:szCs w:val="28"/>
        </w:rPr>
      </w:pPr>
      <w:r>
        <w:rPr>
          <w:rFonts w:hint="eastAsia"/>
          <w:szCs w:val="28"/>
        </w:rPr>
        <w:t>1.室内作业场所环境不良；</w:t>
      </w:r>
    </w:p>
    <w:p>
      <w:pPr>
        <w:keepNext w:val="0"/>
        <w:keepLines w:val="0"/>
        <w:pageBreakBefore w:val="0"/>
        <w:widowControl w:val="0"/>
        <w:kinsoku/>
        <w:wordWrap/>
        <w:topLinePunct/>
        <w:bidi w:val="0"/>
        <w:ind w:firstLine="560"/>
        <w:rPr>
          <w:rFonts w:hint="eastAsia"/>
          <w:szCs w:val="28"/>
        </w:rPr>
      </w:pPr>
      <w:r>
        <w:rPr>
          <w:rFonts w:hint="eastAsia"/>
          <w:szCs w:val="28"/>
        </w:rPr>
        <w:t>2.室外作业场地环境不良；</w:t>
      </w:r>
    </w:p>
    <w:p>
      <w:pPr>
        <w:keepNext w:val="0"/>
        <w:keepLines w:val="0"/>
        <w:pageBreakBefore w:val="0"/>
        <w:widowControl w:val="0"/>
        <w:kinsoku/>
        <w:wordWrap/>
        <w:topLinePunct/>
        <w:bidi w:val="0"/>
        <w:ind w:firstLine="560"/>
        <w:rPr>
          <w:rFonts w:hint="eastAsia"/>
          <w:szCs w:val="28"/>
        </w:rPr>
      </w:pPr>
      <w:r>
        <w:rPr>
          <w:rFonts w:hint="eastAsia"/>
          <w:szCs w:val="28"/>
        </w:rPr>
        <w:t>3.地下（含水下）作业环境不良；</w:t>
      </w:r>
    </w:p>
    <w:p>
      <w:pPr>
        <w:keepNext w:val="0"/>
        <w:keepLines w:val="0"/>
        <w:pageBreakBefore w:val="0"/>
        <w:widowControl w:val="0"/>
        <w:kinsoku/>
        <w:wordWrap/>
        <w:topLinePunct/>
        <w:bidi w:val="0"/>
        <w:ind w:firstLine="560"/>
        <w:rPr>
          <w:rFonts w:hint="eastAsia"/>
          <w:szCs w:val="28"/>
        </w:rPr>
      </w:pPr>
      <w:r>
        <w:rPr>
          <w:rFonts w:hint="eastAsia"/>
          <w:szCs w:val="28"/>
        </w:rPr>
        <w:t>4.其他作业环境不良。</w:t>
      </w:r>
    </w:p>
    <w:p>
      <w:pPr>
        <w:keepNext w:val="0"/>
        <w:keepLines w:val="0"/>
        <w:pageBreakBefore w:val="0"/>
        <w:widowControl w:val="0"/>
        <w:kinsoku/>
        <w:wordWrap/>
        <w:topLinePunct/>
        <w:bidi w:val="0"/>
        <w:ind w:firstLine="560"/>
        <w:rPr>
          <w:rFonts w:hint="eastAsia"/>
          <w:szCs w:val="28"/>
        </w:rPr>
      </w:pPr>
      <w:r>
        <w:rPr>
          <w:rFonts w:hint="eastAsia"/>
          <w:szCs w:val="28"/>
        </w:rPr>
        <w:t>四、管理因素。</w:t>
      </w:r>
    </w:p>
    <w:p>
      <w:pPr>
        <w:keepNext w:val="0"/>
        <w:keepLines w:val="0"/>
        <w:pageBreakBefore w:val="0"/>
        <w:widowControl w:val="0"/>
        <w:kinsoku/>
        <w:wordWrap/>
        <w:topLinePunct/>
        <w:bidi w:val="0"/>
        <w:ind w:firstLine="560"/>
        <w:rPr>
          <w:rFonts w:hint="eastAsia"/>
          <w:szCs w:val="28"/>
        </w:rPr>
      </w:pPr>
      <w:r>
        <w:rPr>
          <w:rFonts w:hint="eastAsia"/>
          <w:szCs w:val="28"/>
        </w:rPr>
        <w:t>1.职业安全卫生组织机构</w:t>
      </w:r>
      <w:r>
        <w:rPr>
          <w:rFonts w:hint="eastAsia"/>
          <w:szCs w:val="28"/>
          <w:lang w:val="en-US" w:eastAsia="zh-CN"/>
        </w:rPr>
        <w:t>设置和人员配备</w:t>
      </w:r>
      <w:r>
        <w:rPr>
          <w:rFonts w:hint="eastAsia"/>
          <w:szCs w:val="28"/>
        </w:rPr>
        <w:t>不健全；</w:t>
      </w:r>
    </w:p>
    <w:p>
      <w:pPr>
        <w:keepNext w:val="0"/>
        <w:keepLines w:val="0"/>
        <w:pageBreakBefore w:val="0"/>
        <w:widowControl w:val="0"/>
        <w:kinsoku/>
        <w:wordWrap/>
        <w:topLinePunct/>
        <w:bidi w:val="0"/>
        <w:ind w:firstLine="560"/>
        <w:rPr>
          <w:rFonts w:hint="eastAsia"/>
          <w:szCs w:val="28"/>
        </w:rPr>
      </w:pPr>
      <w:r>
        <w:rPr>
          <w:rFonts w:hint="eastAsia"/>
          <w:szCs w:val="28"/>
        </w:rPr>
        <w:t>2.职业安全卫生责任制</w:t>
      </w:r>
      <w:r>
        <w:rPr>
          <w:rFonts w:hint="eastAsia"/>
          <w:szCs w:val="28"/>
          <w:lang w:val="en-US" w:eastAsia="zh-CN"/>
        </w:rPr>
        <w:t>不完善或</w:t>
      </w:r>
      <w:r>
        <w:rPr>
          <w:rFonts w:hint="eastAsia"/>
          <w:szCs w:val="28"/>
        </w:rPr>
        <w:t>未落实；</w:t>
      </w:r>
    </w:p>
    <w:p>
      <w:pPr>
        <w:keepNext w:val="0"/>
        <w:keepLines w:val="0"/>
        <w:pageBreakBefore w:val="0"/>
        <w:widowControl w:val="0"/>
        <w:kinsoku/>
        <w:wordWrap/>
        <w:topLinePunct/>
        <w:bidi w:val="0"/>
        <w:ind w:firstLine="560"/>
        <w:rPr>
          <w:rFonts w:hint="eastAsia"/>
          <w:szCs w:val="28"/>
        </w:rPr>
      </w:pPr>
      <w:r>
        <w:rPr>
          <w:rFonts w:hint="eastAsia"/>
          <w:szCs w:val="28"/>
        </w:rPr>
        <w:t>3.职业安全卫生管理规章制度不完善</w:t>
      </w:r>
      <w:r>
        <w:rPr>
          <w:rFonts w:hint="eastAsia"/>
          <w:szCs w:val="28"/>
          <w:lang w:val="en-US" w:eastAsia="zh-CN"/>
        </w:rPr>
        <w:t>或未落实</w:t>
      </w:r>
      <w:r>
        <w:rPr>
          <w:rFonts w:hint="eastAsia"/>
          <w:szCs w:val="28"/>
        </w:rPr>
        <w:t>；</w:t>
      </w:r>
    </w:p>
    <w:p>
      <w:pPr>
        <w:keepNext w:val="0"/>
        <w:keepLines w:val="0"/>
        <w:pageBreakBefore w:val="0"/>
        <w:widowControl w:val="0"/>
        <w:kinsoku/>
        <w:wordWrap/>
        <w:topLinePunct/>
        <w:bidi w:val="0"/>
        <w:ind w:firstLine="560"/>
        <w:rPr>
          <w:rFonts w:hint="eastAsia"/>
          <w:szCs w:val="28"/>
        </w:rPr>
      </w:pPr>
      <w:r>
        <w:rPr>
          <w:rFonts w:hint="eastAsia"/>
          <w:szCs w:val="28"/>
        </w:rPr>
        <w:t>4.职业安全卫生投入不足；</w:t>
      </w:r>
    </w:p>
    <w:p>
      <w:pPr>
        <w:keepNext w:val="0"/>
        <w:keepLines w:val="0"/>
        <w:pageBreakBefore w:val="0"/>
        <w:widowControl w:val="0"/>
        <w:kinsoku/>
        <w:wordWrap/>
        <w:topLinePunct/>
        <w:bidi w:val="0"/>
        <w:ind w:firstLine="560"/>
        <w:rPr>
          <w:rFonts w:hint="eastAsia"/>
          <w:szCs w:val="28"/>
        </w:rPr>
      </w:pPr>
      <w:r>
        <w:rPr>
          <w:rFonts w:hint="eastAsia"/>
          <w:szCs w:val="28"/>
        </w:rPr>
        <w:t>5.</w:t>
      </w:r>
      <w:r>
        <w:rPr>
          <w:rFonts w:hint="eastAsia"/>
          <w:szCs w:val="28"/>
          <w:lang w:val="en-US" w:eastAsia="zh-CN"/>
        </w:rPr>
        <w:t>应急管理缺陷</w:t>
      </w:r>
      <w:r>
        <w:rPr>
          <w:rFonts w:hint="eastAsia"/>
          <w:szCs w:val="28"/>
        </w:rPr>
        <w:t>；</w:t>
      </w:r>
    </w:p>
    <w:p>
      <w:pPr>
        <w:keepNext w:val="0"/>
        <w:keepLines w:val="0"/>
        <w:pageBreakBefore w:val="0"/>
        <w:widowControl w:val="0"/>
        <w:kinsoku/>
        <w:wordWrap/>
        <w:topLinePunct/>
        <w:bidi w:val="0"/>
        <w:ind w:firstLine="560"/>
        <w:rPr>
          <w:rFonts w:hint="eastAsia"/>
          <w:szCs w:val="28"/>
        </w:rPr>
      </w:pPr>
      <w:r>
        <w:rPr>
          <w:rFonts w:hint="eastAsia"/>
          <w:szCs w:val="28"/>
        </w:rPr>
        <w:t>6.其他管理因素缺陷。</w:t>
      </w:r>
    </w:p>
    <w:p>
      <w:pPr>
        <w:pStyle w:val="5"/>
        <w:rPr>
          <w:snapToGrid w:val="0"/>
          <w:color w:val="000000" w:themeColor="text1"/>
          <w14:textFill>
            <w14:solidFill>
              <w14:schemeClr w14:val="tx1"/>
            </w14:solidFill>
          </w14:textFill>
        </w:rPr>
      </w:pPr>
      <w:bookmarkStart w:id="354" w:name="_Toc9226"/>
      <w:r>
        <w:rPr>
          <w:snapToGrid w:val="0"/>
          <w:color w:val="000000" w:themeColor="text1"/>
          <w14:textFill>
            <w14:solidFill>
              <w14:schemeClr w14:val="tx1"/>
            </w14:solidFill>
          </w14:textFill>
        </w:rPr>
        <w:t>危险、有害因素产生的原因</w:t>
      </w:r>
      <w:bookmarkEnd w:id="347"/>
      <w:bookmarkEnd w:id="348"/>
      <w:bookmarkEnd w:id="349"/>
      <w:bookmarkEnd w:id="350"/>
      <w:bookmarkEnd w:id="351"/>
      <w:bookmarkEnd w:id="352"/>
      <w:bookmarkEnd w:id="353"/>
      <w:bookmarkEnd w:id="354"/>
    </w:p>
    <w:p>
      <w:pPr>
        <w:pStyle w:val="6"/>
        <w:rPr>
          <w:color w:val="000000" w:themeColor="text1"/>
          <w14:textFill>
            <w14:solidFill>
              <w14:schemeClr w14:val="tx1"/>
            </w14:solidFill>
          </w14:textFill>
        </w:rPr>
      </w:pPr>
      <w:bookmarkStart w:id="355" w:name="_Toc51340665"/>
      <w:bookmarkStart w:id="356" w:name="_Toc103178286"/>
      <w:bookmarkStart w:id="357" w:name="_Toc28262"/>
      <w:bookmarkStart w:id="358" w:name="_Toc129520625"/>
      <w:bookmarkStart w:id="359" w:name="_Toc458245982"/>
      <w:bookmarkStart w:id="360" w:name="_Toc201697583"/>
      <w:bookmarkStart w:id="361" w:name="_Toc54294431"/>
      <w:bookmarkStart w:id="362" w:name="_Toc15863"/>
      <w:r>
        <w:rPr>
          <w:color w:val="000000" w:themeColor="text1"/>
          <w14:textFill>
            <w14:solidFill>
              <w14:schemeClr w14:val="tx1"/>
            </w14:solidFill>
          </w14:textFill>
        </w:rPr>
        <w:t>运行失控与设备故障</w:t>
      </w:r>
      <w:bookmarkEnd w:id="355"/>
      <w:bookmarkEnd w:id="356"/>
      <w:bookmarkEnd w:id="357"/>
      <w:bookmarkEnd w:id="358"/>
      <w:bookmarkEnd w:id="359"/>
      <w:bookmarkEnd w:id="360"/>
      <w:bookmarkEnd w:id="361"/>
      <w:bookmarkEnd w:id="362"/>
    </w:p>
    <w:p>
      <w:pPr>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运行失控是指装置运行过程中偏离或超过了正常的工艺技术条件</w:t>
      </w:r>
      <w:r>
        <w:rPr>
          <w:rFonts w:hint="eastAsia"/>
          <w:snapToGrid w:val="0"/>
          <w:color w:val="000000" w:themeColor="text1"/>
          <w:kern w:val="0"/>
          <w:szCs w:val="28"/>
          <w:lang w:eastAsia="zh-CN"/>
          <w14:textFill>
            <w14:solidFill>
              <w14:schemeClr w14:val="tx1"/>
            </w14:solidFill>
          </w14:textFill>
        </w:rPr>
        <w:t>，</w:t>
      </w:r>
      <w:r>
        <w:rPr>
          <w:snapToGrid w:val="0"/>
          <w:color w:val="000000" w:themeColor="text1"/>
          <w:kern w:val="0"/>
          <w:szCs w:val="28"/>
          <w14:textFill>
            <w14:solidFill>
              <w14:schemeClr w14:val="tx1"/>
            </w14:solidFill>
          </w14:textFill>
        </w:rPr>
        <w:t>出现危险状态。故障是指设备、元件等在运行过程中由于性能低下而不能实现预期功能的现象。在生产过程中运行失控故障的发生是可能的，故障具有随机性和突发性，故障的发生一般是随机事件。造成故障发生的原因很复杂（如设计、制造、安装、腐蚀、疲劳、检查和检修保养、人员失误、环境及其它系统的影响等），但故障发生的规律是可知的，通过定期检查、维修、保养可使故障在预定期间内得到控制、避免、减少。</w:t>
      </w:r>
    </w:p>
    <w:p>
      <w:pPr>
        <w:pStyle w:val="6"/>
        <w:rPr>
          <w:color w:val="000000" w:themeColor="text1"/>
          <w14:textFill>
            <w14:solidFill>
              <w14:schemeClr w14:val="tx1"/>
            </w14:solidFill>
          </w14:textFill>
        </w:rPr>
      </w:pPr>
      <w:bookmarkStart w:id="363" w:name="_Toc51340666"/>
      <w:bookmarkStart w:id="364" w:name="_Toc103178287"/>
      <w:bookmarkStart w:id="365" w:name="_Toc54294432"/>
      <w:bookmarkStart w:id="366" w:name="_Toc15921"/>
      <w:bookmarkStart w:id="367" w:name="_Toc201697584"/>
      <w:bookmarkStart w:id="368" w:name="_Toc129520626"/>
      <w:bookmarkStart w:id="369" w:name="_Toc458245983"/>
      <w:bookmarkStart w:id="370" w:name="_Toc1925"/>
      <w:r>
        <w:rPr>
          <w:color w:val="000000" w:themeColor="text1"/>
          <w14:textFill>
            <w14:solidFill>
              <w14:schemeClr w14:val="tx1"/>
            </w14:solidFill>
          </w14:textFill>
        </w:rPr>
        <w:t>人员失误</w:t>
      </w:r>
      <w:bookmarkEnd w:id="363"/>
      <w:bookmarkEnd w:id="364"/>
      <w:bookmarkEnd w:id="365"/>
      <w:bookmarkEnd w:id="366"/>
      <w:bookmarkEnd w:id="367"/>
      <w:bookmarkEnd w:id="368"/>
      <w:bookmarkEnd w:id="369"/>
      <w:bookmarkEnd w:id="370"/>
    </w:p>
    <w:p>
      <w:pPr>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人员失误系指不安全行为（指职工在劳动过程中违反劳动纪律、操作程序、方法等具有危险性</w:t>
      </w:r>
      <w:r>
        <w:rPr>
          <w:rFonts w:hint="eastAsia"/>
          <w:snapToGrid w:val="0"/>
          <w:color w:val="000000" w:themeColor="text1"/>
          <w:kern w:val="0"/>
          <w:szCs w:val="28"/>
          <w:lang w:eastAsia="zh-CN"/>
          <w14:textFill>
            <w14:solidFill>
              <w14:schemeClr w14:val="tx1"/>
            </w14:solidFill>
          </w14:textFill>
        </w:rPr>
        <w:t>的做法</w:t>
      </w:r>
      <w:r>
        <w:rPr>
          <w:snapToGrid w:val="0"/>
          <w:color w:val="000000" w:themeColor="text1"/>
          <w:kern w:val="0"/>
          <w:szCs w:val="28"/>
          <w14:textFill>
            <w14:solidFill>
              <w14:schemeClr w14:val="tx1"/>
            </w14:solidFill>
          </w14:textFill>
        </w:rPr>
        <w:t>）产生不良后果的行为。人员失误在生产过程中是不可避免的，它具有随机性和偶然性，往往是不可预测的意外行为。影响人员失误的因素很多，但发生人员失误的规律和失误率通过大量的观测、统计分析是可以预测的。</w:t>
      </w:r>
    </w:p>
    <w:p>
      <w:pPr>
        <w:pStyle w:val="6"/>
        <w:rPr>
          <w:color w:val="000000" w:themeColor="text1"/>
          <w14:textFill>
            <w14:solidFill>
              <w14:schemeClr w14:val="tx1"/>
            </w14:solidFill>
          </w14:textFill>
        </w:rPr>
      </w:pPr>
      <w:bookmarkStart w:id="371" w:name="_Toc54294433"/>
      <w:bookmarkStart w:id="372" w:name="_Toc21793"/>
      <w:bookmarkStart w:id="373" w:name="_Toc51340667"/>
      <w:bookmarkStart w:id="374" w:name="_Toc201697585"/>
      <w:bookmarkStart w:id="375" w:name="_Toc458245984"/>
      <w:bookmarkStart w:id="376" w:name="_Toc103178288"/>
      <w:bookmarkStart w:id="377" w:name="_Toc129520627"/>
      <w:bookmarkStart w:id="378" w:name="_Toc19594"/>
      <w:r>
        <w:rPr>
          <w:color w:val="000000" w:themeColor="text1"/>
          <w14:textFill>
            <w14:solidFill>
              <w14:schemeClr w14:val="tx1"/>
            </w14:solidFill>
          </w14:textFill>
        </w:rPr>
        <w:t>管理缺陷</w:t>
      </w:r>
      <w:bookmarkEnd w:id="371"/>
      <w:bookmarkEnd w:id="372"/>
      <w:bookmarkEnd w:id="373"/>
      <w:bookmarkEnd w:id="374"/>
      <w:bookmarkEnd w:id="375"/>
      <w:bookmarkEnd w:id="376"/>
      <w:bookmarkEnd w:id="377"/>
      <w:bookmarkEnd w:id="378"/>
    </w:p>
    <w:p>
      <w:pPr>
        <w:adjustRightInd w:val="0"/>
        <w:snapToGrid w:val="0"/>
        <w:ind w:firstLine="560"/>
        <w:rPr>
          <w:snapToGrid w:val="0"/>
          <w:color w:val="000000" w:themeColor="text1"/>
          <w:kern w:val="0"/>
          <w:szCs w:val="20"/>
          <w14:textFill>
            <w14:solidFill>
              <w14:schemeClr w14:val="tx1"/>
            </w14:solidFill>
          </w14:textFill>
        </w:rPr>
      </w:pPr>
      <w:r>
        <w:rPr>
          <w:snapToGrid w:val="0"/>
          <w:color w:val="000000" w:themeColor="text1"/>
          <w:kern w:val="0"/>
          <w:szCs w:val="20"/>
          <w14:textFill>
            <w14:solidFill>
              <w14:schemeClr w14:val="tx1"/>
            </w14:solidFill>
          </w14:textFill>
        </w:rPr>
        <w:t>安全管理是为保证及时、有效地实现既定的安全目标，是在预测、分析的基础上进行的计划、组织、协调、检查等工作，是预防故障和人员失误发生的有效手段，因此，管理缺陷是影响运行失控发生的重要因素。</w:t>
      </w:r>
    </w:p>
    <w:p>
      <w:pPr>
        <w:pStyle w:val="6"/>
        <w:rPr>
          <w:color w:val="000000" w:themeColor="text1"/>
          <w14:textFill>
            <w14:solidFill>
              <w14:schemeClr w14:val="tx1"/>
            </w14:solidFill>
          </w14:textFill>
        </w:rPr>
      </w:pPr>
      <w:bookmarkStart w:id="379" w:name="_Toc129520628"/>
      <w:bookmarkStart w:id="380" w:name="_Toc103178289"/>
      <w:bookmarkStart w:id="381" w:name="_Toc54294434"/>
      <w:bookmarkStart w:id="382" w:name="_Toc51340668"/>
      <w:bookmarkStart w:id="383" w:name="_Toc458245985"/>
      <w:bookmarkStart w:id="384" w:name="_Toc29774"/>
      <w:bookmarkStart w:id="385" w:name="_Toc8544"/>
      <w:r>
        <w:rPr>
          <w:color w:val="000000" w:themeColor="text1"/>
          <w14:textFill>
            <w14:solidFill>
              <w14:schemeClr w14:val="tx1"/>
            </w14:solidFill>
          </w14:textFill>
        </w:rPr>
        <w:t>环境因素</w:t>
      </w:r>
      <w:bookmarkEnd w:id="379"/>
      <w:bookmarkEnd w:id="380"/>
      <w:bookmarkEnd w:id="381"/>
      <w:bookmarkEnd w:id="382"/>
      <w:bookmarkEnd w:id="383"/>
      <w:bookmarkEnd w:id="384"/>
      <w:bookmarkEnd w:id="385"/>
    </w:p>
    <w:p>
      <w:pPr>
        <w:widowControl/>
        <w:suppressAutoHyphens/>
        <w:adjustRightInd w:val="0"/>
        <w:snapToGri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不良环境的影响包括自然环境和作业环境。作业环境如温度、湿度、通风、照明、噪声、采光等因素的变化均可能导致人的情绪异常而引发误操作，从而引发事故；自然环境如风、雨、雷电、水文地质条件等均可能引发安全事故。</w:t>
      </w:r>
    </w:p>
    <w:p>
      <w:pPr>
        <w:pStyle w:val="5"/>
        <w:rPr>
          <w:snapToGrid w:val="0"/>
          <w:color w:val="000000" w:themeColor="text1"/>
          <w14:textFill>
            <w14:solidFill>
              <w14:schemeClr w14:val="tx1"/>
            </w14:solidFill>
          </w14:textFill>
        </w:rPr>
      </w:pPr>
      <w:bookmarkStart w:id="386" w:name="_Toc51340669"/>
      <w:bookmarkStart w:id="387" w:name="_Toc129520629"/>
      <w:bookmarkStart w:id="388" w:name="_Toc314213587"/>
      <w:bookmarkStart w:id="389" w:name="_Toc103178290"/>
      <w:bookmarkStart w:id="390" w:name="_Toc413502269"/>
      <w:bookmarkStart w:id="391" w:name="_Toc413501869"/>
      <w:bookmarkStart w:id="392" w:name="_Toc17919"/>
      <w:bookmarkStart w:id="393" w:name="_Toc444264431"/>
      <w:bookmarkStart w:id="394" w:name="_Toc54294435"/>
      <w:bookmarkStart w:id="395" w:name="_Toc23640"/>
      <w:r>
        <w:rPr>
          <w:rFonts w:hint="eastAsia"/>
          <w:snapToGrid w:val="0"/>
          <w:color w:val="000000" w:themeColor="text1"/>
          <w14:textFill>
            <w14:solidFill>
              <w14:schemeClr w14:val="tx1"/>
            </w14:solidFill>
          </w14:textFill>
        </w:rPr>
        <w:t>主要危险、有害物质及危险特性</w:t>
      </w:r>
      <w:bookmarkEnd w:id="386"/>
      <w:bookmarkEnd w:id="387"/>
      <w:bookmarkEnd w:id="388"/>
      <w:bookmarkEnd w:id="389"/>
      <w:bookmarkEnd w:id="390"/>
      <w:bookmarkEnd w:id="391"/>
      <w:bookmarkEnd w:id="392"/>
      <w:bookmarkEnd w:id="393"/>
      <w:bookmarkEnd w:id="394"/>
      <w:bookmarkEnd w:id="395"/>
    </w:p>
    <w:p>
      <w:pPr>
        <w:pStyle w:val="6"/>
        <w:rPr>
          <w:color w:val="000000" w:themeColor="text1"/>
          <w14:textFill>
            <w14:solidFill>
              <w14:schemeClr w14:val="tx1"/>
            </w14:solidFill>
          </w14:textFill>
        </w:rPr>
      </w:pPr>
      <w:bookmarkStart w:id="396" w:name="_Toc54294436"/>
      <w:bookmarkStart w:id="397" w:name="_Toc413502270"/>
      <w:bookmarkStart w:id="398" w:name="_Toc444264432"/>
      <w:bookmarkStart w:id="399" w:name="_Toc314213588"/>
      <w:bookmarkStart w:id="400" w:name="_Toc51340670"/>
      <w:bookmarkStart w:id="401" w:name="_Toc129520630"/>
      <w:bookmarkStart w:id="402" w:name="_Toc103178291"/>
      <w:bookmarkStart w:id="403" w:name="_Toc413501870"/>
      <w:bookmarkStart w:id="404" w:name="_Toc29106"/>
      <w:bookmarkStart w:id="405" w:name="_Toc20341"/>
      <w:r>
        <w:rPr>
          <w:rFonts w:hint="eastAsia"/>
          <w:color w:val="000000" w:themeColor="text1"/>
          <w14:textFill>
            <w14:solidFill>
              <w14:schemeClr w14:val="tx1"/>
            </w14:solidFill>
          </w14:textFill>
        </w:rPr>
        <w:t>主要危险、有害物质</w:t>
      </w:r>
      <w:r>
        <w:rPr>
          <w:color w:val="000000" w:themeColor="text1"/>
          <w14:textFill>
            <w14:solidFill>
              <w14:schemeClr w14:val="tx1"/>
            </w14:solidFill>
          </w14:textFill>
        </w:rPr>
        <w:t>辨识</w:t>
      </w:r>
      <w:bookmarkEnd w:id="396"/>
      <w:bookmarkEnd w:id="397"/>
      <w:bookmarkEnd w:id="398"/>
      <w:bookmarkEnd w:id="399"/>
      <w:bookmarkEnd w:id="400"/>
      <w:bookmarkEnd w:id="401"/>
      <w:bookmarkEnd w:id="402"/>
      <w:bookmarkEnd w:id="403"/>
      <w:bookmarkEnd w:id="404"/>
      <w:bookmarkEnd w:id="405"/>
    </w:p>
    <w:p>
      <w:pPr>
        <w:ind w:firstLine="560"/>
        <w:jc w:val="left"/>
        <w:rPr>
          <w:color w:val="000000" w:themeColor="text1"/>
          <w:szCs w:val="28"/>
          <w14:textFill>
            <w14:solidFill>
              <w14:schemeClr w14:val="tx1"/>
            </w14:solidFill>
          </w14:textFill>
        </w:rPr>
      </w:pPr>
      <w:r>
        <w:rPr>
          <w:color w:val="000000" w:themeColor="text1"/>
          <w:szCs w:val="28"/>
          <w14:textFill>
            <w14:solidFill>
              <w14:schemeClr w14:val="tx1"/>
            </w14:solidFill>
          </w14:textFill>
        </w:rPr>
        <w:t>对厂区进行分析后，得出生产运行过程中涉及的主要危险、有害物质</w:t>
      </w:r>
      <w:r>
        <w:rPr>
          <w:rFonts w:hint="eastAsia"/>
          <w:color w:val="000000" w:themeColor="text1"/>
          <w:szCs w:val="28"/>
          <w14:textFill>
            <w14:solidFill>
              <w14:schemeClr w14:val="tx1"/>
            </w14:solidFill>
          </w14:textFill>
        </w:rPr>
        <w:t>包括：高密度聚乙烯、压缩空气、润滑油以及检修用的氧气、乙炔等。主要危险、有害物质辨识见下表。</w:t>
      </w:r>
    </w:p>
    <w:p>
      <w:pPr>
        <w:numPr>
          <w:ilvl w:val="0"/>
          <w:numId w:val="20"/>
        </w:numPr>
        <w:adjustRightInd w:val="0"/>
        <w:snapToGrid w:val="0"/>
        <w:ind w:firstLineChars="0"/>
        <w:jc w:val="center"/>
        <w:rPr>
          <w:rFonts w:hAnsi="宋体"/>
          <w:color w:val="000000" w:themeColor="text1"/>
          <w:kern w:val="3"/>
          <w:sz w:val="24"/>
          <w14:textFill>
            <w14:solidFill>
              <w14:schemeClr w14:val="tx1"/>
            </w14:solidFill>
          </w14:textFill>
        </w:rPr>
      </w:pPr>
      <w:r>
        <w:rPr>
          <w:rFonts w:hint="eastAsia" w:hAnsi="宋体"/>
          <w:color w:val="000000" w:themeColor="text1"/>
          <w:kern w:val="3"/>
          <w:sz w:val="24"/>
          <w14:textFill>
            <w14:solidFill>
              <w14:schemeClr w14:val="tx1"/>
            </w14:solidFill>
          </w14:textFill>
        </w:rPr>
        <w:t>主要危险、有害物质辨识</w:t>
      </w:r>
      <w:r>
        <w:rPr>
          <w:rFonts w:hAnsi="宋体"/>
          <w:color w:val="000000" w:themeColor="text1"/>
          <w:kern w:val="3"/>
          <w:sz w:val="24"/>
          <w14:textFill>
            <w14:solidFill>
              <w14:schemeClr w14:val="tx1"/>
            </w14:solidFill>
          </w14:textFill>
        </w:rPr>
        <w:t>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8"/>
        <w:gridCol w:w="1007"/>
        <w:gridCol w:w="1092"/>
        <w:gridCol w:w="1184"/>
        <w:gridCol w:w="1501"/>
        <w:gridCol w:w="3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58"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604"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危险、有害物质</w:t>
            </w:r>
          </w:p>
        </w:tc>
        <w:tc>
          <w:tcPr>
            <w:tcW w:w="577"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CAS号</w:t>
            </w:r>
          </w:p>
        </w:tc>
        <w:tc>
          <w:tcPr>
            <w:tcW w:w="707"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危险性类别</w:t>
            </w:r>
          </w:p>
        </w:tc>
        <w:tc>
          <w:tcPr>
            <w:tcW w:w="893"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主要存在场所</w:t>
            </w:r>
          </w:p>
        </w:tc>
        <w:tc>
          <w:tcPr>
            <w:tcW w:w="1859"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主要危险特性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 w:type="pct"/>
            <w:vAlign w:val="center"/>
          </w:tcPr>
          <w:p>
            <w:pPr>
              <w:numPr>
                <w:ilvl w:val="0"/>
                <w:numId w:val="21"/>
              </w:numPr>
              <w:spacing w:line="240" w:lineRule="auto"/>
              <w:ind w:firstLineChars="0"/>
              <w:jc w:val="center"/>
              <w:rPr>
                <w:color w:val="000000" w:themeColor="text1"/>
                <w:sz w:val="21"/>
                <w:szCs w:val="21"/>
                <w14:textFill>
                  <w14:solidFill>
                    <w14:schemeClr w14:val="tx1"/>
                  </w14:solidFill>
                </w14:textFill>
              </w:rPr>
            </w:pPr>
            <w:bookmarkStart w:id="406" w:name="_Hlk521770732"/>
          </w:p>
        </w:tc>
        <w:tc>
          <w:tcPr>
            <w:tcW w:w="60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高密度聚乙烯</w:t>
            </w:r>
          </w:p>
        </w:tc>
        <w:tc>
          <w:tcPr>
            <w:tcW w:w="577"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w:t>
            </w:r>
          </w:p>
        </w:tc>
        <w:tc>
          <w:tcPr>
            <w:tcW w:w="707" w:type="pct"/>
            <w:vAlign w:val="center"/>
          </w:tcPr>
          <w:p>
            <w:pPr>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丙类</w:t>
            </w:r>
          </w:p>
        </w:tc>
        <w:tc>
          <w:tcPr>
            <w:tcW w:w="89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仓库</w:t>
            </w:r>
            <w:r>
              <w:rPr>
                <w:rFonts w:hint="eastAsia"/>
                <w:color w:val="000000" w:themeColor="text1"/>
                <w:kern w:val="0"/>
                <w:sz w:val="21"/>
                <w:szCs w:val="21"/>
                <w14:textFill>
                  <w14:solidFill>
                    <w14:schemeClr w14:val="tx1"/>
                  </w14:solidFill>
                </w14:textFill>
              </w:rPr>
              <w:t>、生产车间</w:t>
            </w:r>
          </w:p>
        </w:tc>
        <w:tc>
          <w:tcPr>
            <w:tcW w:w="1859" w:type="pct"/>
            <w:vAlign w:val="center"/>
          </w:tcPr>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可燃物品，遇明火等火源可引发火灾</w:t>
            </w:r>
            <w:r>
              <w:rPr>
                <w:rFonts w:hint="eastAsia"/>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 w:type="pct"/>
            <w:vAlign w:val="center"/>
          </w:tcPr>
          <w:p>
            <w:pPr>
              <w:numPr>
                <w:ilvl w:val="0"/>
                <w:numId w:val="21"/>
              </w:numPr>
              <w:spacing w:line="240" w:lineRule="auto"/>
              <w:ind w:firstLineChars="0"/>
              <w:jc w:val="center"/>
              <w:rPr>
                <w:color w:val="000000" w:themeColor="text1"/>
                <w:sz w:val="21"/>
                <w:szCs w:val="21"/>
                <w14:textFill>
                  <w14:solidFill>
                    <w14:schemeClr w14:val="tx1"/>
                  </w14:solidFill>
                </w14:textFill>
              </w:rPr>
            </w:pPr>
          </w:p>
        </w:tc>
        <w:tc>
          <w:tcPr>
            <w:tcW w:w="604" w:type="pct"/>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色母料</w:t>
            </w:r>
          </w:p>
        </w:tc>
        <w:tc>
          <w:tcPr>
            <w:tcW w:w="1092" w:type="dxa"/>
            <w:vAlign w:val="center"/>
          </w:tcPr>
          <w:p>
            <w:pPr>
              <w:spacing w:line="240" w:lineRule="auto"/>
              <w:ind w:firstLine="0" w:firstLineChars="0"/>
              <w:jc w:val="center"/>
              <w:rPr>
                <w:rFonts w:hint="eastAsia"/>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w:t>
            </w:r>
          </w:p>
        </w:tc>
        <w:tc>
          <w:tcPr>
            <w:tcW w:w="1184" w:type="dxa"/>
            <w:vAlign w:val="center"/>
          </w:tcPr>
          <w:p>
            <w:pPr>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丙类</w:t>
            </w:r>
          </w:p>
        </w:tc>
        <w:tc>
          <w:tcPr>
            <w:tcW w:w="893"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仓库</w:t>
            </w:r>
            <w:r>
              <w:rPr>
                <w:rFonts w:hint="eastAsia"/>
                <w:color w:val="000000" w:themeColor="text1"/>
                <w:kern w:val="0"/>
                <w:sz w:val="21"/>
                <w:szCs w:val="21"/>
                <w14:textFill>
                  <w14:solidFill>
                    <w14:schemeClr w14:val="tx1"/>
                  </w14:solidFill>
                </w14:textFill>
              </w:rPr>
              <w:t>、生产车间</w:t>
            </w:r>
          </w:p>
        </w:tc>
        <w:tc>
          <w:tcPr>
            <w:tcW w:w="1859" w:type="pct"/>
            <w:vAlign w:val="center"/>
          </w:tcPr>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可燃物品，遇明火等火源可引发火灾</w:t>
            </w:r>
            <w:r>
              <w:rPr>
                <w:rFonts w:hint="eastAsia"/>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 w:type="pct"/>
            <w:vAlign w:val="center"/>
          </w:tcPr>
          <w:p>
            <w:pPr>
              <w:numPr>
                <w:ilvl w:val="0"/>
                <w:numId w:val="21"/>
              </w:numPr>
              <w:spacing w:line="240" w:lineRule="auto"/>
              <w:ind w:firstLineChars="0"/>
              <w:jc w:val="center"/>
              <w:rPr>
                <w:color w:val="000000" w:themeColor="text1"/>
                <w:sz w:val="21"/>
                <w:szCs w:val="21"/>
                <w14:textFill>
                  <w14:solidFill>
                    <w14:schemeClr w14:val="tx1"/>
                  </w14:solidFill>
                </w14:textFill>
              </w:rPr>
            </w:pPr>
          </w:p>
        </w:tc>
        <w:tc>
          <w:tcPr>
            <w:tcW w:w="604"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压缩空气</w:t>
            </w:r>
          </w:p>
        </w:tc>
        <w:tc>
          <w:tcPr>
            <w:tcW w:w="577"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w:t>
            </w:r>
          </w:p>
        </w:tc>
        <w:tc>
          <w:tcPr>
            <w:tcW w:w="707"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w:t>
            </w:r>
          </w:p>
        </w:tc>
        <w:tc>
          <w:tcPr>
            <w:tcW w:w="893"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压缩空气管道、压缩空气储罐</w:t>
            </w:r>
          </w:p>
        </w:tc>
        <w:tc>
          <w:tcPr>
            <w:tcW w:w="1859" w:type="pct"/>
            <w:vAlign w:val="center"/>
          </w:tcPr>
          <w:p>
            <w:pPr>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与易燃气体、油脂接触有引起燃烧爆炸危险，受热时储罐内压增大，有爆炸危险，具有助燃性。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 w:type="pct"/>
            <w:vAlign w:val="center"/>
          </w:tcPr>
          <w:p>
            <w:pPr>
              <w:numPr>
                <w:ilvl w:val="0"/>
                <w:numId w:val="21"/>
              </w:numPr>
              <w:spacing w:line="240" w:lineRule="auto"/>
              <w:ind w:firstLineChars="0"/>
              <w:jc w:val="center"/>
              <w:rPr>
                <w:color w:val="000000" w:themeColor="text1"/>
                <w:sz w:val="21"/>
                <w:szCs w:val="21"/>
                <w14:textFill>
                  <w14:solidFill>
                    <w14:schemeClr w14:val="tx1"/>
                  </w14:solidFill>
                </w14:textFill>
              </w:rPr>
            </w:pPr>
          </w:p>
        </w:tc>
        <w:tc>
          <w:tcPr>
            <w:tcW w:w="604"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润滑油</w:t>
            </w:r>
          </w:p>
        </w:tc>
        <w:tc>
          <w:tcPr>
            <w:tcW w:w="577"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w:t>
            </w:r>
          </w:p>
        </w:tc>
        <w:tc>
          <w:tcPr>
            <w:tcW w:w="707" w:type="pct"/>
            <w:vAlign w:val="center"/>
          </w:tcPr>
          <w:p>
            <w:pPr>
              <w:spacing w:line="240" w:lineRule="auto"/>
              <w:ind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丙类</w:t>
            </w:r>
          </w:p>
        </w:tc>
        <w:tc>
          <w:tcPr>
            <w:tcW w:w="89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设备、存储点</w:t>
            </w:r>
          </w:p>
        </w:tc>
        <w:tc>
          <w:tcPr>
            <w:tcW w:w="1859" w:type="pct"/>
            <w:vAlign w:val="center"/>
          </w:tcPr>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可燃物品，遇明火等火源可引发火灾</w:t>
            </w:r>
            <w:r>
              <w:rPr>
                <w:rFonts w:hint="eastAsia"/>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 w:type="pct"/>
            <w:vAlign w:val="center"/>
          </w:tcPr>
          <w:p>
            <w:pPr>
              <w:numPr>
                <w:ilvl w:val="0"/>
                <w:numId w:val="21"/>
              </w:numPr>
              <w:spacing w:line="240" w:lineRule="auto"/>
              <w:ind w:firstLineChars="0"/>
              <w:jc w:val="center"/>
              <w:rPr>
                <w:color w:val="000000" w:themeColor="text1"/>
                <w:sz w:val="21"/>
                <w:szCs w:val="21"/>
                <w14:textFill>
                  <w14:solidFill>
                    <w14:schemeClr w14:val="tx1"/>
                  </w14:solidFill>
                </w14:textFill>
              </w:rPr>
            </w:pPr>
          </w:p>
        </w:tc>
        <w:tc>
          <w:tcPr>
            <w:tcW w:w="604"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氧气</w:t>
            </w:r>
          </w:p>
        </w:tc>
        <w:tc>
          <w:tcPr>
            <w:tcW w:w="577"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sz w:val="21"/>
                <w:szCs w:val="21"/>
                <w14:textFill>
                  <w14:solidFill>
                    <w14:schemeClr w14:val="tx1"/>
                  </w14:solidFill>
                </w14:textFill>
              </w:rPr>
              <w:t>7782-44-7</w:t>
            </w:r>
          </w:p>
        </w:tc>
        <w:tc>
          <w:tcPr>
            <w:tcW w:w="707"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氧化性气体</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类别1</w:t>
            </w:r>
          </w:p>
          <w:p>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sz w:val="21"/>
                <w:szCs w:val="21"/>
                <w14:textFill>
                  <w14:solidFill>
                    <w14:schemeClr w14:val="tx1"/>
                  </w14:solidFill>
                </w14:textFill>
              </w:rPr>
              <w:t>加压气体</w:t>
            </w:r>
          </w:p>
        </w:tc>
        <w:tc>
          <w:tcPr>
            <w:tcW w:w="89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检维修</w:t>
            </w:r>
          </w:p>
        </w:tc>
        <w:tc>
          <w:tcPr>
            <w:tcW w:w="1859" w:type="pct"/>
            <w:vAlign w:val="center"/>
          </w:tcPr>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1能氧化大多数活性物质。与易燃物（如乙炔、甲烷等）形成有爆炸性的混合物；</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2在通风不充分的设备里，小量液体汽化成大量气体造成的过压；</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3在常态空气中难燃、不燃的物质，在高氧气浓度下可变成可燃物；</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4使高速运动的金属颗粒成为点火源；</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5常压下，当氧的浓度超过40%时，有可能发生氧中毒。吸入40%～60%的氧时，出现胸骨后不适感 、轻咳，进而胸闷、胸骨后烧灼感和呼吸困难，咳嗽加剧；严重时可发生肺水肿，甚至出现呼吸窘迫综合症。吸入氧浓度在80%以上时，出现面部肌肉抽动、面色苍白、眩晕、心动过速、虚脱，继而全身强直性抽搐、昏迷、呼吸衰竭而死亡；长期处于氧分压为60kPa～100kPa (相当于吸入氧浓度40%左右）的条件下可发生眼损害，严重者可失明</w:t>
            </w:r>
            <w:r>
              <w:rPr>
                <w:rFonts w:hint="eastAsia"/>
                <w:color w:val="000000" w:themeColor="text1"/>
                <w:kern w:val="0"/>
                <w:sz w:val="21"/>
                <w:szCs w:val="21"/>
                <w14:textFill>
                  <w14:solidFill>
                    <w14:schemeClr w14:val="tx1"/>
                  </w14:solidFill>
                </w14:textFill>
              </w:rPr>
              <w:t>；</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6氧气瓶若遇高热，容器内压增大，有开裂和爆炸的危险。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 w:type="pct"/>
            <w:vAlign w:val="center"/>
          </w:tcPr>
          <w:p>
            <w:pPr>
              <w:spacing w:line="240" w:lineRule="auto"/>
              <w:ind w:firstLine="0" w:firstLineChars="0"/>
              <w:rPr>
                <w:color w:val="000000" w:themeColor="text1"/>
                <w:kern w:val="0"/>
                <w:sz w:val="21"/>
                <w:szCs w:val="21"/>
                <w14:textFill>
                  <w14:solidFill>
                    <w14:schemeClr w14:val="tx1"/>
                  </w14:solidFill>
                </w14:textFill>
              </w:rPr>
            </w:pPr>
          </w:p>
        </w:tc>
        <w:tc>
          <w:tcPr>
            <w:tcW w:w="604" w:type="pct"/>
            <w:vAlign w:val="center"/>
          </w:tcPr>
          <w:p>
            <w:pPr>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乙炔</w:t>
            </w:r>
          </w:p>
        </w:tc>
        <w:tc>
          <w:tcPr>
            <w:tcW w:w="577" w:type="pct"/>
            <w:vAlign w:val="center"/>
          </w:tcPr>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74-86-2</w:t>
            </w:r>
          </w:p>
        </w:tc>
        <w:tc>
          <w:tcPr>
            <w:tcW w:w="707" w:type="pct"/>
            <w:vAlign w:val="center"/>
          </w:tcPr>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易燃气体</w:t>
            </w:r>
            <w:r>
              <w:rPr>
                <w:rFonts w:hint="eastAsia"/>
                <w:color w:val="000000" w:themeColor="text1"/>
                <w:kern w:val="0"/>
                <w:sz w:val="21"/>
                <w:szCs w:val="21"/>
                <w:lang w:eastAsia="zh-CN"/>
                <w14:textFill>
                  <w14:solidFill>
                    <w14:schemeClr w14:val="tx1"/>
                  </w14:solidFill>
                </w14:textFill>
              </w:rPr>
              <w:t>，</w:t>
            </w:r>
            <w:r>
              <w:rPr>
                <w:color w:val="000000" w:themeColor="text1"/>
                <w:kern w:val="0"/>
                <w:sz w:val="21"/>
                <w:szCs w:val="21"/>
                <w14:textFill>
                  <w14:solidFill>
                    <w14:schemeClr w14:val="tx1"/>
                  </w14:solidFill>
                </w14:textFill>
              </w:rPr>
              <w:t>类别1</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化学不稳定性气体</w:t>
            </w:r>
            <w:r>
              <w:rPr>
                <w:rFonts w:hint="eastAsia"/>
                <w:color w:val="000000" w:themeColor="text1"/>
                <w:kern w:val="0"/>
                <w:sz w:val="21"/>
                <w:szCs w:val="21"/>
                <w:lang w:eastAsia="zh-CN"/>
                <w14:textFill>
                  <w14:solidFill>
                    <w14:schemeClr w14:val="tx1"/>
                  </w14:solidFill>
                </w14:textFill>
              </w:rPr>
              <w:t>，</w:t>
            </w:r>
            <w:r>
              <w:rPr>
                <w:color w:val="000000" w:themeColor="text1"/>
                <w:kern w:val="0"/>
                <w:sz w:val="21"/>
                <w:szCs w:val="21"/>
                <w14:textFill>
                  <w14:solidFill>
                    <w14:schemeClr w14:val="tx1"/>
                  </w14:solidFill>
                </w14:textFill>
              </w:rPr>
              <w:t>类别A</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加压气体</w:t>
            </w:r>
          </w:p>
        </w:tc>
        <w:tc>
          <w:tcPr>
            <w:tcW w:w="893" w:type="pct"/>
            <w:vAlign w:val="center"/>
          </w:tcPr>
          <w:p>
            <w:pPr>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检维修</w:t>
            </w:r>
          </w:p>
        </w:tc>
        <w:tc>
          <w:tcPr>
            <w:tcW w:w="1859" w:type="pct"/>
            <w:vAlign w:val="center"/>
          </w:tcPr>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危险特性：极易燃烧爆炸。与空气混合能形成爆炸性混合物，遇明火、高热能引起燃烧爆炸。与氧化剂接触会猛烈反应。与氟、氯等接触会发生剧烈的化学反应。能与铜、银、汞等的化合物生成爆炸性物质。</w:t>
            </w:r>
          </w:p>
          <w:p>
            <w:pPr>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健康危害：具有弱麻醉作用。高浓度吸入可引起单纯窒息。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8" w:type="pct"/>
            <w:vAlign w:val="center"/>
          </w:tcPr>
          <w:p>
            <w:pPr>
              <w:numPr>
                <w:ilvl w:val="0"/>
                <w:numId w:val="21"/>
              </w:numPr>
              <w:spacing w:line="240" w:lineRule="auto"/>
              <w:ind w:firstLineChars="0"/>
              <w:jc w:val="center"/>
              <w:rPr>
                <w:color w:val="000000" w:themeColor="text1"/>
                <w:kern w:val="0"/>
                <w:sz w:val="21"/>
                <w:szCs w:val="21"/>
                <w14:textFill>
                  <w14:solidFill>
                    <w14:schemeClr w14:val="tx1"/>
                  </w14:solidFill>
                </w14:textFill>
              </w:rPr>
            </w:pPr>
          </w:p>
        </w:tc>
        <w:tc>
          <w:tcPr>
            <w:tcW w:w="604" w:type="pct"/>
            <w:vAlign w:val="center"/>
          </w:tcPr>
          <w:p>
            <w:pPr>
              <w:spacing w:line="240" w:lineRule="auto"/>
              <w:ind w:left="0" w:leftChars="0" w:right="0" w:rightChars="0"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包装物</w:t>
            </w:r>
          </w:p>
        </w:tc>
        <w:tc>
          <w:tcPr>
            <w:tcW w:w="577" w:type="pct"/>
            <w:vAlign w:val="center"/>
          </w:tcPr>
          <w:p>
            <w:pPr>
              <w:spacing w:line="240" w:lineRule="auto"/>
              <w:ind w:left="0" w:leftChars="0" w:right="0" w:rightChars="0"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w:t>
            </w:r>
            <w:r>
              <w:rPr>
                <w:color w:val="000000" w:themeColor="text1"/>
                <w:kern w:val="0"/>
                <w:sz w:val="21"/>
                <w:szCs w:val="21"/>
                <w14:textFill>
                  <w14:solidFill>
                    <w14:schemeClr w14:val="tx1"/>
                  </w14:solidFill>
                </w14:textFill>
              </w:rPr>
              <w:t>-</w:t>
            </w:r>
          </w:p>
        </w:tc>
        <w:tc>
          <w:tcPr>
            <w:tcW w:w="707" w:type="pct"/>
            <w:vAlign w:val="center"/>
          </w:tcPr>
          <w:p>
            <w:pPr>
              <w:spacing w:line="240" w:lineRule="auto"/>
              <w:ind w:left="0" w:leftChars="0" w:right="0" w:rightChars="0" w:firstLine="0" w:firstLineChars="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丙类</w:t>
            </w:r>
          </w:p>
        </w:tc>
        <w:tc>
          <w:tcPr>
            <w:tcW w:w="893" w:type="pct"/>
            <w:vAlign w:val="center"/>
          </w:tcPr>
          <w:p>
            <w:pPr>
              <w:spacing w:line="240" w:lineRule="auto"/>
              <w:ind w:left="0" w:leftChars="0" w:right="0" w:rightChars="0"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仓库</w:t>
            </w:r>
            <w:r>
              <w:rPr>
                <w:rFonts w:hint="eastAsia"/>
                <w:color w:val="000000" w:themeColor="text1"/>
                <w:kern w:val="0"/>
                <w:sz w:val="21"/>
                <w:szCs w:val="21"/>
                <w14:textFill>
                  <w14:solidFill>
                    <w14:schemeClr w14:val="tx1"/>
                  </w14:solidFill>
                </w14:textFill>
              </w:rPr>
              <w:t>、生产车间</w:t>
            </w:r>
          </w:p>
        </w:tc>
        <w:tc>
          <w:tcPr>
            <w:tcW w:w="1859" w:type="pct"/>
            <w:vAlign w:val="center"/>
          </w:tcPr>
          <w:p>
            <w:pPr>
              <w:spacing w:line="240" w:lineRule="auto"/>
              <w:ind w:left="0" w:leftChars="0" w:right="0" w:rightChars="0"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可燃物品，遇明火等火源可引发火灾</w:t>
            </w:r>
            <w:r>
              <w:rPr>
                <w:rFonts w:hint="eastAsia"/>
                <w:color w:val="000000" w:themeColor="text1"/>
                <w:kern w:val="0"/>
                <w:sz w:val="21"/>
                <w:szCs w:val="21"/>
                <w14:textFill>
                  <w14:solidFill>
                    <w14:schemeClr w14:val="tx1"/>
                  </w14:solidFill>
                </w14:textFill>
              </w:rPr>
              <w:t>。</w:t>
            </w:r>
          </w:p>
        </w:tc>
      </w:tr>
      <w:bookmarkEnd w:id="406"/>
    </w:tbl>
    <w:p>
      <w:pPr>
        <w:pStyle w:val="6"/>
        <w:rPr>
          <w:color w:val="000000" w:themeColor="text1"/>
          <w14:textFill>
            <w14:solidFill>
              <w14:schemeClr w14:val="tx1"/>
            </w14:solidFill>
          </w14:textFill>
        </w:rPr>
      </w:pPr>
      <w:bookmarkStart w:id="407" w:name="_Toc129520631"/>
      <w:bookmarkStart w:id="408" w:name="_Toc16632"/>
      <w:bookmarkStart w:id="409" w:name="_Toc314213589"/>
      <w:bookmarkStart w:id="410" w:name="_Toc444264433"/>
      <w:bookmarkStart w:id="411" w:name="_Toc103178292"/>
      <w:bookmarkStart w:id="412" w:name="_Toc413502271"/>
      <w:bookmarkStart w:id="413" w:name="_Toc413501871"/>
      <w:bookmarkStart w:id="414" w:name="_Toc51340671"/>
      <w:bookmarkStart w:id="415" w:name="_Toc54294437"/>
      <w:bookmarkStart w:id="416" w:name="_Toc22721"/>
      <w:r>
        <w:rPr>
          <w:rFonts w:hint="eastAsia"/>
          <w:color w:val="000000" w:themeColor="text1"/>
          <w14:textFill>
            <w14:solidFill>
              <w14:schemeClr w14:val="tx1"/>
            </w14:solidFill>
          </w14:textFill>
        </w:rPr>
        <w:t>危险</w:t>
      </w:r>
      <w:r>
        <w:rPr>
          <w:color w:val="000000" w:themeColor="text1"/>
          <w14:textFill>
            <w14:solidFill>
              <w14:schemeClr w14:val="tx1"/>
            </w14:solidFill>
          </w14:textFill>
        </w:rPr>
        <w:t>化学品辨识</w:t>
      </w:r>
      <w:bookmarkEnd w:id="407"/>
      <w:bookmarkEnd w:id="408"/>
      <w:bookmarkEnd w:id="409"/>
      <w:bookmarkEnd w:id="410"/>
      <w:bookmarkEnd w:id="411"/>
      <w:bookmarkEnd w:id="412"/>
      <w:bookmarkEnd w:id="413"/>
      <w:bookmarkEnd w:id="414"/>
      <w:bookmarkEnd w:id="415"/>
      <w:bookmarkEnd w:id="416"/>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根据《危险化学品目录（2015版）》以及《国家安全监管总局办公厅关于印发危险化学品目录（2015版）实施指南（试行）的通知》（安监总厅管三〔2015〕80号）判别，</w:t>
      </w:r>
      <w:r>
        <w:rPr>
          <w:rFonts w:hint="eastAsia"/>
          <w:color w:val="000000" w:themeColor="text1"/>
          <w:szCs w:val="28"/>
          <w14:textFill>
            <w14:solidFill>
              <w14:schemeClr w14:val="tx1"/>
            </w14:solidFill>
          </w14:textFill>
        </w:rPr>
        <w:t>氧[压缩的或液化的]、</w:t>
      </w:r>
      <w:bookmarkStart w:id="417" w:name="_Hlk128559430"/>
      <w:r>
        <w:rPr>
          <w:rFonts w:hint="eastAsia"/>
          <w:color w:val="000000" w:themeColor="text1"/>
          <w:szCs w:val="28"/>
          <w14:textFill>
            <w14:solidFill>
              <w14:schemeClr w14:val="tx1"/>
            </w14:solidFill>
          </w14:textFill>
        </w:rPr>
        <w:t>乙炔</w:t>
      </w:r>
      <w:bookmarkEnd w:id="417"/>
      <w:r>
        <w:rPr>
          <w:color w:val="000000" w:themeColor="text1"/>
          <w:szCs w:val="28"/>
          <w14:textFill>
            <w14:solidFill>
              <w14:schemeClr w14:val="tx1"/>
            </w14:solidFill>
          </w14:textFill>
        </w:rPr>
        <w:t>属于危险化学品。</w:t>
      </w:r>
    </w:p>
    <w:p>
      <w:pPr>
        <w:pStyle w:val="6"/>
        <w:rPr>
          <w:color w:val="000000" w:themeColor="text1"/>
          <w14:textFill>
            <w14:solidFill>
              <w14:schemeClr w14:val="tx1"/>
            </w14:solidFill>
          </w14:textFill>
        </w:rPr>
      </w:pPr>
      <w:bookmarkStart w:id="418" w:name="_Toc32247"/>
      <w:bookmarkStart w:id="419" w:name="_Toc54294438"/>
      <w:bookmarkStart w:id="420" w:name="_Toc103178293"/>
      <w:bookmarkStart w:id="421" w:name="_Toc129520632"/>
      <w:bookmarkStart w:id="422" w:name="_Toc51340672"/>
      <w:bookmarkStart w:id="423" w:name="_Toc26849"/>
      <w:r>
        <w:rPr>
          <w:color w:val="000000" w:themeColor="text1"/>
          <w14:textFill>
            <w14:solidFill>
              <w14:schemeClr w14:val="tx1"/>
            </w14:solidFill>
          </w14:textFill>
        </w:rPr>
        <w:t>剧毒品、易制毒品</w:t>
      </w:r>
      <w:r>
        <w:rPr>
          <w:rFonts w:hint="eastAsia"/>
          <w:color w:val="000000" w:themeColor="text1"/>
          <w14:textFill>
            <w14:solidFill>
              <w14:schemeClr w14:val="tx1"/>
            </w14:solidFill>
          </w14:textFill>
        </w:rPr>
        <w:t>、易制爆化学品、</w:t>
      </w:r>
      <w:r>
        <w:rPr>
          <w:color w:val="000000" w:themeColor="text1"/>
          <w14:textFill>
            <w14:solidFill>
              <w14:schemeClr w14:val="tx1"/>
            </w14:solidFill>
          </w14:textFill>
        </w:rPr>
        <w:t>监控化学品</w:t>
      </w:r>
      <w:r>
        <w:rPr>
          <w:rFonts w:hint="eastAsia"/>
          <w:color w:val="000000" w:themeColor="text1"/>
          <w14:textFill>
            <w14:solidFill>
              <w14:schemeClr w14:val="tx1"/>
            </w14:solidFill>
          </w14:textFill>
        </w:rPr>
        <w:t>、重点监管危险化学品、特别管控危险化学品辨识</w:t>
      </w:r>
      <w:bookmarkEnd w:id="418"/>
      <w:bookmarkEnd w:id="419"/>
      <w:bookmarkEnd w:id="420"/>
      <w:bookmarkEnd w:id="421"/>
      <w:bookmarkEnd w:id="422"/>
      <w:bookmarkEnd w:id="423"/>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根据《危险化学品目录（2015版）》及其补充和修正表的相关规定，项目在生产过程中</w:t>
      </w:r>
      <w:r>
        <w:rPr>
          <w:rFonts w:hint="eastAsia"/>
          <w:color w:val="000000" w:themeColor="text1"/>
          <w:szCs w:val="28"/>
          <w14:textFill>
            <w14:solidFill>
              <w14:schemeClr w14:val="tx1"/>
            </w14:solidFill>
          </w14:textFill>
        </w:rPr>
        <w:t>不</w:t>
      </w:r>
      <w:r>
        <w:rPr>
          <w:color w:val="000000" w:themeColor="text1"/>
          <w:szCs w:val="28"/>
          <w14:textFill>
            <w14:solidFill>
              <w14:schemeClr w14:val="tx1"/>
            </w14:solidFill>
          </w14:textFill>
        </w:rPr>
        <w:t>涉及剧毒化学品。</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根据《易制毒化学品管理条例》（中华人民共和国国务院令第445号，根据国务院第666号令修改，中华人民共和国国务院令第703号第三次修订）和《非药品类易制毒化学品生产、经营许可办法》（国家应急管理总局令第5号）的相关规定，公司在生产过程中未使用易制毒化学品</w:t>
      </w:r>
      <w:r>
        <w:rPr>
          <w:color w:val="000000" w:themeColor="text1"/>
          <w:szCs w:val="28"/>
          <w14:textFill>
            <w14:solidFill>
              <w14:schemeClr w14:val="tx1"/>
            </w14:solidFill>
          </w14:textFill>
        </w:rPr>
        <w:t>。</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根据《易制爆危险化学品名录》（2017版），公司在生产过程中不涉及易制爆危险化学</w:t>
      </w:r>
      <w:r>
        <w:rPr>
          <w:color w:val="000000" w:themeColor="text1"/>
          <w:szCs w:val="28"/>
          <w14:textFill>
            <w14:solidFill>
              <w14:schemeClr w14:val="tx1"/>
            </w14:solidFill>
          </w14:textFill>
        </w:rPr>
        <w:t>。</w:t>
      </w:r>
    </w:p>
    <w:p>
      <w:pPr>
        <w:ind w:firstLine="592"/>
        <w:rPr>
          <w:bCs/>
          <w:color w:val="000000" w:themeColor="text1"/>
          <w:spacing w:val="8"/>
          <w:szCs w:val="28"/>
          <w14:textFill>
            <w14:solidFill>
              <w14:schemeClr w14:val="tx1"/>
            </w14:solidFill>
          </w14:textFill>
        </w:rPr>
      </w:pPr>
      <w:r>
        <w:rPr>
          <w:rFonts w:hint="eastAsia"/>
          <w:bCs/>
          <w:color w:val="000000" w:themeColor="text1"/>
          <w:spacing w:val="8"/>
          <w:szCs w:val="28"/>
          <w14:textFill>
            <w14:solidFill>
              <w14:schemeClr w14:val="tx1"/>
            </w14:solidFill>
          </w14:textFill>
        </w:rPr>
        <w:t>根据《中华人民共和国监控化学品管理条例》（国务院令</w:t>
      </w:r>
      <w:r>
        <w:rPr>
          <w:bCs/>
          <w:color w:val="000000" w:themeColor="text1"/>
          <w:spacing w:val="8"/>
          <w:szCs w:val="28"/>
          <w14:textFill>
            <w14:solidFill>
              <w14:schemeClr w14:val="tx1"/>
            </w14:solidFill>
          </w14:textFill>
        </w:rPr>
        <w:t>588</w:t>
      </w:r>
      <w:r>
        <w:rPr>
          <w:rFonts w:hint="eastAsia"/>
          <w:bCs/>
          <w:color w:val="000000" w:themeColor="text1"/>
          <w:spacing w:val="8"/>
          <w:szCs w:val="28"/>
          <w14:textFill>
            <w14:solidFill>
              <w14:schemeClr w14:val="tx1"/>
            </w14:solidFill>
          </w14:textFill>
        </w:rPr>
        <w:t>号），项目在生产过程中未涉及监控化学品。</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根据《特别管控危险化学品目录（第一版）》（应急管理部、工业和信息化部、公安部、交通运输部公告，2020年第</w:t>
      </w:r>
      <w:r>
        <w:rPr>
          <w:color w:val="000000" w:themeColor="text1"/>
          <w:szCs w:val="28"/>
          <w14:textFill>
            <w14:solidFill>
              <w14:schemeClr w14:val="tx1"/>
            </w14:solidFill>
          </w14:textFill>
        </w:rPr>
        <w:t>3</w:t>
      </w:r>
      <w:r>
        <w:rPr>
          <w:rFonts w:hint="eastAsia"/>
          <w:color w:val="000000" w:themeColor="text1"/>
          <w:szCs w:val="28"/>
          <w14:textFill>
            <w14:solidFill>
              <w14:schemeClr w14:val="tx1"/>
            </w14:solidFill>
          </w14:textFill>
        </w:rPr>
        <w:t>号），本项目在运行过程中不涉及特别管控危险化学品</w:t>
      </w:r>
      <w:r>
        <w:rPr>
          <w:color w:val="000000" w:themeColor="text1"/>
          <w:szCs w:val="28"/>
          <w14:textFill>
            <w14:solidFill>
              <w14:schemeClr w14:val="tx1"/>
            </w14:solidFill>
          </w14:textFill>
        </w:rPr>
        <w:t>。</w:t>
      </w:r>
    </w:p>
    <w:p>
      <w:pPr>
        <w:pStyle w:val="5"/>
        <w:rPr>
          <w:snapToGrid w:val="0"/>
          <w:color w:val="000000" w:themeColor="text1"/>
          <w14:textFill>
            <w14:solidFill>
              <w14:schemeClr w14:val="tx1"/>
            </w14:solidFill>
          </w14:textFill>
        </w:rPr>
      </w:pPr>
      <w:bookmarkStart w:id="424" w:name="_Toc8376"/>
      <w:bookmarkStart w:id="425" w:name="_Toc444264443"/>
      <w:bookmarkStart w:id="426" w:name="_Toc129520634"/>
      <w:bookmarkStart w:id="427" w:name="_Toc54294440"/>
      <w:bookmarkStart w:id="428" w:name="_Toc51340674"/>
      <w:bookmarkStart w:id="429" w:name="_Toc103178295"/>
      <w:bookmarkStart w:id="430" w:name="_Toc30887"/>
      <w:r>
        <w:rPr>
          <w:rFonts w:hint="eastAsia"/>
          <w:snapToGrid w:val="0"/>
          <w:color w:val="000000" w:themeColor="text1"/>
          <w14:textFill>
            <w14:solidFill>
              <w14:schemeClr w14:val="tx1"/>
            </w14:solidFill>
          </w14:textFill>
        </w:rPr>
        <w:t>选址与总体布局危险、有害因素分析</w:t>
      </w:r>
      <w:bookmarkEnd w:id="424"/>
      <w:bookmarkEnd w:id="425"/>
      <w:bookmarkEnd w:id="426"/>
      <w:bookmarkEnd w:id="427"/>
      <w:bookmarkEnd w:id="428"/>
      <w:bookmarkEnd w:id="429"/>
      <w:bookmarkEnd w:id="430"/>
    </w:p>
    <w:p>
      <w:pPr>
        <w:pStyle w:val="6"/>
        <w:rPr>
          <w:color w:val="000000" w:themeColor="text1"/>
          <w14:textFill>
            <w14:solidFill>
              <w14:schemeClr w14:val="tx1"/>
            </w14:solidFill>
          </w14:textFill>
        </w:rPr>
      </w:pPr>
      <w:bookmarkStart w:id="431" w:name="_Toc413502276"/>
      <w:bookmarkStart w:id="432" w:name="_Toc378322729"/>
      <w:bookmarkStart w:id="433" w:name="_Toc378002258"/>
      <w:bookmarkStart w:id="434" w:name="_Toc393463058"/>
      <w:bookmarkStart w:id="435" w:name="_Toc54294441"/>
      <w:bookmarkStart w:id="436" w:name="_Toc444264444"/>
      <w:bookmarkStart w:id="437" w:name="_Toc23723"/>
      <w:bookmarkStart w:id="438" w:name="_Toc51340675"/>
      <w:bookmarkStart w:id="439" w:name="_Toc129520635"/>
      <w:bookmarkStart w:id="440" w:name="_Toc393462870"/>
      <w:bookmarkStart w:id="441" w:name="_Toc413501876"/>
      <w:bookmarkStart w:id="442" w:name="_Toc103178296"/>
      <w:bookmarkStart w:id="443" w:name="_Toc31828"/>
      <w:r>
        <w:rPr>
          <w:rFonts w:hint="eastAsia"/>
          <w:color w:val="000000" w:themeColor="text1"/>
          <w14:textFill>
            <w14:solidFill>
              <w14:schemeClr w14:val="tx1"/>
            </w14:solidFill>
          </w14:textFill>
        </w:rPr>
        <w:t>地质条件危险、有害因素分析</w:t>
      </w:r>
      <w:bookmarkEnd w:id="431"/>
      <w:bookmarkEnd w:id="432"/>
      <w:bookmarkEnd w:id="433"/>
      <w:bookmarkEnd w:id="434"/>
      <w:bookmarkEnd w:id="435"/>
      <w:bookmarkEnd w:id="436"/>
      <w:bookmarkEnd w:id="437"/>
      <w:bookmarkEnd w:id="438"/>
      <w:bookmarkEnd w:id="439"/>
      <w:bookmarkEnd w:id="440"/>
      <w:bookmarkEnd w:id="441"/>
      <w:bookmarkEnd w:id="442"/>
      <w:bookmarkEnd w:id="443"/>
    </w:p>
    <w:p>
      <w:pPr>
        <w:ind w:firstLine="560"/>
        <w:rPr>
          <w:rFonts w:ascii="Times New Roman" w:hAnsi="Times New Roman" w:eastAsia="宋体" w:cs="Times New Roman"/>
          <w:color w:val="000000" w:themeColor="text1"/>
          <w:szCs w:val="28"/>
          <w14:textFill>
            <w14:solidFill>
              <w14:schemeClr w14:val="tx1"/>
            </w14:solidFill>
          </w14:textFill>
        </w:rPr>
      </w:pPr>
      <w:bookmarkStart w:id="444" w:name="_Toc393462871"/>
      <w:bookmarkStart w:id="445" w:name="_Toc378002259"/>
      <w:bookmarkStart w:id="446" w:name="_Toc378322730"/>
      <w:bookmarkStart w:id="447" w:name="_Toc393463059"/>
      <w:r>
        <w:rPr>
          <w:rFonts w:ascii="Times New Roman" w:hAnsi="Times New Roman" w:eastAsia="宋体" w:cs="Times New Roman"/>
          <w:color w:val="000000" w:themeColor="text1"/>
          <w:szCs w:val="28"/>
          <w14:textFill>
            <w14:solidFill>
              <w14:schemeClr w14:val="tx1"/>
            </w14:solidFill>
          </w14:textFill>
        </w:rPr>
        <w:t>项目区域抗震设防烈度为8度，若建构筑物未按当地地震烈度设防；若发生地震可能破坏建筑物基础，造成建筑物坍塌、地基下沉等危险。</w:t>
      </w:r>
    </w:p>
    <w:p>
      <w:pPr>
        <w:ind w:firstLine="560"/>
        <w:rPr>
          <w:rFonts w:ascii="宋体" w:hAnsi="宋体" w:cs="宋体"/>
          <w:color w:val="000000"/>
          <w:szCs w:val="28"/>
        </w:rPr>
      </w:pPr>
      <w:r>
        <w:rPr>
          <w:rFonts w:hint="eastAsia" w:ascii="宋体" w:hAnsi="宋体" w:cs="宋体"/>
          <w:color w:val="000000"/>
          <w:szCs w:val="28"/>
        </w:rPr>
        <w:t>该项目</w:t>
      </w:r>
      <w:r>
        <w:rPr>
          <w:rFonts w:hint="eastAsia" w:ascii="宋体" w:hAnsi="宋体" w:cs="宋体"/>
          <w:snapToGrid w:val="0"/>
          <w:color w:val="000000"/>
          <w:kern w:val="0"/>
          <w:szCs w:val="28"/>
        </w:rPr>
        <w:t>可能会因地</w:t>
      </w:r>
      <w:r>
        <w:rPr>
          <w:rFonts w:hint="eastAsia" w:ascii="宋体" w:hAnsi="宋体" w:cs="宋体"/>
          <w:color w:val="000000"/>
          <w:szCs w:val="28"/>
        </w:rPr>
        <w:t>质条件方面的原因引发腐蚀、地基下沉、毁坏等危险。其主要产生原因分析如下：</w:t>
      </w:r>
    </w:p>
    <w:p>
      <w:pPr>
        <w:ind w:firstLine="560"/>
        <w:rPr>
          <w:rFonts w:ascii="宋体" w:hAnsi="宋体" w:cs="宋体"/>
          <w:color w:val="000000"/>
          <w:szCs w:val="28"/>
        </w:rPr>
      </w:pPr>
      <w:r>
        <w:rPr>
          <w:rFonts w:hint="eastAsia" w:ascii="宋体" w:hAnsi="宋体" w:cs="宋体"/>
          <w:color w:val="000000"/>
          <w:szCs w:val="28"/>
        </w:rPr>
        <w:t>1.项目施工质量差、建构筑物抗震等级不足等会引起建筑物坍塌事故。</w:t>
      </w:r>
    </w:p>
    <w:p>
      <w:pPr>
        <w:ind w:firstLine="560"/>
        <w:rPr>
          <w:rFonts w:ascii="宋体" w:hAnsi="宋体" w:cs="宋体"/>
          <w:color w:val="000000"/>
          <w:szCs w:val="28"/>
        </w:rPr>
      </w:pPr>
      <w:r>
        <w:rPr>
          <w:rFonts w:hint="eastAsia" w:ascii="宋体" w:hAnsi="宋体" w:cs="宋体"/>
          <w:color w:val="000000"/>
          <w:szCs w:val="28"/>
        </w:rPr>
        <w:t>2.由于建筑、生产设备、设施等建构筑物、设备设施载荷较重，长期运行后出现地基下沉，导致建构筑物或设备及与其相连的部件发生变形，引发二次事故。</w:t>
      </w:r>
    </w:p>
    <w:p>
      <w:pPr>
        <w:ind w:firstLine="560"/>
        <w:rPr>
          <w:rFonts w:ascii="宋体" w:hAnsi="宋体" w:cs="宋体"/>
          <w:color w:val="000000"/>
          <w:szCs w:val="28"/>
        </w:rPr>
      </w:pPr>
      <w:r>
        <w:rPr>
          <w:rFonts w:hint="eastAsia" w:ascii="宋体" w:hAnsi="宋体" w:cs="宋体"/>
          <w:color w:val="000000"/>
          <w:szCs w:val="28"/>
        </w:rPr>
        <w:t>3.项目所在地发生地震，可导致设备、设施及建构筑物突发性损坏，在设备、设施及建构筑物抗震等级不足时，破坏性更大。</w:t>
      </w:r>
    </w:p>
    <w:p>
      <w:pPr>
        <w:ind w:firstLine="560"/>
        <w:rPr>
          <w:rFonts w:ascii="宋体" w:hAnsi="宋体" w:cs="宋体"/>
          <w:szCs w:val="28"/>
        </w:rPr>
      </w:pPr>
      <w:r>
        <w:rPr>
          <w:rFonts w:hint="eastAsia" w:ascii="宋体" w:hAnsi="宋体" w:cs="宋体"/>
          <w:color w:val="000000"/>
          <w:szCs w:val="28"/>
        </w:rPr>
        <w:t>4.地下水对建构筑物基础有一定的腐蚀性，若建筑物基础设计、施工过程中未按照相关规范要求进行防腐防护等，长期受地下水腐蚀，强度减弱，可能导致建构筑物倒塌等危险。</w:t>
      </w:r>
    </w:p>
    <w:p>
      <w:pPr>
        <w:pStyle w:val="6"/>
        <w:rPr>
          <w:color w:val="000000" w:themeColor="text1"/>
          <w14:textFill>
            <w14:solidFill>
              <w14:schemeClr w14:val="tx1"/>
            </w14:solidFill>
          </w14:textFill>
        </w:rPr>
      </w:pPr>
      <w:bookmarkStart w:id="448" w:name="_Toc54294442"/>
      <w:bookmarkStart w:id="449" w:name="_Toc103178297"/>
      <w:bookmarkStart w:id="450" w:name="_Toc26589"/>
      <w:bookmarkStart w:id="451" w:name="_Toc444264445"/>
      <w:bookmarkStart w:id="452" w:name="_Toc129520636"/>
      <w:bookmarkStart w:id="453" w:name="_Toc413501877"/>
      <w:bookmarkStart w:id="454" w:name="_Toc413502277"/>
      <w:bookmarkStart w:id="455" w:name="_Toc51340676"/>
      <w:bookmarkStart w:id="456" w:name="_Toc15875"/>
      <w:r>
        <w:rPr>
          <w:rFonts w:hint="eastAsia"/>
          <w:color w:val="000000" w:themeColor="text1"/>
          <w14:textFill>
            <w14:solidFill>
              <w14:schemeClr w14:val="tx1"/>
            </w14:solidFill>
          </w14:textFill>
        </w:rPr>
        <w:t>气象条件危险、有害因素分析</w:t>
      </w:r>
      <w:bookmarkEnd w:id="444"/>
      <w:bookmarkEnd w:id="445"/>
      <w:bookmarkEnd w:id="446"/>
      <w:bookmarkEnd w:id="447"/>
      <w:bookmarkEnd w:id="448"/>
      <w:bookmarkEnd w:id="449"/>
      <w:bookmarkEnd w:id="450"/>
      <w:bookmarkEnd w:id="451"/>
      <w:bookmarkEnd w:id="452"/>
      <w:bookmarkEnd w:id="453"/>
      <w:bookmarkEnd w:id="454"/>
      <w:bookmarkEnd w:id="455"/>
      <w:bookmarkEnd w:id="456"/>
    </w:p>
    <w:p>
      <w:pPr>
        <w:ind w:firstLine="560"/>
        <w:rPr>
          <w:szCs w:val="28"/>
        </w:rPr>
      </w:pPr>
      <w:bookmarkStart w:id="457" w:name="_Toc378322731"/>
      <w:bookmarkStart w:id="458" w:name="_Toc51340677"/>
      <w:bookmarkStart w:id="459" w:name="_Toc103178298"/>
      <w:bookmarkStart w:id="460" w:name="_Toc413502278"/>
      <w:bookmarkStart w:id="461" w:name="_Toc129520637"/>
      <w:bookmarkStart w:id="462" w:name="_Toc378002260"/>
      <w:bookmarkStart w:id="463" w:name="_Toc444264446"/>
      <w:bookmarkStart w:id="464" w:name="_Toc413501878"/>
      <w:bookmarkStart w:id="465" w:name="_Toc393463060"/>
      <w:bookmarkStart w:id="466" w:name="_Toc393462872"/>
      <w:bookmarkStart w:id="467" w:name="_Toc54294443"/>
      <w:r>
        <w:rPr>
          <w:szCs w:val="28"/>
        </w:rPr>
        <w:t>根据建设项目地区的气象资料，气象条件对建设项目的影响主要表现在大风、高温、暴雨、雷电等方面。</w:t>
      </w:r>
    </w:p>
    <w:p>
      <w:pPr>
        <w:ind w:firstLine="560"/>
        <w:rPr>
          <w:rFonts w:ascii="宋体" w:hAnsi="宋体" w:cs="宋体"/>
          <w:szCs w:val="28"/>
        </w:rPr>
      </w:pPr>
      <w:r>
        <w:rPr>
          <w:rFonts w:hint="eastAsia" w:ascii="宋体" w:hAnsi="宋体" w:cs="宋体"/>
          <w:szCs w:val="28"/>
        </w:rPr>
        <w:t>1.高温：本项目所在地</w:t>
      </w:r>
      <w:r>
        <w:rPr>
          <w:rFonts w:hint="eastAsia" w:ascii="宋体" w:hAnsi="宋体" w:cs="宋体"/>
          <w:color w:val="000000"/>
          <w:szCs w:val="21"/>
        </w:rPr>
        <w:t>多年平均气温</w:t>
      </w:r>
      <w:r>
        <w:rPr>
          <w:rFonts w:hint="eastAsia" w:ascii="宋体" w:hAnsi="宋体" w:cs="宋体"/>
          <w:szCs w:val="28"/>
        </w:rPr>
        <w:t>15.7</w:t>
      </w:r>
      <w:r>
        <w:rPr>
          <w:rFonts w:hint="eastAsia" w:ascii="宋体" w:hAnsi="宋体" w:cs="宋体"/>
          <w:color w:val="000000"/>
          <w:szCs w:val="21"/>
        </w:rPr>
        <w:t>℃左右，极端最高气温30.2℃，</w:t>
      </w:r>
      <w:r>
        <w:rPr>
          <w:rFonts w:hint="eastAsia" w:ascii="宋体" w:hAnsi="宋体" w:cs="宋体"/>
          <w:szCs w:val="28"/>
        </w:rPr>
        <w:t>不会造成设备过大的热胀冷缩，因极端气象条件的影响而导致生产安全事故发生的可能性较小。因此，气温对项目的影响不大。</w:t>
      </w:r>
    </w:p>
    <w:p>
      <w:pPr>
        <w:ind w:firstLine="560"/>
        <w:rPr>
          <w:rFonts w:ascii="宋体" w:hAnsi="宋体" w:cs="宋体"/>
          <w:szCs w:val="28"/>
        </w:rPr>
      </w:pPr>
      <w:r>
        <w:rPr>
          <w:rFonts w:hint="eastAsia" w:ascii="宋体" w:hAnsi="宋体" w:cs="宋体"/>
          <w:szCs w:val="28"/>
        </w:rPr>
        <w:t>2.大风：</w:t>
      </w:r>
      <w:r>
        <w:rPr>
          <w:rFonts w:hint="eastAsia" w:ascii="宋体" w:hAnsi="宋体" w:cs="宋体"/>
          <w:color w:val="000000"/>
        </w:rPr>
        <w:t>大风可能会造成高处未佩戴安全防护用品的人员发生高处坠落事故；或导致高处堆放的零散物件坠落，对地面的人员造成物体打击伤害；还可能导致扬尘，造成现场灰尘弥漫，视线不清，从而引发机械伤害、车辆伤害等事故的发生</w:t>
      </w:r>
      <w:r>
        <w:rPr>
          <w:rFonts w:hint="eastAsia" w:ascii="宋体" w:hAnsi="宋体" w:cs="宋体"/>
          <w:szCs w:val="28"/>
        </w:rPr>
        <w:t>。</w:t>
      </w:r>
    </w:p>
    <w:p>
      <w:pPr>
        <w:ind w:firstLine="560"/>
        <w:rPr>
          <w:rFonts w:ascii="宋体" w:hAnsi="宋体" w:cs="宋体"/>
          <w:szCs w:val="28"/>
        </w:rPr>
      </w:pPr>
      <w:r>
        <w:rPr>
          <w:rFonts w:hint="eastAsia" w:ascii="宋体" w:hAnsi="宋体" w:cs="宋体"/>
          <w:szCs w:val="28"/>
        </w:rPr>
        <w:t>3.降雨：</w:t>
      </w:r>
      <w:r>
        <w:rPr>
          <w:rFonts w:hint="eastAsia" w:ascii="宋体" w:hAnsi="宋体" w:cs="宋体"/>
          <w:color w:val="000000"/>
          <w:szCs w:val="28"/>
        </w:rPr>
        <w:t>暴雨是主要气象灾害之一。长时间的暴雨容易产生积水或径流淹没低洼地段，造成洪涝灾害。厂区设备可能受潮、生产车间顶棚漏雨，地面积水导致电气设备、线路、开关装置短路，发生漏电伤人事故</w:t>
      </w:r>
      <w:r>
        <w:rPr>
          <w:rFonts w:hint="eastAsia" w:ascii="宋体" w:hAnsi="宋体" w:cs="宋体"/>
          <w:szCs w:val="28"/>
        </w:rPr>
        <w:t>。</w:t>
      </w:r>
    </w:p>
    <w:p>
      <w:pPr>
        <w:ind w:firstLine="560"/>
        <w:rPr>
          <w:rFonts w:ascii="宋体" w:hAnsi="宋体" w:cs="宋体"/>
          <w:szCs w:val="28"/>
        </w:rPr>
      </w:pPr>
      <w:r>
        <w:rPr>
          <w:rFonts w:hint="eastAsia" w:ascii="宋体" w:hAnsi="宋体" w:cs="宋体"/>
          <w:szCs w:val="28"/>
        </w:rPr>
        <w:t>4.雷击：雷电对本项目的影响主要是建筑物及电气设备损坏，也可能对人员造成伤害，若厂内建构筑物、设施设备等未设置防雷设施或防雷设施不符合要求，可能发生雷击导致人员伤亡、建构筑物及设施设备损坏等事故。</w:t>
      </w:r>
    </w:p>
    <w:p>
      <w:pPr>
        <w:ind w:firstLine="560"/>
        <w:rPr>
          <w:rFonts w:ascii="宋体" w:hAnsi="宋体" w:cs="宋体"/>
          <w:szCs w:val="28"/>
        </w:rPr>
      </w:pPr>
      <w:r>
        <w:rPr>
          <w:rFonts w:hint="eastAsia" w:ascii="宋体" w:hAnsi="宋体" w:cs="宋体"/>
          <w:szCs w:val="28"/>
        </w:rPr>
        <w:t>5.其他：自然灾害可能对本项目造成的后果：如厂区排水系统堵塞等可能在暴雨天气时造成洪水灾害，破坏地基和用电设备，造成地基下沉、电气短路事故等；雪灾灾害可能造成建(构)筑物积雪过多，甚至引发坍塌事故，雪灾还会造成路面积雪、结冰、湿滑，可能引发车辆伤害事故。</w:t>
      </w:r>
    </w:p>
    <w:p>
      <w:pPr>
        <w:pStyle w:val="6"/>
        <w:rPr>
          <w:color w:val="000000" w:themeColor="text1"/>
          <w14:textFill>
            <w14:solidFill>
              <w14:schemeClr w14:val="tx1"/>
            </w14:solidFill>
          </w14:textFill>
        </w:rPr>
      </w:pPr>
      <w:bookmarkStart w:id="468" w:name="_Toc17944"/>
      <w:bookmarkStart w:id="469" w:name="_Toc8642"/>
      <w:r>
        <w:rPr>
          <w:rFonts w:hint="eastAsia"/>
          <w:color w:val="000000" w:themeColor="text1"/>
          <w14:textFill>
            <w14:solidFill>
              <w14:schemeClr w14:val="tx1"/>
            </w14:solidFill>
          </w14:textFill>
        </w:rPr>
        <w:t>周边环境危险、有害因素分析</w:t>
      </w:r>
      <w:bookmarkEnd w:id="457"/>
      <w:bookmarkEnd w:id="458"/>
      <w:bookmarkEnd w:id="459"/>
      <w:bookmarkEnd w:id="460"/>
      <w:bookmarkEnd w:id="461"/>
      <w:bookmarkEnd w:id="462"/>
      <w:bookmarkEnd w:id="463"/>
      <w:bookmarkEnd w:id="464"/>
      <w:bookmarkEnd w:id="465"/>
      <w:bookmarkEnd w:id="466"/>
      <w:bookmarkEnd w:id="467"/>
      <w:bookmarkEnd w:id="468"/>
      <w:bookmarkEnd w:id="469"/>
    </w:p>
    <w:p>
      <w:pPr>
        <w:adjustRightInd w:val="0"/>
        <w:snapToGrid w:val="0"/>
        <w:ind w:firstLine="560"/>
        <w:rPr>
          <w:color w:val="000000" w:themeColor="text1"/>
          <w:szCs w:val="28"/>
          <w14:textFill>
            <w14:solidFill>
              <w14:schemeClr w14:val="tx1"/>
            </w14:solidFill>
          </w14:textFill>
        </w:rPr>
      </w:pPr>
      <w:bookmarkStart w:id="470" w:name="_Toc378322732"/>
      <w:bookmarkStart w:id="471" w:name="_Toc378002261"/>
      <w:r>
        <w:rPr>
          <w:color w:val="000000" w:themeColor="text1"/>
          <w:szCs w:val="28"/>
          <w14:textFill>
            <w14:solidFill>
              <w14:schemeClr w14:val="tx1"/>
            </w14:solidFill>
          </w14:textFill>
        </w:rPr>
        <w:t>1.项目对周边环境的影响</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项目周边</w:t>
      </w:r>
      <w:r>
        <w:rPr>
          <w:rFonts w:hint="eastAsia"/>
          <w:color w:val="000000" w:themeColor="text1"/>
          <w:szCs w:val="28"/>
          <w:lang w:val="en-US" w:eastAsia="zh-CN"/>
          <w14:textFill>
            <w14:solidFill>
              <w14:schemeClr w14:val="tx1"/>
            </w14:solidFill>
          </w14:textFill>
        </w:rPr>
        <w:t>100m内无</w:t>
      </w:r>
      <w:r>
        <w:rPr>
          <w:color w:val="000000" w:themeColor="text1"/>
          <w:szCs w:val="28"/>
          <w14:textFill>
            <w14:solidFill>
              <w14:schemeClr w14:val="tx1"/>
            </w14:solidFill>
          </w14:textFill>
        </w:rPr>
        <w:t>公园、学校、医院、影剧院、体育场（馆）、湖泊、风景区、自然保护区及历史文物古迹保护区和水源保护区</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项目60m处居民区，。项目与李棋农贸市场商铺和路边商铺虽有围墙相隔，但</w:t>
      </w:r>
      <w:r>
        <w:rPr>
          <w:color w:val="000000" w:themeColor="text1"/>
          <w:szCs w:val="28"/>
          <w14:textFill>
            <w14:solidFill>
              <w14:schemeClr w14:val="tx1"/>
            </w14:solidFill>
          </w14:textFill>
        </w:rPr>
        <w:t>与周边建构筑物的距离</w:t>
      </w:r>
      <w:r>
        <w:rPr>
          <w:rFonts w:hint="eastAsia"/>
          <w:color w:val="000000" w:themeColor="text1"/>
          <w:szCs w:val="28"/>
          <w:lang w:val="en-US" w:eastAsia="zh-CN"/>
          <w14:textFill>
            <w14:solidFill>
              <w14:schemeClr w14:val="tx1"/>
            </w14:solidFill>
          </w14:textFill>
        </w:rPr>
        <w:t>不能</w:t>
      </w:r>
      <w:r>
        <w:rPr>
          <w:color w:val="000000" w:themeColor="text1"/>
          <w:szCs w:val="28"/>
          <w14:textFill>
            <w14:solidFill>
              <w14:schemeClr w14:val="tx1"/>
            </w14:solidFill>
          </w14:textFill>
        </w:rPr>
        <w:t>满足防火间距要求</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若本项目发生火灾事故</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有</w:t>
      </w:r>
      <w:r>
        <w:rPr>
          <w:color w:val="000000" w:themeColor="text1"/>
          <w:szCs w:val="28"/>
          <w14:textFill>
            <w14:solidFill>
              <w14:schemeClr w14:val="tx1"/>
            </w14:solidFill>
          </w14:textFill>
        </w:rPr>
        <w:t>可能</w:t>
      </w:r>
      <w:r>
        <w:rPr>
          <w:rFonts w:hint="eastAsia"/>
          <w:color w:val="000000" w:themeColor="text1"/>
          <w:szCs w:val="28"/>
          <w:lang w:val="en-US" w:eastAsia="zh-CN"/>
          <w14:textFill>
            <w14:solidFill>
              <w14:schemeClr w14:val="tx1"/>
            </w14:solidFill>
          </w14:textFill>
        </w:rPr>
        <w:t>蔓延至</w:t>
      </w:r>
      <w:r>
        <w:rPr>
          <w:rFonts w:hint="eastAsia"/>
          <w:color w:val="000000" w:themeColor="text1"/>
          <w:szCs w:val="28"/>
          <w14:textFill>
            <w14:solidFill>
              <w14:schemeClr w14:val="tx1"/>
            </w14:solidFill>
          </w14:textFill>
        </w:rPr>
        <w:t>周边</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导致周边</w:t>
      </w:r>
      <w:r>
        <w:rPr>
          <w:rFonts w:hint="eastAsia"/>
          <w:color w:val="000000" w:themeColor="text1"/>
          <w:szCs w:val="28"/>
          <w14:textFill>
            <w14:solidFill>
              <w14:schemeClr w14:val="tx1"/>
            </w14:solidFill>
          </w14:textFill>
        </w:rPr>
        <w:t>设备设施及建（构）筑物损坏、财产损失</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人员伤亡</w:t>
      </w:r>
      <w:r>
        <w:rPr>
          <w:rFonts w:hint="eastAsia"/>
          <w:color w:val="000000" w:themeColor="text1"/>
          <w:szCs w:val="28"/>
          <w14:textFill>
            <w14:solidFill>
              <w14:schemeClr w14:val="tx1"/>
            </w14:solidFill>
          </w14:textFill>
        </w:rPr>
        <w:t>；本项目使用车辆运输，有可能对周边环境造成车辆伤害</w:t>
      </w:r>
      <w:r>
        <w:rPr>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2.周边环境对项目的影响</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项目</w:t>
      </w:r>
      <w:r>
        <w:rPr>
          <w:rFonts w:hint="eastAsia"/>
          <w:color w:val="000000" w:themeColor="text1"/>
          <w:szCs w:val="28"/>
          <w14:textFill>
            <w14:solidFill>
              <w14:schemeClr w14:val="tx1"/>
            </w14:solidFill>
          </w14:textFill>
        </w:rPr>
        <w:t>周边</w:t>
      </w:r>
      <w:r>
        <w:rPr>
          <w:rFonts w:hint="eastAsia"/>
          <w:color w:val="000000" w:themeColor="text1"/>
          <w:szCs w:val="28"/>
          <w:lang w:val="en-US" w:eastAsia="zh-CN"/>
          <w14:textFill>
            <w14:solidFill>
              <w14:schemeClr w14:val="tx1"/>
            </w14:solidFill>
          </w14:textFill>
        </w:rPr>
        <w:t>商铺</w:t>
      </w:r>
      <w:r>
        <w:rPr>
          <w:rFonts w:hint="eastAsia"/>
          <w:color w:val="000000" w:themeColor="text1"/>
          <w:szCs w:val="28"/>
          <w14:textFill>
            <w14:solidFill>
              <w14:schemeClr w14:val="tx1"/>
            </w14:solidFill>
          </w14:textFill>
        </w:rPr>
        <w:t>发生火灾，有</w:t>
      </w:r>
      <w:r>
        <w:rPr>
          <w:rFonts w:hint="eastAsia"/>
          <w:color w:val="000000" w:themeColor="text1"/>
          <w:szCs w:val="28"/>
          <w:lang w:eastAsia="zh-CN"/>
          <w14:textFill>
            <w14:solidFill>
              <w14:schemeClr w14:val="tx1"/>
            </w14:solidFill>
          </w14:textFill>
        </w:rPr>
        <w:t>可能</w:t>
      </w:r>
      <w:r>
        <w:rPr>
          <w:rFonts w:hint="eastAsia"/>
          <w:color w:val="000000" w:themeColor="text1"/>
          <w:szCs w:val="28"/>
          <w14:textFill>
            <w14:solidFill>
              <w14:schemeClr w14:val="tx1"/>
            </w14:solidFill>
          </w14:textFill>
        </w:rPr>
        <w:t>诱发项目发生火灾，导致人员伤亡、设备设施及建（构）筑物损坏、财产损失；道路车辆可导致项目人员车辆伤害。</w:t>
      </w:r>
    </w:p>
    <w:p>
      <w:pPr>
        <w:pStyle w:val="6"/>
        <w:rPr>
          <w:color w:val="000000" w:themeColor="text1"/>
          <w14:textFill>
            <w14:solidFill>
              <w14:schemeClr w14:val="tx1"/>
            </w14:solidFill>
          </w14:textFill>
        </w:rPr>
      </w:pPr>
      <w:bookmarkStart w:id="472" w:name="_Toc129520638"/>
      <w:bookmarkStart w:id="473" w:name="_Toc413501879"/>
      <w:bookmarkStart w:id="474" w:name="_Toc51340678"/>
      <w:bookmarkStart w:id="475" w:name="_Toc103178299"/>
      <w:bookmarkStart w:id="476" w:name="_Toc413502279"/>
      <w:bookmarkStart w:id="477" w:name="_Toc393463061"/>
      <w:bookmarkStart w:id="478" w:name="_Toc444264447"/>
      <w:bookmarkStart w:id="479" w:name="_Toc13605"/>
      <w:bookmarkStart w:id="480" w:name="_Toc54294444"/>
      <w:bookmarkStart w:id="481" w:name="_Toc393462873"/>
      <w:bookmarkStart w:id="482" w:name="_Toc3924"/>
      <w:r>
        <w:rPr>
          <w:rFonts w:hint="eastAsia"/>
          <w:color w:val="000000" w:themeColor="text1"/>
          <w14:textFill>
            <w14:solidFill>
              <w14:schemeClr w14:val="tx1"/>
            </w14:solidFill>
          </w14:textFill>
        </w:rPr>
        <w:t>总体布局危险、有害因素分析</w:t>
      </w:r>
      <w:bookmarkEnd w:id="470"/>
      <w:bookmarkEnd w:id="471"/>
      <w:bookmarkEnd w:id="472"/>
      <w:bookmarkEnd w:id="473"/>
      <w:bookmarkEnd w:id="474"/>
      <w:bookmarkEnd w:id="475"/>
      <w:bookmarkEnd w:id="476"/>
      <w:bookmarkEnd w:id="477"/>
      <w:bookmarkEnd w:id="478"/>
      <w:bookmarkEnd w:id="479"/>
      <w:bookmarkEnd w:id="480"/>
      <w:bookmarkEnd w:id="481"/>
      <w:bookmarkEnd w:id="482"/>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在总平面布置方面，由于功能区划分、防火间距和安全距离、危险危害物质设施、厂内道路等方面设计不合理，可能对项目带来不利影响。</w:t>
      </w:r>
    </w:p>
    <w:p>
      <w:pPr>
        <w:numPr>
          <w:ilvl w:val="1"/>
          <w:numId w:val="22"/>
        </w:numPr>
        <w:tabs>
          <w:tab w:val="left" w:pos="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若本项目平面布置、功能分区如不符合规范要求；设施及设备、建筑物之间的安全距离、防火距离不符合规范要求等可能会引发火灾、爆炸、毁坏、停产停业等危险。</w:t>
      </w:r>
    </w:p>
    <w:p>
      <w:pPr>
        <w:numPr>
          <w:ilvl w:val="1"/>
          <w:numId w:val="22"/>
        </w:numPr>
        <w:tabs>
          <w:tab w:val="left" w:pos="0"/>
          <w:tab w:val="left" w:pos="84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如设备、设施安全通道预留不足，可导致设备检修、巡检不便，发生机械伤害、触电等类型事故；</w:t>
      </w:r>
    </w:p>
    <w:p>
      <w:pPr>
        <w:numPr>
          <w:ilvl w:val="1"/>
          <w:numId w:val="22"/>
        </w:numPr>
        <w:tabs>
          <w:tab w:val="left" w:pos="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项目厂区出入口、厂内道路、消防车道，若物流、人流通道规划不合理、回车场地设置不合理等，可能导致车辆伤害事故，甚至影响事故救援，导致事故等级扩大；</w:t>
      </w:r>
    </w:p>
    <w:p>
      <w:pPr>
        <w:numPr>
          <w:ilvl w:val="1"/>
          <w:numId w:val="22"/>
        </w:numPr>
        <w:tabs>
          <w:tab w:val="left" w:pos="0"/>
        </w:tabs>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若本项目生产车间朝向不合理，室内采光、照明不足，视线不清，从而导致误操作，引发火灾等二次事故的发生。</w:t>
      </w:r>
    </w:p>
    <w:p>
      <w:pPr>
        <w:pStyle w:val="5"/>
        <w:rPr>
          <w:snapToGrid w:val="0"/>
          <w:color w:val="000000" w:themeColor="text1"/>
          <w14:textFill>
            <w14:solidFill>
              <w14:schemeClr w14:val="tx1"/>
            </w14:solidFill>
          </w14:textFill>
        </w:rPr>
      </w:pPr>
      <w:bookmarkStart w:id="483" w:name="_Toc413501880"/>
      <w:bookmarkStart w:id="484" w:name="_Toc444264448"/>
      <w:bookmarkStart w:id="485" w:name="_Toc413502280"/>
      <w:bookmarkStart w:id="486" w:name="_Toc51340679"/>
      <w:bookmarkStart w:id="487" w:name="_Toc54294445"/>
      <w:bookmarkStart w:id="488" w:name="_Toc129520639"/>
      <w:bookmarkStart w:id="489" w:name="_Toc103178300"/>
      <w:bookmarkStart w:id="490" w:name="_Toc28468"/>
      <w:bookmarkStart w:id="491" w:name="_Toc672"/>
      <w:r>
        <w:rPr>
          <w:rFonts w:hint="eastAsia"/>
          <w:snapToGrid w:val="0"/>
          <w:color w:val="000000" w:themeColor="text1"/>
          <w14:textFill>
            <w14:solidFill>
              <w14:schemeClr w14:val="tx1"/>
            </w14:solidFill>
          </w14:textFill>
        </w:rPr>
        <w:t>主要</w:t>
      </w:r>
      <w:bookmarkEnd w:id="483"/>
      <w:bookmarkEnd w:id="484"/>
      <w:bookmarkEnd w:id="485"/>
      <w:bookmarkEnd w:id="486"/>
      <w:r>
        <w:rPr>
          <w:rFonts w:hint="eastAsia"/>
          <w:snapToGrid w:val="0"/>
          <w:color w:val="000000" w:themeColor="text1"/>
          <w14:textFill>
            <w14:solidFill>
              <w14:schemeClr w14:val="tx1"/>
            </w14:solidFill>
          </w14:textFill>
        </w:rPr>
        <w:t>危险、有害因素分析</w:t>
      </w:r>
      <w:bookmarkEnd w:id="487"/>
      <w:bookmarkEnd w:id="488"/>
      <w:bookmarkEnd w:id="489"/>
      <w:bookmarkEnd w:id="490"/>
      <w:bookmarkEnd w:id="491"/>
    </w:p>
    <w:p>
      <w:pPr>
        <w:pStyle w:val="6"/>
        <w:rPr>
          <w:color w:val="000000" w:themeColor="text1"/>
          <w14:textFill>
            <w14:solidFill>
              <w14:schemeClr w14:val="tx1"/>
            </w14:solidFill>
          </w14:textFill>
        </w:rPr>
      </w:pPr>
      <w:bookmarkStart w:id="492" w:name="_Toc413501886"/>
      <w:bookmarkStart w:id="493" w:name="_Toc54294451"/>
      <w:bookmarkStart w:id="494" w:name="_Toc129520645"/>
      <w:bookmarkStart w:id="495" w:name="_Toc444264458"/>
      <w:bookmarkStart w:id="496" w:name="_Toc13340"/>
      <w:bookmarkStart w:id="497" w:name="_Toc103178303"/>
      <w:bookmarkStart w:id="498" w:name="_Toc413502286"/>
      <w:bookmarkStart w:id="499" w:name="_Toc51340685"/>
      <w:bookmarkStart w:id="500" w:name="_Toc8546"/>
      <w:r>
        <w:rPr>
          <w:rFonts w:hint="eastAsia"/>
          <w:color w:val="000000" w:themeColor="text1"/>
          <w14:textFill>
            <w14:solidFill>
              <w14:schemeClr w14:val="tx1"/>
            </w14:solidFill>
          </w14:textFill>
        </w:rPr>
        <w:t>物体打击危险性分析</w:t>
      </w:r>
      <w:bookmarkEnd w:id="492"/>
      <w:bookmarkEnd w:id="493"/>
      <w:bookmarkEnd w:id="494"/>
      <w:bookmarkEnd w:id="495"/>
      <w:bookmarkEnd w:id="496"/>
      <w:bookmarkEnd w:id="497"/>
      <w:bookmarkEnd w:id="498"/>
      <w:bookmarkEnd w:id="499"/>
      <w:bookmarkEnd w:id="500"/>
    </w:p>
    <w:p>
      <w:pPr>
        <w:snapToGrid w:val="0"/>
        <w:ind w:firstLine="560"/>
        <w:rPr>
          <w:color w:val="000000" w:themeColor="text1"/>
          <w14:textFill>
            <w14:solidFill>
              <w14:schemeClr w14:val="tx1"/>
            </w14:solidFill>
          </w14:textFill>
        </w:rPr>
      </w:pPr>
      <w:r>
        <w:rPr>
          <w:color w:val="000000" w:themeColor="text1"/>
          <w14:textFill>
            <w14:solidFill>
              <w14:schemeClr w14:val="tx1"/>
            </w14:solidFill>
          </w14:textFill>
        </w:rPr>
        <w:t>物体打击，是指物体在重力或其他外力的作用下产生运动，打击人体造成人身伤亡事故。对本项目导致物体打击的原因分析如下：</w:t>
      </w:r>
    </w:p>
    <w:p>
      <w:pPr>
        <w:numPr>
          <w:ilvl w:val="0"/>
          <w:numId w:val="23"/>
        </w:numPr>
        <w:snapToGrid w:val="0"/>
        <w:ind w:left="0" w:leftChars="0" w:firstLine="560" w:firstLineChars="200"/>
        <w:rPr>
          <w:color w:val="000000" w:themeColor="text1"/>
          <w14:textFill>
            <w14:solidFill>
              <w14:schemeClr w14:val="tx1"/>
            </w14:solidFill>
          </w14:textFill>
        </w:rPr>
      </w:pPr>
      <w:r>
        <w:rPr>
          <w:color w:val="000000" w:themeColor="text1"/>
          <w14:textFill>
            <w14:solidFill>
              <w14:schemeClr w14:val="tx1"/>
            </w14:solidFill>
          </w14:textFill>
        </w:rPr>
        <w:t>高空平台、通道上堆物或者高空装置零件破损，造成物料或装置部件坠落，对下层作业人员造成物体打击。</w:t>
      </w:r>
    </w:p>
    <w:p>
      <w:pPr>
        <w:numPr>
          <w:ilvl w:val="0"/>
          <w:numId w:val="23"/>
        </w:numPr>
        <w:snapToGrid w:val="0"/>
        <w:ind w:left="0" w:leftChars="0" w:firstLine="560" w:firstLineChars="200"/>
        <w:rPr>
          <w:color w:val="000000" w:themeColor="text1"/>
          <w14:textFill>
            <w14:solidFill>
              <w14:schemeClr w14:val="tx1"/>
            </w14:solidFill>
          </w14:textFill>
        </w:rPr>
      </w:pPr>
      <w:r>
        <w:rPr>
          <w:color w:val="000000" w:themeColor="text1"/>
          <w14:textFill>
            <w14:solidFill>
              <w14:schemeClr w14:val="tx1"/>
            </w14:solidFill>
          </w14:textFill>
        </w:rPr>
        <w:t>高空抛物，未划定警戒线，无人监护</w:t>
      </w:r>
    </w:p>
    <w:p>
      <w:pPr>
        <w:numPr>
          <w:ilvl w:val="0"/>
          <w:numId w:val="23"/>
        </w:numPr>
        <w:snapToGrid w:val="0"/>
        <w:ind w:left="0" w:leftChars="0" w:firstLine="560" w:firstLineChars="200"/>
        <w:rPr>
          <w:color w:val="000000" w:themeColor="text1"/>
          <w14:textFill>
            <w14:solidFill>
              <w14:schemeClr w14:val="tx1"/>
            </w14:solidFill>
          </w14:textFill>
        </w:rPr>
      </w:pPr>
      <w:r>
        <w:rPr>
          <w:color w:val="000000" w:themeColor="text1"/>
          <w14:textFill>
            <w14:solidFill>
              <w14:schemeClr w14:val="tx1"/>
            </w14:solidFill>
          </w14:textFill>
        </w:rPr>
        <w:t>建（构）筑物倒塌、支架搭设和拆除时违章作业。</w:t>
      </w:r>
    </w:p>
    <w:p>
      <w:pPr>
        <w:numPr>
          <w:ilvl w:val="0"/>
          <w:numId w:val="23"/>
        </w:numPr>
        <w:snapToGrid w:val="0"/>
        <w:ind w:left="0" w:leftChars="0" w:firstLine="560" w:firstLineChars="200"/>
        <w:rPr>
          <w:color w:val="000000" w:themeColor="text1"/>
          <w14:textFill>
            <w14:solidFill>
              <w14:schemeClr w14:val="tx1"/>
            </w14:solidFill>
          </w14:textFill>
        </w:rPr>
      </w:pPr>
      <w:r>
        <w:rPr>
          <w:color w:val="000000" w:themeColor="text1"/>
          <w14:textFill>
            <w14:solidFill>
              <w14:schemeClr w14:val="tx1"/>
            </w14:solidFill>
          </w14:textFill>
        </w:rPr>
        <w:t>易滚动物件堆放不符合要求或堆放无防滚动措施等。</w:t>
      </w:r>
    </w:p>
    <w:p>
      <w:pPr>
        <w:numPr>
          <w:ilvl w:val="0"/>
          <w:numId w:val="23"/>
        </w:numPr>
        <w:snapToGrid w:val="0"/>
        <w:ind w:left="0" w:leftChars="0" w:firstLine="560" w:firstLineChars="200"/>
        <w:rPr>
          <w:color w:val="000000" w:themeColor="text1"/>
          <w14:textFill>
            <w14:solidFill>
              <w14:schemeClr w14:val="tx1"/>
            </w14:solidFill>
          </w14:textFill>
        </w:rPr>
      </w:pPr>
      <w:r>
        <w:rPr>
          <w:color w:val="000000" w:themeColor="text1"/>
          <w14:textFill>
            <w14:solidFill>
              <w14:schemeClr w14:val="tx1"/>
            </w14:solidFill>
          </w14:textFill>
        </w:rPr>
        <w:t>其他可能导致事故的原因。</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项目物体打击主要可能发生于通道区域。</w:t>
      </w:r>
    </w:p>
    <w:p>
      <w:pPr>
        <w:pStyle w:val="6"/>
        <w:rPr>
          <w:color w:val="000000" w:themeColor="text1"/>
          <w14:textFill>
            <w14:solidFill>
              <w14:schemeClr w14:val="tx1"/>
            </w14:solidFill>
          </w14:textFill>
        </w:rPr>
      </w:pPr>
      <w:bookmarkStart w:id="501" w:name="_Toc5404"/>
      <w:bookmarkStart w:id="502" w:name="_Toc54294450"/>
      <w:bookmarkStart w:id="503" w:name="_Toc27631"/>
      <w:bookmarkStart w:id="504" w:name="_Toc413502284"/>
      <w:bookmarkStart w:id="505" w:name="_Toc413501884"/>
      <w:bookmarkStart w:id="506" w:name="_Toc129520644"/>
      <w:bookmarkStart w:id="507" w:name="_Toc103178302"/>
      <w:bookmarkStart w:id="508" w:name="_Toc444264456"/>
      <w:bookmarkStart w:id="509" w:name="_Toc51340684"/>
      <w:bookmarkStart w:id="510" w:name="_Toc413501889"/>
      <w:bookmarkStart w:id="511" w:name="_Toc129520646"/>
      <w:bookmarkStart w:id="512" w:name="_Toc413501887"/>
      <w:bookmarkStart w:id="513" w:name="_Toc54294452"/>
      <w:bookmarkStart w:id="514" w:name="_Toc103178307"/>
      <w:bookmarkStart w:id="515" w:name="_Toc21706"/>
      <w:bookmarkStart w:id="516" w:name="_Toc51340686"/>
      <w:bookmarkStart w:id="517" w:name="_Toc23407"/>
      <w:bookmarkStart w:id="518" w:name="_Toc51340689"/>
      <w:bookmarkStart w:id="519" w:name="_Toc444264459"/>
      <w:bookmarkStart w:id="520" w:name="_Toc129520649"/>
      <w:bookmarkStart w:id="521" w:name="_Toc103178304"/>
      <w:bookmarkStart w:id="522" w:name="_Toc413502287"/>
      <w:bookmarkStart w:id="523" w:name="_Toc413502289"/>
      <w:bookmarkStart w:id="524" w:name="_Toc54294455"/>
      <w:bookmarkStart w:id="525" w:name="_Toc444264462"/>
      <w:r>
        <w:rPr>
          <w:rFonts w:hint="eastAsia"/>
          <w:color w:val="000000" w:themeColor="text1"/>
          <w14:textFill>
            <w14:solidFill>
              <w14:schemeClr w14:val="tx1"/>
            </w14:solidFill>
          </w14:textFill>
        </w:rPr>
        <w:t>车辆伤害危险性分析</w:t>
      </w:r>
      <w:bookmarkEnd w:id="501"/>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车辆伤害指进出企业的机动车辆在装卸物料或出入口与厂外车辆发生碰撞引起的人体坠落和物体倒塌、下落、挤压伤亡事故。</w:t>
      </w:r>
      <w:r>
        <w:rPr>
          <w:color w:val="000000" w:themeColor="text1"/>
          <w14:textFill>
            <w14:solidFill>
              <w14:schemeClr w14:val="tx1"/>
            </w14:solidFill>
          </w14:textFill>
        </w:rPr>
        <w:t>本项目</w:t>
      </w:r>
      <w:r>
        <w:rPr>
          <w:color w:val="000000" w:themeColor="text1"/>
          <w:szCs w:val="28"/>
          <w14:textFill>
            <w14:solidFill>
              <w14:schemeClr w14:val="tx1"/>
            </w14:solidFill>
          </w14:textFill>
        </w:rPr>
        <w:t>原料、辅料和成品均通过汽车运输</w:t>
      </w:r>
      <w:r>
        <w:rPr>
          <w:color w:val="000000" w:themeColor="text1"/>
          <w14:textFill>
            <w14:solidFill>
              <w14:schemeClr w14:val="tx1"/>
            </w14:solidFill>
          </w14:textFill>
        </w:rPr>
        <w:t>，厂区内原料、辅料、成品主要是采用</w:t>
      </w:r>
      <w:r>
        <w:rPr>
          <w:rFonts w:hint="eastAsia"/>
          <w:color w:val="000000" w:themeColor="text1"/>
          <w14:textFill>
            <w14:solidFill>
              <w14:schemeClr w14:val="tx1"/>
            </w14:solidFill>
          </w14:textFill>
        </w:rPr>
        <w:t>人工</w:t>
      </w:r>
      <w:r>
        <w:rPr>
          <w:color w:val="000000" w:themeColor="text1"/>
          <w14:textFill>
            <w14:solidFill>
              <w14:schemeClr w14:val="tx1"/>
            </w14:solidFill>
          </w14:textFill>
        </w:rPr>
        <w:t>转运</w:t>
      </w:r>
      <w:r>
        <w:rPr>
          <w:color w:val="000000" w:themeColor="text1"/>
          <w:szCs w:val="28"/>
          <w14:textFill>
            <w14:solidFill>
              <w14:schemeClr w14:val="tx1"/>
            </w14:solidFill>
          </w14:textFill>
        </w:rPr>
        <w:t>。车辆伤害事故的原因是多方面的，但主要是涉及人（驾驶员、行人、装卸工）、车（机动车与非机动车）、道路环境这三个综合因素。对产生车辆伤害的主要原因分析如下：</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违章驾车</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指事故的当事人，由于思想方面的原因而导致的错误操作行为，不按有关规定行驶，扰乱正常的企业内搬运秩序，致使事故发生。如酒后驾车，疲劳驾车，非驾驶员驾车，超速行驶，争道抢行，违章超车，违章装载等原因造成的车辆伤害事故。</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疏忽大意</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指当事人由于心理或生理方面的原因，没有及时、正确的观察和判断道路情况，而造成失误，如情绪急躁、精神分散、心理烦乱、身体不适等都可能造成注意力下降，反应迟钝，表现出</w:t>
      </w:r>
      <w:r>
        <w:rPr>
          <w:rFonts w:hint="eastAsia"/>
          <w:color w:val="000000" w:themeColor="text1"/>
          <w:szCs w:val="28"/>
          <w:lang w:eastAsia="zh-CN"/>
          <w14:textFill>
            <w14:solidFill>
              <w14:schemeClr w14:val="tx1"/>
            </w14:solidFill>
          </w14:textFill>
        </w:rPr>
        <w:t>瞭望</w:t>
      </w:r>
      <w:r>
        <w:rPr>
          <w:color w:val="000000" w:themeColor="text1"/>
          <w:szCs w:val="28"/>
          <w14:textFill>
            <w14:solidFill>
              <w14:schemeClr w14:val="tx1"/>
            </w14:solidFill>
          </w14:textFill>
        </w:rPr>
        <w:t>观察不周，遇到情况采取措施不及时或不当；也有的只凭主观想象判断情况，或过高地估计</w:t>
      </w:r>
      <w:r>
        <w:rPr>
          <w:rFonts w:hint="eastAsia"/>
          <w:color w:val="000000" w:themeColor="text1"/>
          <w:szCs w:val="28"/>
          <w:lang w:eastAsia="zh-CN"/>
          <w14:textFill>
            <w14:solidFill>
              <w14:schemeClr w14:val="tx1"/>
            </w14:solidFill>
          </w14:textFill>
        </w:rPr>
        <w:t>自己</w:t>
      </w:r>
      <w:r>
        <w:rPr>
          <w:color w:val="000000" w:themeColor="text1"/>
          <w:szCs w:val="28"/>
          <w14:textFill>
            <w14:solidFill>
              <w14:schemeClr w14:val="tx1"/>
            </w14:solidFill>
          </w14:textFill>
        </w:rPr>
        <w:t>的经验技术，过分自信，引起操作失误导致事故。</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车况不良</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车辆的安全装置如转向、制动、喇叭、照明；后视镜和转向指示灯等不齐全有效；车辆维护修理不及时，带“病”行驶。</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道路环境</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道路因物料无序堆放导致通道狭窄，因建筑物或自然环境影响造成视线不良等。</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5</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管理因素</w:t>
      </w:r>
    </w:p>
    <w:p>
      <w:pPr>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车辆安全行驶制度不落实，管理规章制度或操作规程不健全，非驾驶员驾车，车辆维修不及时，交通信号、标志、设施缺陷。</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项目车辆伤害主要可能发生于厂区道路、车间物流通道、装卸区等处。</w:t>
      </w:r>
    </w:p>
    <w:p>
      <w:pPr>
        <w:pStyle w:val="6"/>
        <w:rPr>
          <w:color w:val="000000" w:themeColor="text1"/>
          <w14:textFill>
            <w14:solidFill>
              <w14:schemeClr w14:val="tx1"/>
            </w14:solidFill>
          </w14:textFill>
        </w:rPr>
      </w:pPr>
      <w:bookmarkStart w:id="526" w:name="_Toc23584"/>
      <w:r>
        <w:rPr>
          <w:rFonts w:hint="eastAsia"/>
          <w:color w:val="000000" w:themeColor="text1"/>
          <w14:textFill>
            <w14:solidFill>
              <w14:schemeClr w14:val="tx1"/>
            </w14:solidFill>
          </w14:textFill>
        </w:rPr>
        <w:t>机械伤害危险性分析</w:t>
      </w:r>
      <w:bookmarkEnd w:id="502"/>
      <w:bookmarkEnd w:id="503"/>
      <w:bookmarkEnd w:id="504"/>
      <w:bookmarkEnd w:id="505"/>
      <w:bookmarkEnd w:id="506"/>
      <w:bookmarkEnd w:id="507"/>
      <w:bookmarkEnd w:id="508"/>
      <w:bookmarkEnd w:id="509"/>
      <w:bookmarkEnd w:id="526"/>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本项目</w:t>
      </w:r>
      <w:r>
        <w:rPr>
          <w:rFonts w:hint="eastAsia" w:ascii="宋体" w:hAnsi="宋体"/>
          <w:color w:val="000000" w:themeColor="text1"/>
          <w14:textFill>
            <w14:solidFill>
              <w14:schemeClr w14:val="tx1"/>
            </w14:solidFill>
          </w14:textFill>
        </w:rPr>
        <w:t>在正常生产过程中使用的机械设备，可能发生机械伤害。</w:t>
      </w:r>
      <w:r>
        <w:rPr>
          <w:rFonts w:hint="eastAsia"/>
          <w:color w:val="000000" w:themeColor="text1"/>
          <w:szCs w:val="28"/>
          <w14:textFill>
            <w14:solidFill>
              <w14:schemeClr w14:val="tx1"/>
            </w14:solidFill>
          </w14:textFill>
        </w:rPr>
        <w:t>机械伤害指机械设备运动（静止）部件、工具直接与人体接触引起的夹击、碰撞、剪切、卷入、绞、碾、割、刺等伤害。</w:t>
      </w:r>
      <w:r>
        <w:rPr>
          <w:rFonts w:hint="eastAsia" w:ascii="宋体" w:hAnsi="宋体"/>
          <w:color w:val="000000" w:themeColor="text1"/>
          <w:szCs w:val="28"/>
          <w14:textFill>
            <w14:solidFill>
              <w14:schemeClr w14:val="tx1"/>
            </w14:solidFill>
          </w14:textFill>
        </w:rPr>
        <w:t>在事故及检维修等特殊情况下，也存在机械伤害的可能性。</w:t>
      </w:r>
      <w:r>
        <w:rPr>
          <w:rFonts w:hint="eastAsia"/>
          <w:color w:val="000000" w:themeColor="text1"/>
          <w:szCs w:val="28"/>
          <w14:textFill>
            <w14:solidFill>
              <w14:schemeClr w14:val="tx1"/>
            </w14:solidFill>
          </w14:textFill>
        </w:rPr>
        <w:t>产生机械伤害的情况分析如下：</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无防护：如无防护罩、安全保护装置、报警装置、安全警示标志、护栏等安全防护措施或防护措施</w:t>
      </w:r>
      <w:r>
        <w:rPr>
          <w:rFonts w:hint="eastAsia"/>
          <w:color w:val="000000" w:themeColor="text1"/>
          <w:lang w:eastAsia="zh-CN"/>
          <w14:textFill>
            <w14:solidFill>
              <w14:schemeClr w14:val="tx1"/>
            </w14:solidFill>
          </w14:textFill>
        </w:rPr>
        <w:t>缺失</w:t>
      </w:r>
      <w:r>
        <w:rPr>
          <w:color w:val="000000" w:themeColor="text1"/>
          <w14:textFill>
            <w14:solidFill>
              <w14:schemeClr w14:val="tx1"/>
            </w14:solidFill>
          </w14:textFill>
        </w:rPr>
        <w:t>。</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防护不当：如防护罩未在适当位置，防护装置调整不当，安全距离不够等。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3.机械设备设施存在缺陷：如设计不合理，结构不符合安全要求，制动装置有缺陷，安全间距不够，</w:t>
      </w:r>
      <w:r>
        <w:rPr>
          <w:rFonts w:hint="eastAsia"/>
          <w:color w:val="000000" w:themeColor="text1"/>
          <w14:textFill>
            <w14:solidFill>
              <w14:schemeClr w14:val="tx1"/>
            </w14:solidFill>
          </w14:textFill>
        </w:rPr>
        <w:t>工件</w:t>
      </w:r>
      <w:r>
        <w:rPr>
          <w:color w:val="000000" w:themeColor="text1"/>
          <w14:textFill>
            <w14:solidFill>
              <w14:schemeClr w14:val="tx1"/>
            </w14:solidFill>
          </w14:textFill>
        </w:rPr>
        <w:t>上有锋利毛刺、毛边，设备上有锋利倒棱等。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人员违章作业造成机械伤害。</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机械强度不够：</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6</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设备带“病”运转，超负荷运转等。</w:t>
      </w:r>
    </w:p>
    <w:p>
      <w:pPr>
        <w:ind w:firstLine="560"/>
        <w:rPr>
          <w:color w:val="000000" w:themeColor="text1"/>
          <w14:textFill>
            <w14:solidFill>
              <w14:schemeClr w14:val="tx1"/>
            </w14:solidFill>
          </w14:textFill>
        </w:rPr>
      </w:pPr>
      <w:r>
        <w:rPr>
          <w:color w:val="000000" w:themeColor="text1"/>
          <w14:textFill>
            <w14:solidFill>
              <w14:schemeClr w14:val="tx1"/>
            </w14:solidFill>
          </w14:textFill>
        </w:rPr>
        <w:t>7.无意或为排除故障而接近危险部位：如在无防护罩的两个相对运动零部件之间清理卡住物时，可能造成挤伤、夹断、切断、压碎或人的肢体被卷进的伤害。</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项目机械伤害主要可能发生于</w:t>
      </w:r>
      <w:r>
        <w:rPr>
          <w:rFonts w:hint="eastAsia"/>
          <w:color w:val="000000" w:themeColor="text1"/>
          <w:szCs w:val="28"/>
          <w14:textFill>
            <w14:solidFill>
              <w14:schemeClr w14:val="tx1"/>
            </w14:solidFill>
          </w14:textFill>
        </w:rPr>
        <w:t>中空吹塑机、全自动贴标机、粉碎机</w:t>
      </w:r>
      <w:r>
        <w:rPr>
          <w:rFonts w:hint="eastAsia"/>
          <w:color w:val="000000" w:themeColor="text1"/>
          <w14:textFill>
            <w14:solidFill>
              <w14:schemeClr w14:val="tx1"/>
            </w14:solidFill>
          </w14:textFill>
        </w:rPr>
        <w:t>等设备运行区域。</w:t>
      </w:r>
    </w:p>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Pr>
        <w:pStyle w:val="6"/>
        <w:rPr>
          <w:color w:val="000000" w:themeColor="text1"/>
          <w14:textFill>
            <w14:solidFill>
              <w14:schemeClr w14:val="tx1"/>
            </w14:solidFill>
          </w14:textFill>
        </w:rPr>
      </w:pPr>
      <w:bookmarkStart w:id="527" w:name="_Toc413502288"/>
      <w:bookmarkStart w:id="528" w:name="_Toc103178305"/>
      <w:bookmarkStart w:id="529" w:name="_Toc51340687"/>
      <w:bookmarkStart w:id="530" w:name="_Toc129520647"/>
      <w:bookmarkStart w:id="531" w:name="_Toc54294453"/>
      <w:bookmarkStart w:id="532" w:name="_Toc444264460"/>
      <w:bookmarkStart w:id="533" w:name="_Toc413501888"/>
      <w:bookmarkStart w:id="534" w:name="_Toc18962"/>
      <w:bookmarkStart w:id="535" w:name="_Toc10728"/>
      <w:r>
        <w:rPr>
          <w:rFonts w:hint="eastAsia"/>
          <w:color w:val="000000" w:themeColor="text1"/>
          <w14:textFill>
            <w14:solidFill>
              <w14:schemeClr w14:val="tx1"/>
            </w14:solidFill>
          </w14:textFill>
        </w:rPr>
        <w:t>触电危险性分析</w:t>
      </w:r>
      <w:bookmarkEnd w:id="527"/>
      <w:bookmarkEnd w:id="528"/>
      <w:bookmarkEnd w:id="529"/>
      <w:bookmarkEnd w:id="530"/>
      <w:bookmarkEnd w:id="531"/>
      <w:bookmarkEnd w:id="532"/>
      <w:bookmarkEnd w:id="533"/>
      <w:bookmarkEnd w:id="534"/>
      <w:bookmarkEnd w:id="535"/>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触电事故的发生经常是由于违章作业或线路老化；高压用电设备绝缘失效；电气线路、设备设计上的不合理、选型不合理、安装上存在缺陷、超负荷使用；未装设漏电保护装置或漏电保护装置失效；电气设备保护接地不良等，电气设备漏电造成人体与带电体直接接触或人体接近高压带电体，使人体流过超过承受阈值的电流而造成的伤害。</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配电室和生产车间发生触电伤害的</w:t>
      </w:r>
      <w:r>
        <w:rPr>
          <w:rFonts w:hint="eastAsia"/>
          <w:color w:val="000000" w:themeColor="text1"/>
          <w:szCs w:val="28"/>
          <w:lang w:eastAsia="zh-CN"/>
          <w14:textFill>
            <w14:solidFill>
              <w14:schemeClr w14:val="tx1"/>
            </w14:solidFill>
          </w14:textFill>
        </w:rPr>
        <w:t>概率</w:t>
      </w:r>
      <w:r>
        <w:rPr>
          <w:color w:val="000000" w:themeColor="text1"/>
          <w:szCs w:val="28"/>
          <w14:textFill>
            <w14:solidFill>
              <w14:schemeClr w14:val="tx1"/>
            </w14:solidFill>
          </w14:textFill>
        </w:rPr>
        <w:t>较高，这是由于其作业性质决定的。引起触电事故的主要原因，除了设计缺陷、设计不周等技术因素外，大部分是由于违章作业、违章操作引起的。造成事故的主要因素有：</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装设地线失效</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线路检修时不装设或未按规定装设接地线</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线路或电气设备检修完毕未办理工作票终结手续，就对停电设备恢复送电</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在带电设备附近进行作业，不符合安全距离或无监护措施</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5</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工作人员在带电设备附近使用钢卷尺、皮尺等进行测量或携带金属超高物体在带电设备下行走</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6</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引线摆动碰地、触及带电体</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7</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工作人员擅自扩大工作范围</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8</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使用电动工具的金属外壳不接地，不戴绝缘手套</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9</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在电缆沟或金属容器内工作不使用安全电压照明灯</w:t>
      </w:r>
      <w:r>
        <w:rPr>
          <w:rFonts w:hint="eastAsia"/>
          <w:color w:val="000000" w:themeColor="text1"/>
          <w:szCs w:val="28"/>
          <w14:textFill>
            <w14:solidFill>
              <w14:schemeClr w14:val="tx1"/>
            </w14:solidFill>
          </w14:textFill>
        </w:rPr>
        <w:t>。</w:t>
      </w:r>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10</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在潮湿地区、金属容器内工作不穿绝缘鞋，无绝缘垫，无监护人。</w:t>
      </w:r>
    </w:p>
    <w:p>
      <w:p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1</w:t>
      </w: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在潮湿环境的开关箱未采取防潮措施。</w:t>
      </w:r>
    </w:p>
    <w:p>
      <w:pPr>
        <w:pStyle w:val="6"/>
      </w:pPr>
      <w:bookmarkStart w:id="536" w:name="_Toc31682"/>
      <w:bookmarkStart w:id="537" w:name="_Toc297561879"/>
      <w:bookmarkStart w:id="538" w:name="_Toc413502281"/>
      <w:bookmarkStart w:id="539" w:name="_Toc413501881"/>
      <w:bookmarkStart w:id="540" w:name="_Toc32279"/>
      <w:bookmarkStart w:id="541" w:name="_Toc129520640"/>
      <w:bookmarkStart w:id="542" w:name="_Toc103178301"/>
      <w:bookmarkStart w:id="543" w:name="_Toc51340680"/>
      <w:bookmarkStart w:id="544" w:name="_Toc444264449"/>
      <w:bookmarkStart w:id="545" w:name="_Toc54294446"/>
      <w:bookmarkStart w:id="546" w:name="_Toc413501885"/>
      <w:bookmarkStart w:id="547" w:name="_Toc98864429"/>
      <w:bookmarkStart w:id="548" w:name="_Toc520823456"/>
      <w:bookmarkStart w:id="549" w:name="_Toc528845014"/>
      <w:bookmarkStart w:id="550" w:name="_Toc129520643"/>
      <w:bookmarkStart w:id="551" w:name="_Toc21030"/>
      <w:bookmarkStart w:id="552" w:name="_Toc531252687"/>
      <w:bookmarkStart w:id="553" w:name="_Toc22129197"/>
      <w:bookmarkStart w:id="554" w:name="_Toc45548416"/>
      <w:bookmarkStart w:id="555" w:name="_Toc25129"/>
      <w:bookmarkStart w:id="556" w:name="_Toc23165499"/>
      <w:bookmarkStart w:id="557" w:name="_Toc444264463"/>
      <w:bookmarkStart w:id="558" w:name="_Toc413501890"/>
      <w:bookmarkStart w:id="559" w:name="_Toc103178308"/>
      <w:bookmarkStart w:id="560" w:name="_Toc51340690"/>
      <w:bookmarkStart w:id="561" w:name="_Toc54294456"/>
      <w:bookmarkStart w:id="562" w:name="_Toc129520650"/>
      <w:bookmarkStart w:id="563" w:name="_Toc11820"/>
      <w:bookmarkStart w:id="564" w:name="_Toc413502290"/>
      <w:r>
        <w:rPr>
          <w:rFonts w:hint="eastAsia"/>
        </w:rPr>
        <w:t>淹溺危</w:t>
      </w:r>
      <w:r>
        <w:rPr>
          <w:rFonts w:hint="eastAsia"/>
          <w:lang w:val="en-US" w:eastAsia="zh-CN"/>
        </w:rPr>
        <w:t>险性</w:t>
      </w:r>
      <w:r>
        <w:t>分析</w:t>
      </w:r>
      <w:bookmarkEnd w:id="536"/>
    </w:p>
    <w:p>
      <w:pPr>
        <w:ind w:firstLine="560"/>
        <w:rPr>
          <w:lang w:val="en-GB"/>
        </w:rPr>
      </w:pPr>
      <w:r>
        <w:rPr>
          <w:rFonts w:hint="eastAsia"/>
          <w:lang w:val="en-GB"/>
        </w:rPr>
        <w:t>淹溺主要是由于人跌入水中，水进入人体呼吸</w:t>
      </w:r>
      <w:r>
        <w:rPr>
          <w:rFonts w:hint="eastAsia"/>
          <w:lang w:val="en-GB" w:eastAsia="zh-CN"/>
        </w:rPr>
        <w:t>器官</w:t>
      </w:r>
      <w:r>
        <w:rPr>
          <w:rFonts w:hint="eastAsia"/>
          <w:lang w:val="en-GB"/>
        </w:rPr>
        <w:t>后，由于窒息缺氧而产生昏迷，救治不及时会造成人员死亡。</w:t>
      </w:r>
    </w:p>
    <w:p>
      <w:pPr>
        <w:ind w:firstLine="560"/>
        <w:rPr>
          <w:lang w:val="en-GB"/>
        </w:rPr>
      </w:pPr>
      <w:r>
        <w:rPr>
          <w:rFonts w:hint="eastAsia"/>
        </w:rPr>
        <w:t>本</w:t>
      </w:r>
      <w:r>
        <w:rPr>
          <w:rFonts w:hint="eastAsia"/>
          <w:lang w:val="en-GB"/>
        </w:rPr>
        <w:t>项目的循环水池</w:t>
      </w:r>
      <w:r>
        <w:rPr>
          <w:rFonts w:hint="eastAsia"/>
          <w:lang w:val="en-GB" w:eastAsia="zh-CN"/>
        </w:rPr>
        <w:t>、</w:t>
      </w:r>
      <w:r>
        <w:rPr>
          <w:rFonts w:hint="eastAsia"/>
          <w:lang w:val="en-US" w:eastAsia="zh-CN"/>
        </w:rPr>
        <w:t>化粪池</w:t>
      </w:r>
      <w:r>
        <w:rPr>
          <w:rFonts w:hint="eastAsia"/>
          <w:lang w:val="en-GB"/>
        </w:rPr>
        <w:t>，若未设置盖板或池边未设置防护栏杆或损坏，在照明条件差（特别是在夜间）的情况下，人员可能跌入水池，发生淹溺事故。</w:t>
      </w:r>
    </w:p>
    <w:p>
      <w:pPr>
        <w:pStyle w:val="6"/>
        <w:adjustRightInd w:val="0"/>
        <w:snapToGrid w:val="0"/>
        <w:rPr>
          <w:bCs w:val="0"/>
          <w:color w:val="000000" w:themeColor="text1"/>
          <w14:textFill>
            <w14:solidFill>
              <w14:schemeClr w14:val="tx1"/>
            </w14:solidFill>
          </w14:textFill>
        </w:rPr>
      </w:pPr>
      <w:bookmarkStart w:id="565" w:name="_Toc10644"/>
      <w:r>
        <w:rPr>
          <w:bCs w:val="0"/>
          <w:color w:val="000000" w:themeColor="text1"/>
          <w14:textFill>
            <w14:solidFill>
              <w14:schemeClr w14:val="tx1"/>
            </w14:solidFill>
          </w14:textFill>
        </w:rPr>
        <w:t>灼烫危险性分析</w:t>
      </w:r>
      <w:bookmarkEnd w:id="565"/>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1.</w:t>
      </w:r>
      <w:r>
        <w:rPr>
          <w:color w:val="000000" w:themeColor="text1"/>
          <w:szCs w:val="28"/>
          <w14:textFill>
            <w14:solidFill>
              <w14:schemeClr w14:val="tx1"/>
            </w14:solidFill>
          </w14:textFill>
        </w:rPr>
        <w:t>高温灼烫</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高温灼烫伤属于热损伤，是体表部分接触足够高温的干热或湿热所引起的局部和全身反应。</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螺杆式空气压缩机运转中或刚停机时，螺杆空压机机头、油缸等处，温度非常高，容易烫伤人；中空吹塑机加热部分及切除后的尾料温度较高</w:t>
      </w:r>
      <w:r>
        <w:rPr>
          <w:color w:val="000000" w:themeColor="text1"/>
          <w:szCs w:val="28"/>
          <w14:textFill>
            <w14:solidFill>
              <w14:schemeClr w14:val="tx1"/>
            </w14:solidFill>
          </w14:textFill>
        </w:rPr>
        <w:t>，作业接触可能导致高温灼烫。</w:t>
      </w:r>
    </w:p>
    <w:p>
      <w:pPr>
        <w:pStyle w:val="6"/>
        <w:rPr>
          <w:color w:val="000000" w:themeColor="text1"/>
          <w14:textFill>
            <w14:solidFill>
              <w14:schemeClr w14:val="tx1"/>
            </w14:solidFill>
          </w14:textFill>
        </w:rPr>
      </w:pPr>
      <w:bookmarkStart w:id="566" w:name="_Toc30513"/>
      <w:r>
        <w:rPr>
          <w:rFonts w:hint="eastAsia"/>
          <w:color w:val="000000" w:themeColor="text1"/>
          <w14:textFill>
            <w14:solidFill>
              <w14:schemeClr w14:val="tx1"/>
            </w14:solidFill>
          </w14:textFill>
        </w:rPr>
        <w:t>火灾</w:t>
      </w:r>
      <w:bookmarkEnd w:id="537"/>
      <w:r>
        <w:rPr>
          <w:rFonts w:hint="eastAsia"/>
          <w:color w:val="000000" w:themeColor="text1"/>
          <w14:textFill>
            <w14:solidFill>
              <w14:schemeClr w14:val="tx1"/>
            </w14:solidFill>
          </w14:textFill>
        </w:rPr>
        <w:t>危险性分析</w:t>
      </w:r>
      <w:bookmarkEnd w:id="538"/>
      <w:bookmarkEnd w:id="539"/>
      <w:bookmarkEnd w:id="540"/>
      <w:bookmarkEnd w:id="541"/>
      <w:bookmarkEnd w:id="542"/>
      <w:bookmarkEnd w:id="543"/>
      <w:bookmarkEnd w:id="544"/>
      <w:bookmarkEnd w:id="545"/>
      <w:bookmarkEnd w:id="566"/>
    </w:p>
    <w:p>
      <w:pPr>
        <w:pStyle w:val="7"/>
      </w:pPr>
      <w:bookmarkStart w:id="567" w:name="_Toc444264450"/>
      <w:r>
        <w:rPr>
          <w:rFonts w:hint="eastAsia"/>
        </w:rPr>
        <w:t>易燃、可燃物质引起的火灾危险性分析</w:t>
      </w:r>
      <w:bookmarkEnd w:id="567"/>
    </w:p>
    <w:p>
      <w:pPr>
        <w:tabs>
          <w:tab w:val="left" w:pos="6915"/>
        </w:tabs>
        <w:ind w:firstLine="560" w:firstLineChars="0"/>
        <w:rPr>
          <w:color w:val="000000" w:themeColor="text1"/>
          <w:szCs w:val="28"/>
          <w14:textFill>
            <w14:solidFill>
              <w14:schemeClr w14:val="tx1"/>
            </w14:solidFill>
          </w14:textFill>
        </w:rPr>
      </w:pPr>
      <w:bookmarkStart w:id="568" w:name="_Hlk53397468"/>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项目生产过程中</w:t>
      </w:r>
      <w:r>
        <w:rPr>
          <w:rFonts w:hint="eastAsia"/>
          <w:color w:val="000000" w:themeColor="text1"/>
          <w:szCs w:val="28"/>
          <w14:textFill>
            <w14:solidFill>
              <w14:schemeClr w14:val="tx1"/>
            </w14:solidFill>
          </w14:textFill>
        </w:rPr>
        <w:t>涉及的高密度聚乙烯、包装物、润滑油为</w:t>
      </w:r>
      <w:r>
        <w:rPr>
          <w:color w:val="000000" w:themeColor="text1"/>
          <w:szCs w:val="28"/>
          <w14:textFill>
            <w14:solidFill>
              <w14:schemeClr w14:val="tx1"/>
            </w14:solidFill>
          </w14:textFill>
        </w:rPr>
        <w:t>可燃物质，</w:t>
      </w:r>
      <w:r>
        <w:rPr>
          <w:rFonts w:hint="eastAsia"/>
          <w:color w:val="000000" w:themeColor="text1"/>
          <w:szCs w:val="28"/>
          <w14:textFill>
            <w14:solidFill>
              <w14:schemeClr w14:val="tx1"/>
            </w14:solidFill>
          </w14:textFill>
        </w:rPr>
        <w:t>若遇明火、高温等，可引发火灾事故</w:t>
      </w:r>
      <w:r>
        <w:rPr>
          <w:color w:val="000000" w:themeColor="text1"/>
          <w:szCs w:val="28"/>
          <w14:textFill>
            <w14:solidFill>
              <w14:schemeClr w14:val="tx1"/>
            </w14:solidFill>
          </w14:textFill>
        </w:rPr>
        <w:t>。</w:t>
      </w:r>
      <w:bookmarkEnd w:id="568"/>
    </w:p>
    <w:p>
      <w:pPr>
        <w:ind w:firstLine="548" w:firstLineChars="196"/>
        <w:rPr>
          <w:color w:val="000000" w:themeColor="text1"/>
          <w:szCs w:val="28"/>
          <w14:textFill>
            <w14:solidFill>
              <w14:schemeClr w14:val="tx1"/>
            </w14:solidFill>
          </w14:textFill>
        </w:rPr>
      </w:pPr>
      <w:r>
        <w:rPr>
          <w:color w:val="000000" w:themeColor="text1"/>
          <w:szCs w:val="28"/>
          <w14:textFill>
            <w14:solidFill>
              <w14:schemeClr w14:val="tx1"/>
            </w14:solidFill>
          </w14:textFill>
        </w:rPr>
        <w:t>2.点火源分析</w:t>
      </w:r>
    </w:p>
    <w:p>
      <w:pPr>
        <w:ind w:firstLine="548" w:firstLineChars="196"/>
        <w:rPr>
          <w:color w:val="000000" w:themeColor="text1"/>
          <w:szCs w:val="28"/>
          <w14:textFill>
            <w14:solidFill>
              <w14:schemeClr w14:val="tx1"/>
            </w14:solidFill>
          </w14:textFill>
        </w:rPr>
      </w:pPr>
      <w:r>
        <w:rPr>
          <w:color w:val="000000" w:themeColor="text1"/>
          <w:szCs w:val="28"/>
          <w14:textFill>
            <w14:solidFill>
              <w14:schemeClr w14:val="tx1"/>
            </w14:solidFill>
          </w14:textFill>
        </w:rPr>
        <w:t>（1）作业现场吸烟、使用打火机。</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电气设备。电气设备在运行过程中会产生电火花、电弧及高温表面等点火源。产生点火源的情况主要包括：由于设计、选型工作的失误，造成部分电气设备选用不当，不能满足防火防爆的要求，在生产过程中，可能产生电火花、电弧或高温表面，进而引起火灾爆炸事故；电气设备在安装、调试或检修过程中，因安装不当或操作不慎，有可能造成过载、短路而出现高温表面或产生电火花，或者发生电气火灾，可能进一步引发火灾事故；电气设备在运行过程中，由于元器件锈蚀、老化等设备原因，导致故障发生，产生点火源；业人员违章操作、违章用电，以及其它原因也可能会引起电火花、电气火灾等火源。</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（3）雷击。设备、设施、建构筑物如防雷设施不齐，或管理疏忽，导致防雷效果降低，甚至失去作用，则可能在雷雨天因雷击引发火灾爆炸事故。</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（4）机械摩擦和撞击火花。若生产过程中，金属工具等金属物与地面、工艺设备等发生摩擦或撞击，可能产生火花。</w:t>
      </w:r>
    </w:p>
    <w:p>
      <w:pPr>
        <w:pStyle w:val="7"/>
      </w:pPr>
      <w:bookmarkStart w:id="569" w:name="_Toc444264451"/>
      <w:r>
        <w:rPr>
          <w:rFonts w:hint="eastAsia"/>
        </w:rPr>
        <w:t>电气设备引起的火灾危险性分析</w:t>
      </w:r>
      <w:bookmarkEnd w:id="569"/>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1.电气线路火灾危险性分析</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（1）电缆本身在制造时有缺陷，在敷设时保护铅皮损坏或在运行中电缆绝缘受到机械损伤，引起电缆之间或铅皮之间的绝缘击穿而发生电弧。电弧高温能引燃电缆内的绝缘材料和电缆外层的麻布等。</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（2）埋地电缆长期受水、酸碱性土壤腐蚀使保护层破坏，绝缘强度降低，引起电缆短路起火。</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（3）长时间运行中，由于过负荷、过热等原因使电缆绝缘加速老化、干枯，绝缘强度降低，引起电缆相间或对地击穿短路起火。</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（4）电缆外护套破损或密封不良，使电缆发生水渗浸受潮，导致绝缘击穿短路。</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（5）过电压使电缆绝缘击穿发生短路起火。</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（6）安装时电缆的曲率半径过小，致使绝缘折断受损发生短路。</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（7）电缆终端接头和中间接头接触不良发生短路事故，引起电缆着火。</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（8）开关设备及其他电气设备短路或接触电阻过大产生高温起火将附近电缆引燃、安装施工和检修时高温焊渣等掉到电缆上引起着火或其他可燃、易燃物品着火后将附近电缆引燃。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（9）其他可能导致事故的原因。</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2.其他电气设备火灾危险性分析</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其他电气设备包括断路器、照明灯具、插座等，也都是火灾危险性较大的电气设备。这些电气设备在发生故障时，可能会引燃绝缘材料或其它可燃物质，引发火灾事故。</w:t>
      </w:r>
    </w:p>
    <w:p>
      <w:pPr>
        <w:pStyle w:val="6"/>
        <w:rPr>
          <w:color w:val="000000" w:themeColor="text1"/>
          <w14:textFill>
            <w14:solidFill>
              <w14:schemeClr w14:val="tx1"/>
            </w14:solidFill>
          </w14:textFill>
        </w:rPr>
      </w:pPr>
      <w:bookmarkStart w:id="570" w:name="_Toc1422"/>
      <w:r>
        <w:rPr>
          <w:rFonts w:hint="eastAsia"/>
          <w:color w:val="000000" w:themeColor="text1"/>
          <w14:textFill>
            <w14:solidFill>
              <w14:schemeClr w14:val="tx1"/>
            </w14:solidFill>
          </w14:textFill>
        </w:rPr>
        <w:t>高处坠落危险性分析</w:t>
      </w:r>
      <w:bookmarkEnd w:id="570"/>
    </w:p>
    <w:p>
      <w:pPr>
        <w:snapToGrid w:val="0"/>
        <w:ind w:firstLine="560"/>
        <w:rPr>
          <w:color w:val="000000" w:themeColor="text1"/>
          <w14:textFill>
            <w14:solidFill>
              <w14:schemeClr w14:val="tx1"/>
            </w14:solidFill>
          </w14:textFill>
        </w:rPr>
      </w:pPr>
      <w:r>
        <w:rPr>
          <w:color w:val="000000" w:themeColor="text1"/>
          <w14:textFill>
            <w14:solidFill>
              <w14:schemeClr w14:val="tx1"/>
            </w14:solidFill>
          </w14:textFill>
        </w:rPr>
        <w:t>凡在距离基准面垂直距离为2m以上</w:t>
      </w:r>
      <w:r>
        <w:rPr>
          <w:rFonts w:hint="eastAsia"/>
          <w:color w:val="000000" w:themeColor="text1"/>
          <w14:textFill>
            <w14:solidFill>
              <w14:schemeClr w14:val="tx1"/>
            </w14:solidFill>
          </w14:textFill>
        </w:rPr>
        <w:t>（含2m）</w:t>
      </w:r>
      <w:r>
        <w:rPr>
          <w:color w:val="000000" w:themeColor="text1"/>
          <w14:textFill>
            <w14:solidFill>
              <w14:schemeClr w14:val="tx1"/>
            </w14:solidFill>
          </w14:textFill>
        </w:rPr>
        <w:t>，有可能坠落的高处作业均称为高处作业。</w:t>
      </w:r>
      <w:r>
        <w:rPr>
          <w:rFonts w:hint="eastAsia"/>
          <w:color w:val="000000" w:themeColor="text1"/>
          <w14:textFill>
            <w14:solidFill>
              <w14:schemeClr w14:val="tx1"/>
            </w14:solidFill>
          </w14:textFill>
        </w:rPr>
        <w:t>该公司高处作业主要是设备安装、检修、维护过程，平台作业、物料堆码、物料装卸、车顶装卸车等作业过程</w:t>
      </w:r>
      <w:r>
        <w:rPr>
          <w:color w:val="000000" w:themeColor="text1"/>
          <w14:textFill>
            <w14:solidFill>
              <w14:schemeClr w14:val="tx1"/>
            </w14:solidFill>
          </w14:textFill>
        </w:rPr>
        <w:t>，如不采取有效的安全防护措施和使用可靠的安全保护装置，很容易发生高处坠落事故。造成高处坠落事故的</w:t>
      </w:r>
      <w:r>
        <w:rPr>
          <w:rFonts w:hint="eastAsia"/>
          <w:color w:val="000000" w:themeColor="text1"/>
          <w14:textFill>
            <w14:solidFill>
              <w14:schemeClr w14:val="tx1"/>
            </w14:solidFill>
          </w14:textFill>
        </w:rPr>
        <w:t>原因主要</w:t>
      </w:r>
      <w:r>
        <w:rPr>
          <w:color w:val="000000" w:themeColor="text1"/>
          <w14:textFill>
            <w14:solidFill>
              <w14:schemeClr w14:val="tx1"/>
            </w14:solidFill>
          </w14:textFill>
        </w:rPr>
        <w:t>有：</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无安全防护栏、坑（沟）盖板</w:t>
      </w:r>
      <w:r>
        <w:rPr>
          <w:rFonts w:hint="eastAsia"/>
          <w:color w:val="000000" w:themeColor="text1"/>
          <w14:textFill>
            <w14:solidFill>
              <w14:schemeClr w14:val="tx1"/>
            </w14:solidFill>
          </w14:textFill>
        </w:rPr>
        <w:t>、安装孔洞盖板</w:t>
      </w:r>
      <w:r>
        <w:rPr>
          <w:color w:val="000000" w:themeColor="text1"/>
          <w14:textFill>
            <w14:solidFill>
              <w14:schemeClr w14:val="tx1"/>
            </w14:solidFill>
          </w14:textFill>
        </w:rPr>
        <w:t>等</w:t>
      </w:r>
      <w:r>
        <w:rPr>
          <w:rFonts w:hint="eastAsia"/>
          <w:color w:val="000000" w:themeColor="text1"/>
          <w14:textFill>
            <w14:solidFill>
              <w14:schemeClr w14:val="tx1"/>
            </w14:solidFill>
          </w14:textFill>
        </w:rPr>
        <w:t>防护</w:t>
      </w:r>
      <w:r>
        <w:rPr>
          <w:color w:val="000000" w:themeColor="text1"/>
          <w14:textFill>
            <w14:solidFill>
              <w14:schemeClr w14:val="tx1"/>
            </w14:solidFill>
          </w14:textFill>
        </w:rPr>
        <w:t>设施</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2.安全防护</w:t>
      </w:r>
      <w:r>
        <w:rPr>
          <w:color w:val="000000" w:themeColor="text1"/>
          <w14:textFill>
            <w14:solidFill>
              <w14:schemeClr w14:val="tx1"/>
            </w14:solidFill>
          </w14:textFill>
        </w:rPr>
        <w:t>设施</w:t>
      </w:r>
      <w:r>
        <w:rPr>
          <w:rFonts w:hint="eastAsia"/>
          <w:color w:val="000000" w:themeColor="text1"/>
          <w14:textFill>
            <w14:solidFill>
              <w14:schemeClr w14:val="tx1"/>
            </w14:solidFill>
          </w14:textFill>
        </w:rPr>
        <w:t>安装高度、承载力等不符合要求。</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3.安全防护</w:t>
      </w:r>
      <w:r>
        <w:rPr>
          <w:color w:val="000000" w:themeColor="text1"/>
          <w14:textFill>
            <w14:solidFill>
              <w14:schemeClr w14:val="tx1"/>
            </w14:solidFill>
          </w14:textFill>
        </w:rPr>
        <w:t>设施</w:t>
      </w:r>
      <w:r>
        <w:rPr>
          <w:rFonts w:hint="eastAsia"/>
          <w:color w:val="000000" w:themeColor="text1"/>
          <w14:textFill>
            <w14:solidFill>
              <w14:schemeClr w14:val="tx1"/>
            </w14:solidFill>
          </w14:textFill>
        </w:rPr>
        <w:t>因长期未进行防腐修护，导致强度下降或</w:t>
      </w:r>
      <w:r>
        <w:rPr>
          <w:color w:val="000000" w:themeColor="text1"/>
          <w14:textFill>
            <w14:solidFill>
              <w14:schemeClr w14:val="tx1"/>
            </w14:solidFill>
          </w14:textFill>
        </w:rPr>
        <w:t>损坏</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高处作业时没有按要求佩戴安全带（绳）、安全帽或采取其他有效的安全保护措施</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高处作业时不按规定使用安全保护装置或安全防护装置有缺陷</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6.高处作业</w:t>
      </w:r>
      <w:r>
        <w:rPr>
          <w:color w:val="000000" w:themeColor="text1"/>
          <w14:textFill>
            <w14:solidFill>
              <w14:schemeClr w14:val="tx1"/>
            </w14:solidFill>
          </w14:textFill>
        </w:rPr>
        <w:t>立足处不是平面或只有很小的平面，致使作业者无法维持正常姿势</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自然光线不足，能见度差</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违章作业</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疏忽大意，疲劳过度或酒后作业</w:t>
      </w:r>
      <w:r>
        <w:rPr>
          <w:rFonts w:hint="eastAsia"/>
          <w:color w:val="000000" w:themeColor="text1"/>
          <w14:textFill>
            <w14:solidFill>
              <w14:schemeClr w14:val="tx1"/>
            </w14:solidFill>
          </w14:textFill>
        </w:rPr>
        <w:t>。</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高处作业安全管理不到位</w:t>
      </w:r>
      <w:r>
        <w:rPr>
          <w:rFonts w:hint="eastAsia"/>
          <w:color w:val="000000" w:themeColor="text1"/>
          <w14:textFill>
            <w14:solidFill>
              <w14:schemeClr w14:val="tx1"/>
            </w14:solidFill>
          </w14:textFill>
        </w:rPr>
        <w:t>，如未严格进行审批、未配备监护人员等。</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11.</w:t>
      </w:r>
      <w:r>
        <w:rPr>
          <w:color w:val="000000" w:themeColor="text1"/>
          <w14:textFill>
            <w14:solidFill>
              <w14:schemeClr w14:val="tx1"/>
            </w14:solidFill>
          </w14:textFill>
        </w:rPr>
        <w:t>在雷暴雨、浓雾、六级以上大风等恶劣天气进行室外高处作业。</w:t>
      </w:r>
    </w:p>
    <w:p>
      <w:pPr>
        <w:snapToGrid w:val="0"/>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12.其他可能导致事故的原因</w:t>
      </w:r>
      <w:r>
        <w:rPr>
          <w:color w:val="000000" w:themeColor="text1"/>
          <w14:textFill>
            <w14:solidFill>
              <w14:schemeClr w14:val="tx1"/>
            </w14:solidFill>
          </w14:textFill>
        </w:rPr>
        <w:t>。</w:t>
      </w:r>
    </w:p>
    <w:bookmarkEnd w:id="546"/>
    <w:bookmarkEnd w:id="547"/>
    <w:bookmarkEnd w:id="548"/>
    <w:bookmarkEnd w:id="549"/>
    <w:bookmarkEnd w:id="550"/>
    <w:bookmarkEnd w:id="551"/>
    <w:bookmarkEnd w:id="552"/>
    <w:bookmarkEnd w:id="553"/>
    <w:bookmarkEnd w:id="554"/>
    <w:bookmarkEnd w:id="555"/>
    <w:bookmarkEnd w:id="556"/>
    <w:p>
      <w:pPr>
        <w:pStyle w:val="6"/>
        <w:rPr>
          <w:color w:val="000000" w:themeColor="text1"/>
          <w14:textFill>
            <w14:solidFill>
              <w14:schemeClr w14:val="tx1"/>
            </w14:solidFill>
          </w14:textFill>
        </w:rPr>
      </w:pPr>
      <w:bookmarkStart w:id="571" w:name="_Toc16269"/>
      <w:bookmarkStart w:id="572" w:name="_Toc18821"/>
      <w:r>
        <w:rPr>
          <w:rFonts w:hint="eastAsia"/>
          <w:color w:val="000000" w:themeColor="text1"/>
          <w14:textFill>
            <w14:solidFill>
              <w14:schemeClr w14:val="tx1"/>
            </w14:solidFill>
          </w14:textFill>
        </w:rPr>
        <w:t>坍塌危险性分析</w:t>
      </w:r>
      <w:bookmarkEnd w:id="571"/>
    </w:p>
    <w:p>
      <w:pPr>
        <w:ind w:firstLine="560"/>
        <w:rPr>
          <w:color w:val="000000" w:themeColor="text1"/>
          <w:szCs w:val="28"/>
          <w14:textFill>
            <w14:solidFill>
              <w14:schemeClr w14:val="tx1"/>
            </w14:solidFill>
          </w14:textFill>
        </w:rPr>
      </w:pPr>
      <w:r>
        <w:rPr>
          <w:rFonts w:hint="eastAsia" w:ascii="宋体" w:hAnsi="宋体"/>
          <w:color w:val="000000" w:themeColor="text1"/>
          <w:szCs w:val="28"/>
          <w14:textFill>
            <w14:solidFill>
              <w14:schemeClr w14:val="tx1"/>
            </w14:solidFill>
          </w14:textFill>
        </w:rPr>
        <w:t>原料、成品堆码不齐，堆放</w:t>
      </w:r>
      <w:r>
        <w:rPr>
          <w:rFonts w:hint="eastAsia"/>
          <w:color w:val="000000" w:themeColor="text1"/>
          <w:szCs w:val="28"/>
          <w14:textFill>
            <w14:solidFill>
              <w14:schemeClr w14:val="tx1"/>
            </w14:solidFill>
          </w14:textFill>
        </w:rPr>
        <w:t>过高、倾斜等，可能发生坍塌，对其范围内的人员及设备造成伤害。</w:t>
      </w:r>
    </w:p>
    <w:p>
      <w:pPr>
        <w:ind w:firstLine="565" w:firstLineChars="202"/>
        <w:rPr>
          <w:rFonts w:ascii="宋体" w:hAnsi="宋体"/>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检维修过程需搭设脚手架时，若搭设人员不按规范要求搭设、使用和拆除，脚手架材质不符合要求，使用前未进行必要的检查等，有可能造成脚手架坍塌。</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若项目地质情况不良，可能会发生建（构）筑物倒塌、塌陷事故，对设备及人员造成危害；若</w:t>
      </w:r>
      <w:r>
        <w:rPr>
          <w:color w:val="000000" w:themeColor="text1"/>
          <w:szCs w:val="28"/>
          <w14:textFill>
            <w14:solidFill>
              <w14:schemeClr w14:val="tx1"/>
            </w14:solidFill>
          </w14:textFill>
        </w:rPr>
        <w:t>建</w:t>
      </w:r>
      <w:r>
        <w:rPr>
          <w:rFonts w:hint="eastAsia"/>
          <w:color w:val="000000" w:themeColor="text1"/>
          <w:szCs w:val="28"/>
          <w14:textFill>
            <w14:solidFill>
              <w14:schemeClr w14:val="tx1"/>
            </w14:solidFill>
          </w14:textFill>
        </w:rPr>
        <w:t>（构）</w:t>
      </w:r>
      <w:r>
        <w:rPr>
          <w:color w:val="000000" w:themeColor="text1"/>
          <w:szCs w:val="28"/>
          <w14:textFill>
            <w14:solidFill>
              <w14:schemeClr w14:val="tx1"/>
            </w14:solidFill>
          </w14:textFill>
        </w:rPr>
        <w:t>筑物设计不合理，或施工质量不合格，</w:t>
      </w:r>
      <w:r>
        <w:rPr>
          <w:rFonts w:hint="eastAsia"/>
          <w:color w:val="000000" w:themeColor="text1"/>
          <w:szCs w:val="28"/>
          <w14:textFill>
            <w14:solidFill>
              <w14:schemeClr w14:val="tx1"/>
            </w14:solidFill>
          </w14:textFill>
        </w:rPr>
        <w:t>原料、成品靠墙堆放等</w:t>
      </w:r>
      <w:r>
        <w:rPr>
          <w:color w:val="000000" w:themeColor="text1"/>
          <w:szCs w:val="28"/>
          <w14:textFill>
            <w14:solidFill>
              <w14:schemeClr w14:val="tx1"/>
            </w14:solidFill>
          </w14:textFill>
        </w:rPr>
        <w:t>，可能造成建</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构</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筑物坍塌。</w:t>
      </w:r>
    </w:p>
    <w:p>
      <w:p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项目坍塌主要可能发生于原料、成品仓库。</w:t>
      </w:r>
    </w:p>
    <w:p>
      <w:pPr>
        <w:pStyle w:val="6"/>
        <w:bidi w:val="0"/>
        <w:ind w:left="720" w:leftChars="0" w:hanging="720" w:firstLineChars="0"/>
      </w:pPr>
      <w:bookmarkStart w:id="573" w:name="_Toc16955"/>
      <w:r>
        <w:t>容器爆炸危险性分析</w:t>
      </w:r>
      <w:bookmarkEnd w:id="572"/>
      <w:bookmarkEnd w:id="573"/>
    </w:p>
    <w:p>
      <w:pPr>
        <w:keepNext w:val="0"/>
        <w:keepLines w:val="0"/>
        <w:pageBreakBefore w:val="0"/>
        <w:widowControl w:val="0"/>
        <w:kinsoku/>
        <w:wordWrap/>
        <w:topLinePunct/>
        <w:bidi w:val="0"/>
        <w:snapToGrid w:val="0"/>
        <w:ind w:firstLine="560"/>
        <w:rPr>
          <w:szCs w:val="28"/>
        </w:rPr>
      </w:pPr>
      <w:r>
        <w:rPr>
          <w:szCs w:val="28"/>
        </w:rPr>
        <w:t>本项目生产过程中</w:t>
      </w:r>
      <w:r>
        <w:rPr>
          <w:rFonts w:hint="eastAsia"/>
          <w:szCs w:val="28"/>
          <w:lang w:eastAsia="zh-CN"/>
        </w:rPr>
        <w:t>涉及的</w:t>
      </w:r>
      <w:r>
        <w:rPr>
          <w:szCs w:val="28"/>
        </w:rPr>
        <w:t>压缩空气储罐等压力容器，如果操作压力较高，可能会由于内压异常升高，发生爆炸。一般压力容器发生爆炸事故是由于以下原因造成的：</w:t>
      </w:r>
    </w:p>
    <w:p>
      <w:pPr>
        <w:keepNext w:val="0"/>
        <w:keepLines w:val="0"/>
        <w:pageBreakBefore w:val="0"/>
        <w:widowControl w:val="0"/>
        <w:numPr>
          <w:ilvl w:val="0"/>
          <w:numId w:val="24"/>
        </w:numPr>
        <w:kinsoku/>
        <w:wordWrap/>
        <w:overflowPunct/>
        <w:topLinePunct/>
        <w:autoSpaceDE/>
        <w:autoSpaceDN/>
        <w:bidi w:val="0"/>
        <w:adjustRightInd w:val="0"/>
        <w:snapToGrid/>
        <w:ind w:left="0" w:leftChars="0" w:firstLine="560" w:firstLineChars="200"/>
        <w:jc w:val="left"/>
        <w:textAlignment w:val="auto"/>
        <w:rPr>
          <w:rFonts w:ascii="Times New Roman" w:hAnsi="Times New Roman" w:eastAsia="宋体" w:cs="Times New Roman"/>
        </w:rPr>
      </w:pPr>
      <w:r>
        <w:rPr>
          <w:rFonts w:ascii="Times New Roman" w:hAnsi="Times New Roman" w:eastAsia="宋体" w:cs="Times New Roman"/>
        </w:rPr>
        <w:t>安全附件失效：如压力表、安全阀等安全附件失效，无法对压力进行有效的监控，一旦操作压力超出安全范围，很可能发生容器爆炸事故；</w:t>
      </w:r>
    </w:p>
    <w:p>
      <w:pPr>
        <w:keepNext w:val="0"/>
        <w:keepLines w:val="0"/>
        <w:pageBreakBefore w:val="0"/>
        <w:widowControl w:val="0"/>
        <w:numPr>
          <w:ilvl w:val="0"/>
          <w:numId w:val="24"/>
        </w:numPr>
        <w:kinsoku/>
        <w:wordWrap/>
        <w:overflowPunct/>
        <w:topLinePunct/>
        <w:autoSpaceDE/>
        <w:autoSpaceDN/>
        <w:bidi w:val="0"/>
        <w:adjustRightInd w:val="0"/>
        <w:snapToGrid/>
        <w:ind w:left="0" w:leftChars="0" w:firstLine="560" w:firstLineChars="200"/>
        <w:jc w:val="left"/>
        <w:textAlignment w:val="auto"/>
        <w:rPr>
          <w:rFonts w:ascii="Times New Roman" w:hAnsi="Times New Roman" w:eastAsia="宋体" w:cs="Times New Roman"/>
        </w:rPr>
      </w:pPr>
      <w:r>
        <w:rPr>
          <w:rFonts w:ascii="Times New Roman" w:hAnsi="Times New Roman" w:eastAsia="宋体" w:cs="Times New Roman"/>
        </w:rPr>
        <w:t>容器内部压力过高：如出气管道堵塞时会引起容器内压的升高；</w:t>
      </w:r>
    </w:p>
    <w:p>
      <w:pPr>
        <w:keepNext w:val="0"/>
        <w:keepLines w:val="0"/>
        <w:pageBreakBefore w:val="0"/>
        <w:widowControl w:val="0"/>
        <w:numPr>
          <w:ilvl w:val="0"/>
          <w:numId w:val="24"/>
        </w:numPr>
        <w:kinsoku/>
        <w:wordWrap/>
        <w:overflowPunct/>
        <w:topLinePunct/>
        <w:autoSpaceDE/>
        <w:autoSpaceDN/>
        <w:bidi w:val="0"/>
        <w:adjustRightInd w:val="0"/>
        <w:snapToGrid/>
        <w:ind w:left="0" w:leftChars="0" w:firstLine="560" w:firstLineChars="200"/>
        <w:jc w:val="left"/>
        <w:textAlignment w:val="auto"/>
        <w:rPr>
          <w:rFonts w:ascii="Times New Roman" w:hAnsi="Times New Roman" w:eastAsia="宋体" w:cs="Times New Roman"/>
        </w:rPr>
      </w:pPr>
      <w:r>
        <w:rPr>
          <w:rFonts w:ascii="Times New Roman" w:hAnsi="Times New Roman" w:eastAsia="宋体" w:cs="Times New Roman"/>
        </w:rPr>
        <w:t>操作人员缺乏必要的基本知识，违章操作；</w:t>
      </w:r>
    </w:p>
    <w:p>
      <w:pPr>
        <w:keepNext w:val="0"/>
        <w:keepLines w:val="0"/>
        <w:pageBreakBefore w:val="0"/>
        <w:widowControl w:val="0"/>
        <w:numPr>
          <w:ilvl w:val="0"/>
          <w:numId w:val="24"/>
        </w:numPr>
        <w:kinsoku/>
        <w:wordWrap/>
        <w:overflowPunct/>
        <w:topLinePunct/>
        <w:autoSpaceDE/>
        <w:autoSpaceDN/>
        <w:bidi w:val="0"/>
        <w:adjustRightInd w:val="0"/>
        <w:snapToGrid/>
        <w:ind w:left="0" w:leftChars="0" w:firstLine="560" w:firstLineChars="200"/>
        <w:jc w:val="left"/>
        <w:textAlignment w:val="auto"/>
        <w:rPr>
          <w:rFonts w:ascii="Times New Roman" w:hAnsi="Times New Roman" w:eastAsia="宋体" w:cs="Times New Roman"/>
        </w:rPr>
      </w:pPr>
      <w:r>
        <w:rPr>
          <w:rFonts w:ascii="Times New Roman" w:hAnsi="Times New Roman" w:eastAsia="宋体" w:cs="Times New Roman"/>
        </w:rPr>
        <w:t>压力容器、压力管道设计安装缺陷：如设备、管道本体质量差、用材不当、存在先天性制造质量缺陷（焊接裂缝和未焊透等）或安装过程中存在质量问题；</w:t>
      </w:r>
    </w:p>
    <w:p>
      <w:pPr>
        <w:keepNext w:val="0"/>
        <w:keepLines w:val="0"/>
        <w:pageBreakBefore w:val="0"/>
        <w:widowControl w:val="0"/>
        <w:numPr>
          <w:ilvl w:val="0"/>
          <w:numId w:val="24"/>
        </w:numPr>
        <w:kinsoku/>
        <w:wordWrap/>
        <w:overflowPunct/>
        <w:topLinePunct/>
        <w:autoSpaceDE/>
        <w:autoSpaceDN/>
        <w:bidi w:val="0"/>
        <w:adjustRightInd w:val="0"/>
        <w:snapToGrid/>
        <w:ind w:left="0" w:leftChars="0" w:firstLine="560" w:firstLineChars="200"/>
        <w:jc w:val="left"/>
        <w:textAlignment w:val="auto"/>
        <w:rPr>
          <w:rFonts w:ascii="Times New Roman" w:hAnsi="Times New Roman" w:eastAsia="宋体" w:cs="Times New Roman"/>
        </w:rPr>
      </w:pPr>
      <w:r>
        <w:rPr>
          <w:rFonts w:ascii="Times New Roman" w:hAnsi="Times New Roman" w:eastAsia="宋体" w:cs="Times New Roman"/>
        </w:rPr>
        <w:t>疲劳：压力容器、压力管道长期压力交变会引起疲劳裂纹及疲劳断裂；</w:t>
      </w:r>
    </w:p>
    <w:p>
      <w:pPr>
        <w:keepNext w:val="0"/>
        <w:keepLines w:val="0"/>
        <w:pageBreakBefore w:val="0"/>
        <w:widowControl w:val="0"/>
        <w:numPr>
          <w:ilvl w:val="0"/>
          <w:numId w:val="24"/>
        </w:numPr>
        <w:kinsoku/>
        <w:wordWrap/>
        <w:overflowPunct/>
        <w:topLinePunct/>
        <w:autoSpaceDE/>
        <w:autoSpaceDN/>
        <w:bidi w:val="0"/>
        <w:adjustRightInd w:val="0"/>
        <w:snapToGrid/>
        <w:ind w:left="0" w:leftChars="0" w:firstLine="560" w:firstLineChars="200"/>
        <w:jc w:val="left"/>
        <w:textAlignment w:val="auto"/>
        <w:rPr>
          <w:rFonts w:ascii="Times New Roman" w:hAnsi="Times New Roman" w:eastAsia="宋体" w:cs="Times New Roman"/>
        </w:rPr>
      </w:pPr>
      <w:r>
        <w:rPr>
          <w:rFonts w:ascii="Times New Roman" w:hAnsi="Times New Roman" w:eastAsia="宋体" w:cs="Times New Roman"/>
        </w:rPr>
        <w:t>腐蚀：如压力容器、压力管道及其连接件、附件未定期开展检验，年久失修，将会出现腐蚀，导致强度不够、焊缝破损，致使管道承受不了内部的压力而发生爆炸。</w:t>
      </w:r>
    </w:p>
    <w:p>
      <w:pPr>
        <w:pStyle w:val="6"/>
        <w:rPr>
          <w:rFonts w:hint="eastAsia" w:ascii="Times New Roman" w:hAnsi="Times New Roman" w:eastAsia="黑体" w:cs="Times New Roman"/>
          <w:b/>
          <w:bCs/>
          <w:kern w:val="0"/>
          <w:sz w:val="32"/>
          <w:szCs w:val="32"/>
          <w:lang w:val="en-US" w:eastAsia="zh-CN" w:bidi="ar-SA"/>
        </w:rPr>
      </w:pPr>
      <w:bookmarkStart w:id="574" w:name="_Toc18529"/>
      <w:bookmarkStart w:id="575" w:name="_Toc398646562"/>
      <w:bookmarkStart w:id="576" w:name="_Toc9068"/>
      <w:bookmarkStart w:id="577" w:name="_Toc398646968"/>
      <w:bookmarkStart w:id="578" w:name="_Toc61013550"/>
      <w:bookmarkStart w:id="579" w:name="_Toc10751"/>
      <w:bookmarkStart w:id="580" w:name="_Toc3801"/>
      <w:r>
        <w:rPr>
          <w:rFonts w:hint="eastAsia" w:cs="Times New Roman"/>
          <w:b/>
          <w:bCs/>
          <w:kern w:val="0"/>
          <w:sz w:val="32"/>
          <w:szCs w:val="32"/>
          <w:lang w:val="en-US" w:eastAsia="zh-CN" w:bidi="ar-SA"/>
        </w:rPr>
        <w:t>其他爆炸危险性分析</w:t>
      </w:r>
      <w:bookmarkEnd w:id="574"/>
    </w:p>
    <w:p>
      <w:pPr>
        <w:rPr>
          <w:rFonts w:hint="eastAsia"/>
          <w:lang w:val="en-US" w:eastAsia="zh-CN"/>
        </w:rPr>
      </w:pPr>
      <w:r>
        <w:rPr>
          <w:rFonts w:hint="eastAsia" w:ascii="Times New Roman" w:hAnsi="Times New Roman" w:eastAsia="宋体" w:cs="Times New Roman"/>
          <w:lang w:val="en-US" w:eastAsia="zh-CN"/>
        </w:rPr>
        <w:t>项目使用的色母料在破碎机中破碎时中会产生粉尘，如果粉尘清扫不及时、通风系统不畅，粉尘会悬浮在空气中，并与空气相混合，如粉尘浓度达到粉尘的爆炸下限时，若遇明火、静电火花或高温物体，会发生粉尘爆炸。粉尘爆炸具有极强的破坏性，还容易产生二次爆炸。第一次爆炸气浪把沉积在设备或地面上的粉尘吹扬起来，在爆炸后的短时间内爆炸中心区会形成负压，周围的新鲜空气便由外向内填补进来，形成所谓的“返回风”，与扬起的粉尘混合，在第一次爆炸的余火引燃下引起第二次爆炸。项目区如发生粉尘爆炸，还会引起周边火灾。</w:t>
      </w:r>
    </w:p>
    <w:p>
      <w:pPr>
        <w:pStyle w:val="6"/>
        <w:bidi w:val="0"/>
        <w:ind w:left="720" w:leftChars="0" w:hanging="720" w:firstLineChars="0"/>
      </w:pPr>
      <w:bookmarkStart w:id="581" w:name="_Toc27339"/>
      <w:r>
        <w:t>中毒和窒息</w:t>
      </w:r>
      <w:bookmarkEnd w:id="575"/>
      <w:bookmarkEnd w:id="576"/>
      <w:bookmarkEnd w:id="577"/>
      <w:r>
        <w:t>危险性分析</w:t>
      </w:r>
      <w:bookmarkEnd w:id="578"/>
      <w:bookmarkEnd w:id="579"/>
      <w:bookmarkEnd w:id="580"/>
      <w:bookmarkEnd w:id="581"/>
    </w:p>
    <w:p>
      <w:pPr>
        <w:keepNext w:val="0"/>
        <w:keepLines w:val="0"/>
        <w:pageBreakBefore w:val="0"/>
        <w:widowControl w:val="0"/>
        <w:kinsoku/>
        <w:wordWrap/>
        <w:topLinePunct/>
        <w:bidi w:val="0"/>
        <w:snapToGrid w:val="0"/>
        <w:ind w:firstLine="560"/>
        <w:rPr>
          <w:szCs w:val="28"/>
        </w:rPr>
      </w:pPr>
      <w:r>
        <w:rPr>
          <w:szCs w:val="28"/>
        </w:rPr>
        <w:t>中毒和窒息是指机体过量、大量接触化学毒物，引发组织结构和功能损害、代谢障碍而发生疾病、死亡或因外界氧气不足或其他气体过多或者呼吸系统发生障碍而呼吸困难甚至停止呼吸。</w:t>
      </w:r>
    </w:p>
    <w:p>
      <w:pPr>
        <w:keepNext w:val="0"/>
        <w:keepLines w:val="0"/>
        <w:pageBreakBefore w:val="0"/>
        <w:widowControl w:val="0"/>
        <w:kinsoku/>
        <w:wordWrap/>
        <w:topLinePunct/>
        <w:bidi w:val="0"/>
        <w:ind w:firstLine="560"/>
        <w:rPr>
          <w:rFonts w:hint="eastAsia"/>
          <w:szCs w:val="28"/>
          <w:lang w:val="en-US" w:eastAsia="zh-CN"/>
        </w:rPr>
      </w:pPr>
      <w:r>
        <w:rPr>
          <w:szCs w:val="28"/>
        </w:rPr>
        <w:t>本项目</w:t>
      </w:r>
      <w:r>
        <w:rPr>
          <w:rFonts w:hint="eastAsia" w:ascii="宋体" w:hAnsi="宋体" w:cs="宋体"/>
          <w:szCs w:val="28"/>
        </w:rPr>
        <w:t>绝缘材料在挤塑机内加热后会产生</w:t>
      </w:r>
      <w:r>
        <w:rPr>
          <w:rFonts w:hint="eastAsia" w:ascii="宋体" w:hAnsi="宋体" w:cs="宋体"/>
          <w:szCs w:val="28"/>
          <w:lang w:val="en-US" w:eastAsia="zh-CN"/>
        </w:rPr>
        <w:t>少量</w:t>
      </w:r>
      <w:r>
        <w:rPr>
          <w:rFonts w:hint="eastAsia" w:ascii="宋体" w:hAnsi="宋体" w:cs="宋体"/>
          <w:szCs w:val="28"/>
        </w:rPr>
        <w:t>CO</w:t>
      </w:r>
      <w:r>
        <w:rPr>
          <w:rFonts w:hint="eastAsia" w:ascii="宋体" w:hAnsi="宋体" w:cs="宋体"/>
          <w:szCs w:val="28"/>
          <w:lang w:eastAsia="zh-CN"/>
        </w:rPr>
        <w:t>，</w:t>
      </w:r>
      <w:r>
        <w:rPr>
          <w:rFonts w:hint="eastAsia" w:ascii="宋体" w:hAnsi="宋体" w:cs="宋体"/>
          <w:szCs w:val="28"/>
        </w:rPr>
        <w:t>HCl有毒气体等</w:t>
      </w:r>
      <w:r>
        <w:rPr>
          <w:szCs w:val="28"/>
        </w:rPr>
        <w:t>，</w:t>
      </w:r>
      <w:r>
        <w:rPr>
          <w:rFonts w:hint="eastAsia"/>
          <w:szCs w:val="28"/>
          <w:lang w:val="en-US" w:eastAsia="zh-CN"/>
        </w:rPr>
        <w:t>长期接触会对作业人员造成职业危害。若通风不良，浓度超标，会导致人员中毒。</w:t>
      </w:r>
    </w:p>
    <w:p>
      <w:pPr>
        <w:keepNext w:val="0"/>
        <w:keepLines w:val="0"/>
        <w:pageBreakBefore w:val="0"/>
        <w:widowControl w:val="0"/>
        <w:kinsoku/>
        <w:wordWrap/>
        <w:topLinePunct/>
        <w:bidi w:val="0"/>
        <w:ind w:firstLine="560"/>
        <w:rPr>
          <w:szCs w:val="28"/>
        </w:rPr>
      </w:pPr>
      <w:r>
        <w:rPr>
          <w:szCs w:val="28"/>
        </w:rPr>
        <w:t>作业人员进入</w:t>
      </w:r>
      <w:r>
        <w:rPr>
          <w:rFonts w:hint="eastAsia"/>
          <w:szCs w:val="28"/>
        </w:rPr>
        <w:t>污水处理池、</w:t>
      </w:r>
      <w:r>
        <w:rPr>
          <w:rFonts w:hint="eastAsia"/>
          <w:szCs w:val="28"/>
          <w:lang w:val="en-US" w:eastAsia="zh-CN"/>
        </w:rPr>
        <w:t>污水井、化粪池</w:t>
      </w:r>
      <w:r>
        <w:rPr>
          <w:szCs w:val="28"/>
        </w:rPr>
        <w:t>等进行检维修、清理和从事其他工作属于有限空间作业。</w:t>
      </w:r>
    </w:p>
    <w:p>
      <w:pPr>
        <w:keepNext w:val="0"/>
        <w:keepLines w:val="0"/>
        <w:pageBreakBefore w:val="0"/>
        <w:widowControl w:val="0"/>
        <w:kinsoku/>
        <w:wordWrap/>
        <w:topLinePunct/>
        <w:bidi w:val="0"/>
        <w:ind w:firstLine="560"/>
        <w:rPr>
          <w:snapToGrid w:val="0"/>
          <w:kern w:val="0"/>
          <w:szCs w:val="28"/>
        </w:rPr>
      </w:pPr>
      <w:r>
        <w:rPr>
          <w:szCs w:val="28"/>
        </w:rPr>
        <w:t>在进行有限空间作业时，未制定有限空间作业制度，并未严格按其要求执行；未</w:t>
      </w:r>
      <w:r>
        <w:rPr>
          <w:snapToGrid w:val="0"/>
          <w:kern w:val="0"/>
          <w:szCs w:val="28"/>
        </w:rPr>
        <w:t>对从事</w:t>
      </w:r>
      <w:r>
        <w:rPr>
          <w:szCs w:val="28"/>
        </w:rPr>
        <w:t>有限空间</w:t>
      </w:r>
      <w:r>
        <w:rPr>
          <w:snapToGrid w:val="0"/>
          <w:kern w:val="0"/>
          <w:szCs w:val="28"/>
        </w:rPr>
        <w:t>作业的现场负责人、监护人员、作业人员、应急救援人员进行专项安全培训；未对</w:t>
      </w:r>
      <w:r>
        <w:rPr>
          <w:szCs w:val="28"/>
        </w:rPr>
        <w:t>有限空间</w:t>
      </w:r>
      <w:r>
        <w:rPr>
          <w:snapToGrid w:val="0"/>
          <w:kern w:val="0"/>
          <w:szCs w:val="28"/>
        </w:rPr>
        <w:t>进行辨识，确定</w:t>
      </w:r>
      <w:r>
        <w:rPr>
          <w:szCs w:val="28"/>
        </w:rPr>
        <w:t>有限空间</w:t>
      </w:r>
      <w:r>
        <w:rPr>
          <w:snapToGrid w:val="0"/>
          <w:kern w:val="0"/>
          <w:szCs w:val="28"/>
        </w:rPr>
        <w:t>的数量、位置以及危险有害因素等基本情况；未严格遵守</w:t>
      </w:r>
      <w:r>
        <w:rPr>
          <w:rFonts w:hint="eastAsia"/>
          <w:snapToGrid w:val="0"/>
          <w:kern w:val="0"/>
          <w:szCs w:val="28"/>
          <w:lang w:eastAsia="zh-CN"/>
        </w:rPr>
        <w:t>“</w:t>
      </w:r>
      <w:r>
        <w:rPr>
          <w:snapToGrid w:val="0"/>
          <w:kern w:val="0"/>
          <w:szCs w:val="28"/>
        </w:rPr>
        <w:t>先通风、再检测、后作业</w:t>
      </w:r>
      <w:r>
        <w:rPr>
          <w:rFonts w:hint="eastAsia"/>
          <w:snapToGrid w:val="0"/>
          <w:kern w:val="0"/>
          <w:szCs w:val="28"/>
          <w:lang w:eastAsia="zh-CN"/>
        </w:rPr>
        <w:t>”</w:t>
      </w:r>
      <w:r>
        <w:rPr>
          <w:snapToGrid w:val="0"/>
          <w:kern w:val="0"/>
          <w:szCs w:val="28"/>
        </w:rPr>
        <w:t>的原则；未检测氧浓度、易燃易爆物质浓度、有毒有害气体浓度，且未与标准、规范要求对比确认</w:t>
      </w:r>
      <w:r>
        <w:rPr>
          <w:rFonts w:hint="eastAsia"/>
          <w:snapToGrid w:val="0"/>
          <w:kern w:val="0"/>
          <w:szCs w:val="28"/>
          <w:lang w:eastAsia="zh-CN"/>
        </w:rPr>
        <w:t>，</w:t>
      </w:r>
      <w:r>
        <w:rPr>
          <w:snapToGrid w:val="0"/>
          <w:kern w:val="0"/>
          <w:szCs w:val="28"/>
        </w:rPr>
        <w:t>导致氧含</w:t>
      </w:r>
      <w:r>
        <w:rPr>
          <w:rFonts w:hint="eastAsia"/>
          <w:snapToGrid w:val="0"/>
          <w:kern w:val="0"/>
          <w:szCs w:val="28"/>
          <w:lang w:val="en-US" w:eastAsia="zh-CN"/>
        </w:rPr>
        <w:t>量</w:t>
      </w:r>
      <w:r>
        <w:rPr>
          <w:snapToGrid w:val="0"/>
          <w:kern w:val="0"/>
          <w:szCs w:val="28"/>
        </w:rPr>
        <w:t>不满足规范要求仍坚持作业等会引发中毒和窒息危险。</w:t>
      </w:r>
    </w:p>
    <w:bookmarkEnd w:id="557"/>
    <w:bookmarkEnd w:id="558"/>
    <w:bookmarkEnd w:id="559"/>
    <w:bookmarkEnd w:id="560"/>
    <w:bookmarkEnd w:id="561"/>
    <w:bookmarkEnd w:id="562"/>
    <w:bookmarkEnd w:id="563"/>
    <w:bookmarkEnd w:id="564"/>
    <w:p>
      <w:pPr>
        <w:pStyle w:val="6"/>
        <w:bidi w:val="0"/>
      </w:pPr>
      <w:bookmarkStart w:id="582" w:name="_Toc103178310"/>
      <w:bookmarkStart w:id="583" w:name="_Toc393462867"/>
      <w:bookmarkStart w:id="584" w:name="_Toc413502294"/>
      <w:bookmarkStart w:id="585" w:name="_Toc393463055"/>
      <w:bookmarkStart w:id="586" w:name="_Toc444264467"/>
      <w:bookmarkStart w:id="587" w:name="_Toc413501894"/>
      <w:bookmarkStart w:id="588" w:name="_Toc54294460"/>
      <w:bookmarkStart w:id="589" w:name="_Toc129520651"/>
      <w:bookmarkStart w:id="590" w:name="_Toc51340694"/>
      <w:bookmarkStart w:id="591" w:name="_Toc16272"/>
      <w:bookmarkStart w:id="592" w:name="_Toc1704"/>
      <w:r>
        <w:rPr>
          <w:rFonts w:hint="eastAsia"/>
        </w:rPr>
        <w:t>其他伤害危险性分析</w:t>
      </w:r>
      <w:bookmarkEnd w:id="582"/>
      <w:bookmarkEnd w:id="583"/>
      <w:bookmarkEnd w:id="584"/>
      <w:bookmarkEnd w:id="585"/>
      <w:bookmarkEnd w:id="586"/>
      <w:bookmarkEnd w:id="587"/>
      <w:bookmarkEnd w:id="588"/>
      <w:bookmarkEnd w:id="589"/>
      <w:bookmarkEnd w:id="590"/>
      <w:bookmarkEnd w:id="591"/>
      <w:bookmarkEnd w:id="592"/>
    </w:p>
    <w:p>
      <w:pPr>
        <w:pStyle w:val="7"/>
        <w:rPr>
          <w:kern w:val="2"/>
        </w:rPr>
      </w:pPr>
      <w:r>
        <w:rPr>
          <w:rFonts w:hint="eastAsia"/>
        </w:rPr>
        <w:t>噪声危害</w:t>
      </w:r>
    </w:p>
    <w:p>
      <w:p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噪声能引起听觉功能敏感度下降甚至造成耳聋，或引起神经衰弱、心血管疾病及消化系统等疾病的高发，使误操作率上升。其主要危害是对听力系统的损害，强噪声作用下，可导致永久性听力下降，内耳感音细胞遭损伤，引起噪声性耳聋。该项目产生的噪声主要是机械设备运转发出的机械噪声。引发噪声危害的原因主要有：</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机修设备、刀具等，由于相互之间撞击、摩擦或质量不平衡旋转引起固体部件振动，并产生噪声；</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机械设备运转不正常，造成剧烈震动或噪声超标；</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工作环境中噪声超标；人员长时间在噪声环境中劳动；</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人员未采取防护措施或防护措施失效；</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高噪声设备、场所贴邻低噪声设备、场所建造或布局不合理；</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高噪声设备未采取隔声、消声、吸声等安全措施；</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安全资金投入不足、安全教育培训不够、个体防护不到位等；</w:t>
      </w:r>
    </w:p>
    <w:p>
      <w:pPr>
        <w:pStyle w:val="50"/>
        <w:numPr>
          <w:ilvl w:val="2"/>
          <w:numId w:val="25"/>
        </w:num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其他可能导致事故的原因。</w:t>
      </w:r>
    </w:p>
    <w:p>
      <w:pPr>
        <w:pStyle w:val="7"/>
      </w:pPr>
      <w:r>
        <w:rPr>
          <w:rFonts w:hint="eastAsia"/>
        </w:rPr>
        <w:t>作业环境不良</w:t>
      </w:r>
    </w:p>
    <w:p>
      <w:pPr>
        <w:adjustRightInd w:val="0"/>
        <w:snapToGrid w:val="0"/>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过大的湿度会引起电气设备受潮、绝缘下降，引起触电事故，运行检修人员易患风湿性关节炎、神经衰弱等病症，应注意厂房内的通风，保持干燥。光照的亮度和照度不足，会使操作人员作业困难，视觉分辨力下降，会因照明不足引起意外事故。</w:t>
      </w:r>
    </w:p>
    <w:p>
      <w:pPr>
        <w:pStyle w:val="5"/>
        <w:bidi w:val="0"/>
        <w:ind w:left="575" w:leftChars="0" w:hanging="575" w:firstLineChars="0"/>
      </w:pPr>
      <w:bookmarkStart w:id="593" w:name="_Toc55567431"/>
      <w:bookmarkStart w:id="594" w:name="_Toc6214"/>
      <w:bookmarkStart w:id="595" w:name="_Toc60925379"/>
      <w:bookmarkStart w:id="596" w:name="_Toc55945270"/>
      <w:bookmarkStart w:id="597" w:name="_Toc1203"/>
      <w:bookmarkStart w:id="598" w:name="_Toc413501909"/>
      <w:bookmarkStart w:id="599" w:name="_Toc8571"/>
      <w:bookmarkStart w:id="600" w:name="_Toc314213638"/>
      <w:bookmarkStart w:id="601" w:name="_Toc51340699"/>
      <w:bookmarkStart w:id="602" w:name="_Toc54294465"/>
      <w:bookmarkStart w:id="603" w:name="_Toc103178311"/>
      <w:bookmarkStart w:id="604" w:name="_Toc444264482"/>
      <w:bookmarkStart w:id="605" w:name="_Toc129520652"/>
      <w:bookmarkStart w:id="606" w:name="_Toc413502309"/>
      <w:r>
        <w:rPr>
          <w:rFonts w:hint="eastAsia"/>
        </w:rPr>
        <w:t>公用和辅助设备设施危险有害因素辨识</w:t>
      </w:r>
      <w:bookmarkEnd w:id="593"/>
      <w:r>
        <w:rPr>
          <w:rFonts w:hint="eastAsia"/>
        </w:rPr>
        <w:t>与分析</w:t>
      </w:r>
      <w:bookmarkEnd w:id="594"/>
      <w:bookmarkEnd w:id="595"/>
      <w:bookmarkEnd w:id="596"/>
      <w:bookmarkEnd w:id="597"/>
    </w:p>
    <w:p>
      <w:pPr>
        <w:pStyle w:val="6"/>
        <w:bidi w:val="0"/>
        <w:ind w:left="720" w:leftChars="0" w:hanging="720" w:firstLineChars="0"/>
      </w:pPr>
      <w:bookmarkStart w:id="607" w:name="_Toc413501904"/>
      <w:bookmarkStart w:id="608" w:name="_Toc4514"/>
      <w:bookmarkStart w:id="609" w:name="_Toc297561905"/>
      <w:bookmarkStart w:id="610" w:name="_Toc55945271"/>
      <w:bookmarkStart w:id="611" w:name="_Toc464392607"/>
      <w:bookmarkStart w:id="612" w:name="_Toc17792038"/>
      <w:bookmarkStart w:id="613" w:name="_Toc60925380"/>
      <w:bookmarkStart w:id="614" w:name="_Toc294183141"/>
      <w:bookmarkStart w:id="615" w:name="_Toc55567432"/>
      <w:bookmarkStart w:id="616" w:name="_Toc17628"/>
      <w:r>
        <w:rPr>
          <w:rFonts w:hint="eastAsia"/>
        </w:rPr>
        <w:t>供配电系统</w:t>
      </w:r>
      <w:r>
        <w:rPr>
          <w:rFonts w:hint="eastAsia"/>
          <w:lang w:eastAsia="zh-CN"/>
        </w:rPr>
        <w:t>危险有害因素</w:t>
      </w:r>
      <w:r>
        <w:rPr>
          <w:rFonts w:hint="eastAsia"/>
        </w:rPr>
        <w:t>分析</w:t>
      </w:r>
      <w:bookmarkEnd w:id="607"/>
      <w:bookmarkEnd w:id="608"/>
      <w:bookmarkEnd w:id="609"/>
      <w:bookmarkEnd w:id="610"/>
      <w:bookmarkEnd w:id="611"/>
      <w:bookmarkEnd w:id="612"/>
      <w:bookmarkEnd w:id="613"/>
      <w:bookmarkEnd w:id="614"/>
      <w:bookmarkEnd w:id="615"/>
      <w:bookmarkEnd w:id="616"/>
    </w:p>
    <w:p>
      <w:pPr>
        <w:keepNext w:val="0"/>
        <w:keepLines w:val="0"/>
        <w:pageBreakBefore w:val="0"/>
        <w:widowControl w:val="0"/>
        <w:kinsoku/>
        <w:wordWrap/>
        <w:topLinePunct/>
        <w:bidi w:val="0"/>
        <w:ind w:firstLine="560"/>
        <w:rPr>
          <w:rFonts w:hint="eastAsia"/>
          <w:szCs w:val="28"/>
        </w:rPr>
      </w:pPr>
      <w:r>
        <w:rPr>
          <w:rFonts w:hint="eastAsia"/>
          <w:szCs w:val="28"/>
        </w:rPr>
        <w:t>本项目供配电系统设备主要有</w:t>
      </w:r>
      <w:r>
        <w:rPr>
          <w:rFonts w:hint="eastAsia"/>
          <w:snapToGrid w:val="0"/>
          <w:kern w:val="0"/>
          <w:szCs w:val="28"/>
        </w:rPr>
        <w:t>变压器、电力线路、配电柜、照明灯具、用电设备等</w:t>
      </w:r>
      <w:r>
        <w:rPr>
          <w:rFonts w:hint="eastAsia"/>
          <w:szCs w:val="28"/>
        </w:rPr>
        <w:t>。供配电系统主要存在火灾和触电危险：</w:t>
      </w:r>
    </w:p>
    <w:p>
      <w:pPr>
        <w:keepNext w:val="0"/>
        <w:keepLines w:val="0"/>
        <w:pageBreakBefore w:val="0"/>
        <w:widowControl w:val="0"/>
        <w:numPr>
          <w:ilvl w:val="0"/>
          <w:numId w:val="26"/>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变压器火灾；</w:t>
      </w:r>
    </w:p>
    <w:p>
      <w:pPr>
        <w:keepNext w:val="0"/>
        <w:keepLines w:val="0"/>
        <w:pageBreakBefore w:val="0"/>
        <w:widowControl w:val="0"/>
        <w:numPr>
          <w:ilvl w:val="0"/>
          <w:numId w:val="26"/>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电气线路火灾；</w:t>
      </w:r>
    </w:p>
    <w:p>
      <w:pPr>
        <w:keepNext w:val="0"/>
        <w:keepLines w:val="0"/>
        <w:pageBreakBefore w:val="0"/>
        <w:widowControl w:val="0"/>
        <w:numPr>
          <w:ilvl w:val="0"/>
          <w:numId w:val="26"/>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其他电气设备危险性分析</w:t>
      </w:r>
    </w:p>
    <w:p>
      <w:pPr>
        <w:keepNext w:val="0"/>
        <w:keepLines w:val="0"/>
        <w:pageBreakBefore w:val="0"/>
        <w:widowControl w:val="0"/>
        <w:numPr>
          <w:ilvl w:val="0"/>
          <w:numId w:val="27"/>
        </w:numPr>
        <w:kinsoku/>
        <w:wordWrap/>
        <w:topLinePunct/>
        <w:bidi w:val="0"/>
        <w:snapToGrid w:val="0"/>
        <w:ind w:left="0" w:leftChars="0" w:firstLine="560" w:firstLineChars="200"/>
        <w:rPr>
          <w:bCs/>
          <w:szCs w:val="28"/>
        </w:rPr>
      </w:pPr>
      <w:r>
        <w:rPr>
          <w:rFonts w:hint="eastAsia"/>
          <w:bCs/>
          <w:szCs w:val="28"/>
        </w:rPr>
        <w:t>作业人员缺乏用电常识。</w:t>
      </w:r>
    </w:p>
    <w:p>
      <w:pPr>
        <w:keepNext w:val="0"/>
        <w:keepLines w:val="0"/>
        <w:pageBreakBefore w:val="0"/>
        <w:widowControl w:val="0"/>
        <w:numPr>
          <w:ilvl w:val="0"/>
          <w:numId w:val="27"/>
        </w:numPr>
        <w:kinsoku/>
        <w:wordWrap/>
        <w:topLinePunct/>
        <w:bidi w:val="0"/>
        <w:snapToGrid w:val="0"/>
        <w:ind w:left="0" w:leftChars="0" w:firstLine="560" w:firstLineChars="200"/>
        <w:rPr>
          <w:bCs/>
          <w:szCs w:val="28"/>
        </w:rPr>
      </w:pPr>
      <w:r>
        <w:rPr>
          <w:rFonts w:hint="eastAsia"/>
          <w:bCs/>
          <w:szCs w:val="28"/>
        </w:rPr>
        <w:t>电气设备及线路的日常管理、维护不当，电气设备、线路老化、绝缘破损、漏电且无接地接零保护。</w:t>
      </w:r>
    </w:p>
    <w:p>
      <w:pPr>
        <w:keepNext w:val="0"/>
        <w:keepLines w:val="0"/>
        <w:pageBreakBefore w:val="0"/>
        <w:widowControl w:val="0"/>
        <w:numPr>
          <w:ilvl w:val="0"/>
          <w:numId w:val="27"/>
        </w:numPr>
        <w:kinsoku/>
        <w:wordWrap/>
        <w:topLinePunct/>
        <w:bidi w:val="0"/>
        <w:snapToGrid w:val="0"/>
        <w:ind w:left="0" w:leftChars="0" w:firstLine="560" w:firstLineChars="200"/>
        <w:rPr>
          <w:bCs/>
          <w:szCs w:val="28"/>
        </w:rPr>
      </w:pPr>
      <w:r>
        <w:rPr>
          <w:rFonts w:hint="eastAsia"/>
          <w:bCs/>
          <w:szCs w:val="28"/>
        </w:rPr>
        <w:t>漏电保护器或漏电保护器失效。</w:t>
      </w:r>
    </w:p>
    <w:p>
      <w:pPr>
        <w:keepNext w:val="0"/>
        <w:keepLines w:val="0"/>
        <w:pageBreakBefore w:val="0"/>
        <w:widowControl w:val="0"/>
        <w:numPr>
          <w:ilvl w:val="0"/>
          <w:numId w:val="27"/>
        </w:numPr>
        <w:kinsoku/>
        <w:wordWrap/>
        <w:topLinePunct/>
        <w:bidi w:val="0"/>
        <w:snapToGrid w:val="0"/>
        <w:ind w:left="0" w:leftChars="0" w:firstLine="560" w:firstLineChars="200"/>
        <w:rPr>
          <w:bCs/>
          <w:szCs w:val="28"/>
        </w:rPr>
      </w:pPr>
      <w:r>
        <w:rPr>
          <w:rFonts w:hint="eastAsia"/>
          <w:bCs/>
          <w:szCs w:val="28"/>
        </w:rPr>
        <w:t>超标使用保险丝、空气开关等。</w:t>
      </w:r>
    </w:p>
    <w:p>
      <w:pPr>
        <w:keepNext w:val="0"/>
        <w:keepLines w:val="0"/>
        <w:pageBreakBefore w:val="0"/>
        <w:widowControl w:val="0"/>
        <w:numPr>
          <w:ilvl w:val="0"/>
          <w:numId w:val="27"/>
        </w:numPr>
        <w:kinsoku/>
        <w:wordWrap/>
        <w:topLinePunct/>
        <w:bidi w:val="0"/>
        <w:snapToGrid w:val="0"/>
        <w:ind w:left="0" w:leftChars="0" w:firstLine="560" w:firstLineChars="200"/>
        <w:rPr>
          <w:bCs/>
          <w:szCs w:val="28"/>
        </w:rPr>
      </w:pPr>
      <w:r>
        <w:rPr>
          <w:rFonts w:hint="eastAsia"/>
          <w:bCs/>
          <w:szCs w:val="28"/>
        </w:rPr>
        <w:t>断路器失效、设备无接地接零或失效。</w:t>
      </w:r>
    </w:p>
    <w:p>
      <w:pPr>
        <w:keepNext w:val="0"/>
        <w:keepLines w:val="0"/>
        <w:pageBreakBefore w:val="0"/>
        <w:widowControl w:val="0"/>
        <w:numPr>
          <w:ilvl w:val="0"/>
          <w:numId w:val="27"/>
        </w:numPr>
        <w:kinsoku/>
        <w:wordWrap/>
        <w:topLinePunct/>
        <w:bidi w:val="0"/>
        <w:snapToGrid w:val="0"/>
        <w:ind w:left="0" w:leftChars="0" w:firstLine="560" w:firstLineChars="200"/>
        <w:rPr>
          <w:bCs/>
          <w:szCs w:val="28"/>
        </w:rPr>
      </w:pPr>
      <w:r>
        <w:rPr>
          <w:rFonts w:hint="eastAsia"/>
          <w:bCs/>
          <w:szCs w:val="28"/>
        </w:rPr>
        <w:t>电器开关损坏、漏电。</w:t>
      </w:r>
    </w:p>
    <w:p>
      <w:pPr>
        <w:keepNext w:val="0"/>
        <w:keepLines w:val="0"/>
        <w:pageBreakBefore w:val="0"/>
        <w:widowControl w:val="0"/>
        <w:numPr>
          <w:ilvl w:val="0"/>
          <w:numId w:val="27"/>
        </w:numPr>
        <w:kinsoku/>
        <w:wordWrap/>
        <w:topLinePunct/>
        <w:bidi w:val="0"/>
        <w:snapToGrid w:val="0"/>
        <w:ind w:left="0" w:leftChars="0" w:firstLine="560" w:firstLineChars="200"/>
        <w:rPr>
          <w:bCs/>
          <w:szCs w:val="28"/>
        </w:rPr>
      </w:pPr>
      <w:r>
        <w:rPr>
          <w:rFonts w:hint="eastAsia"/>
          <w:bCs/>
          <w:szCs w:val="28"/>
        </w:rPr>
        <w:t>不严格执行工作票制度，违章作业，操作失误，如条件不允许而带电作业或施工中误合电闸送电等。</w:t>
      </w:r>
    </w:p>
    <w:p>
      <w:pPr>
        <w:pStyle w:val="6"/>
        <w:bidi w:val="0"/>
        <w:ind w:left="720" w:leftChars="0" w:hanging="720" w:firstLineChars="0"/>
      </w:pPr>
      <w:bookmarkStart w:id="617" w:name="_Toc55567433"/>
      <w:bookmarkStart w:id="618" w:name="_Toc60925381"/>
      <w:bookmarkStart w:id="619" w:name="_Toc297561906"/>
      <w:bookmarkStart w:id="620" w:name="_Toc2835"/>
      <w:bookmarkStart w:id="621" w:name="_Toc294183142"/>
      <w:bookmarkStart w:id="622" w:name="_Toc413501907"/>
      <w:bookmarkStart w:id="623" w:name="_Toc55945272"/>
      <w:bookmarkStart w:id="624" w:name="_Toc17792039"/>
      <w:bookmarkStart w:id="625" w:name="_Toc464392610"/>
      <w:bookmarkStart w:id="626" w:name="_Toc2035"/>
      <w:r>
        <w:rPr>
          <w:rFonts w:hint="eastAsia"/>
        </w:rPr>
        <w:t>给排水系统</w:t>
      </w:r>
      <w:r>
        <w:rPr>
          <w:rFonts w:hint="eastAsia"/>
          <w:lang w:eastAsia="zh-CN"/>
        </w:rPr>
        <w:t>危险有害因素</w:t>
      </w:r>
      <w:r>
        <w:rPr>
          <w:rFonts w:hint="eastAsia"/>
        </w:rPr>
        <w:t>分析</w:t>
      </w:r>
      <w:bookmarkEnd w:id="617"/>
      <w:bookmarkEnd w:id="618"/>
      <w:bookmarkEnd w:id="619"/>
      <w:bookmarkEnd w:id="620"/>
      <w:bookmarkEnd w:id="621"/>
      <w:bookmarkEnd w:id="622"/>
      <w:bookmarkEnd w:id="623"/>
      <w:bookmarkEnd w:id="624"/>
      <w:bookmarkEnd w:id="625"/>
      <w:bookmarkEnd w:id="626"/>
    </w:p>
    <w:p>
      <w:pPr>
        <w:keepNext w:val="0"/>
        <w:keepLines w:val="0"/>
        <w:pageBreakBefore w:val="0"/>
        <w:widowControl w:val="0"/>
        <w:kinsoku/>
        <w:wordWrap/>
        <w:topLinePunct/>
        <w:bidi w:val="0"/>
        <w:adjustRightInd w:val="0"/>
        <w:snapToGrid w:val="0"/>
        <w:ind w:firstLine="560"/>
        <w:rPr>
          <w:szCs w:val="28"/>
        </w:rPr>
      </w:pPr>
      <w:r>
        <w:rPr>
          <w:rFonts w:hint="eastAsia"/>
          <w:szCs w:val="28"/>
        </w:rPr>
        <w:t>本项目用水主要是</w:t>
      </w:r>
      <w:r>
        <w:rPr>
          <w:rFonts w:hint="eastAsia"/>
          <w:szCs w:val="28"/>
          <w:lang w:val="en-US" w:eastAsia="zh-CN"/>
        </w:rPr>
        <w:t>办公</w:t>
      </w:r>
      <w:r>
        <w:rPr>
          <w:rFonts w:hint="eastAsia"/>
          <w:szCs w:val="28"/>
        </w:rPr>
        <w:t>生活、循环水补充和厂区消防用水，如果在出现紧急事故需用水处理</w:t>
      </w:r>
      <w:r>
        <w:rPr>
          <w:rFonts w:hint="eastAsia"/>
          <w:szCs w:val="28"/>
          <w:lang w:eastAsia="zh-CN"/>
        </w:rPr>
        <w:t>时</w:t>
      </w:r>
      <w:r>
        <w:rPr>
          <w:rFonts w:hint="eastAsia"/>
          <w:szCs w:val="28"/>
        </w:rPr>
        <w:t>出现供水压力较小以及断水事故等时，会导致事故的扩大；如果在消防用水时出现供水压力较小以及断水事故等，会导致事故的无法控制。</w:t>
      </w:r>
    </w:p>
    <w:p>
      <w:pPr>
        <w:keepNext w:val="0"/>
        <w:keepLines w:val="0"/>
        <w:pageBreakBefore w:val="0"/>
        <w:widowControl w:val="0"/>
        <w:kinsoku/>
        <w:wordWrap/>
        <w:topLinePunct/>
        <w:bidi w:val="0"/>
        <w:adjustRightInd w:val="0"/>
        <w:snapToGrid w:val="0"/>
        <w:ind w:firstLine="560"/>
        <w:rPr>
          <w:rFonts w:hint="eastAsia"/>
          <w:szCs w:val="28"/>
        </w:rPr>
      </w:pPr>
      <w:r>
        <w:rPr>
          <w:rFonts w:hint="eastAsia"/>
          <w:szCs w:val="28"/>
        </w:rPr>
        <w:t>由于</w:t>
      </w:r>
      <w:r>
        <w:rPr>
          <w:rFonts w:hint="eastAsia"/>
          <w:szCs w:val="28"/>
          <w:lang w:val="en-US" w:eastAsia="zh-CN"/>
        </w:rPr>
        <w:t>吹塑过程</w:t>
      </w:r>
      <w:r>
        <w:rPr>
          <w:rFonts w:hint="eastAsia"/>
          <w:szCs w:val="28"/>
        </w:rPr>
        <w:t>温度较高，需用冷却水对设备进行降温，以防止因温度过高损坏设备。如供水设备不能满足设备冷却要求，</w:t>
      </w:r>
      <w:r>
        <w:rPr>
          <w:rFonts w:hint="eastAsia"/>
          <w:szCs w:val="28"/>
          <w:lang w:val="en-US" w:eastAsia="zh-CN"/>
        </w:rPr>
        <w:t>会导致</w:t>
      </w:r>
      <w:r>
        <w:rPr>
          <w:rFonts w:hint="eastAsia"/>
          <w:szCs w:val="28"/>
        </w:rPr>
        <w:t>设备</w:t>
      </w:r>
      <w:r>
        <w:rPr>
          <w:rFonts w:hint="eastAsia"/>
          <w:szCs w:val="28"/>
          <w:lang w:val="en-US" w:eastAsia="zh-CN"/>
        </w:rPr>
        <w:t>超温报警</w:t>
      </w:r>
      <w:r>
        <w:rPr>
          <w:rFonts w:hint="eastAsia"/>
          <w:szCs w:val="28"/>
        </w:rPr>
        <w:t>甚至</w:t>
      </w:r>
      <w:r>
        <w:rPr>
          <w:rFonts w:hint="eastAsia"/>
          <w:szCs w:val="28"/>
          <w:lang w:val="en-US" w:eastAsia="zh-CN"/>
        </w:rPr>
        <w:t>停机，影响生产</w:t>
      </w:r>
      <w:r>
        <w:rPr>
          <w:rFonts w:hint="eastAsia"/>
          <w:szCs w:val="28"/>
        </w:rPr>
        <w:t>。</w:t>
      </w:r>
    </w:p>
    <w:p>
      <w:pPr>
        <w:pStyle w:val="6"/>
        <w:bidi w:val="0"/>
        <w:ind w:left="720" w:leftChars="0" w:hanging="720" w:firstLineChars="0"/>
      </w:pPr>
      <w:bookmarkStart w:id="627" w:name="_Toc17792040"/>
      <w:bookmarkStart w:id="628" w:name="_Toc55567434"/>
      <w:bookmarkStart w:id="629" w:name="_Toc55945273"/>
      <w:bookmarkStart w:id="630" w:name="_Toc60925382"/>
      <w:bookmarkStart w:id="631" w:name="_Toc22305"/>
      <w:bookmarkStart w:id="632" w:name="_Toc19092"/>
      <w:r>
        <w:rPr>
          <w:rFonts w:hint="eastAsia"/>
        </w:rPr>
        <w:t>供气</w:t>
      </w:r>
      <w:r>
        <w:rPr>
          <w:rFonts w:hint="eastAsia"/>
          <w:lang w:eastAsia="zh-CN"/>
        </w:rPr>
        <w:t>系统</w:t>
      </w:r>
      <w:bookmarkEnd w:id="627"/>
      <w:bookmarkEnd w:id="628"/>
      <w:bookmarkEnd w:id="629"/>
      <w:bookmarkEnd w:id="630"/>
      <w:r>
        <w:rPr>
          <w:rFonts w:hint="eastAsia"/>
          <w:lang w:eastAsia="zh-CN"/>
        </w:rPr>
        <w:t>危险有害因素</w:t>
      </w:r>
      <w:bookmarkEnd w:id="631"/>
      <w:bookmarkEnd w:id="632"/>
    </w:p>
    <w:p>
      <w:pPr>
        <w:keepNext w:val="0"/>
        <w:keepLines w:val="0"/>
        <w:pageBreakBefore w:val="0"/>
        <w:widowControl w:val="0"/>
        <w:kinsoku/>
        <w:wordWrap/>
        <w:topLinePunct/>
        <w:autoSpaceDE w:val="0"/>
        <w:autoSpaceDN w:val="0"/>
        <w:bidi w:val="0"/>
        <w:adjustRightInd w:val="0"/>
        <w:ind w:firstLine="560"/>
        <w:rPr>
          <w:rFonts w:hint="eastAsia" w:hAnsi="宋体"/>
          <w:bCs/>
          <w:szCs w:val="28"/>
        </w:rPr>
      </w:pPr>
      <w:r>
        <w:rPr>
          <w:rFonts w:hint="eastAsia" w:hAnsi="宋体"/>
          <w:bCs/>
          <w:szCs w:val="28"/>
        </w:rPr>
        <w:t>本项目设有空气压缩机、储气罐、压缩空气管道</w:t>
      </w:r>
      <w:r>
        <w:rPr>
          <w:rFonts w:hint="eastAsia" w:hAnsi="宋体"/>
          <w:bCs/>
          <w:szCs w:val="28"/>
          <w:lang w:val="en-US" w:eastAsia="zh-CN"/>
        </w:rPr>
        <w:t>用于项目用气。</w:t>
      </w:r>
      <w:r>
        <w:rPr>
          <w:rFonts w:hint="eastAsia" w:hAnsi="宋体"/>
          <w:bCs/>
          <w:szCs w:val="28"/>
        </w:rPr>
        <w:t>储气罐、空气管道有发生物理爆炸的危险。发生物理爆炸的主要原因有：</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操作失当造成设备超压；</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安全装置不齐、不灵或装设不当，各种连锁保护装置单独或同时失灵；</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内外介质腐蚀使设备壁厚减薄，强度降低，承受不了额定压力；</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在接管、焊缝、形状变化部位等结构薄弱处产生裂纹；</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储罐内因可燃性杂质超标、泄漏或阀门操作失当，导致器内或器外燃爆；</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设备本身未按规定期限进行检验检修，安全装置未按期校验；管理失当或违章操作；</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违反压力容器设计、制造、安装、检验等有关规定，选材不当或材料存在内部缺陷；人孔、开孔补强、焊接结构不合理；储气罐等压力容器存在严重的焊接缺陷。</w:t>
      </w:r>
    </w:p>
    <w:p>
      <w:pPr>
        <w:keepNext w:val="0"/>
        <w:keepLines w:val="0"/>
        <w:pageBreakBefore w:val="0"/>
        <w:widowControl w:val="0"/>
        <w:numPr>
          <w:ilvl w:val="0"/>
          <w:numId w:val="28"/>
        </w:numPr>
        <w:kinsoku/>
        <w:wordWrap/>
        <w:overflowPunct/>
        <w:topLinePunct/>
        <w:autoSpaceDE/>
        <w:autoSpaceDN/>
        <w:bidi w:val="0"/>
        <w:adjustRightInd/>
        <w:snapToGrid/>
        <w:ind w:left="0" w:leftChars="0" w:firstLine="560" w:firstLineChars="200"/>
        <w:textAlignment w:val="auto"/>
        <w:rPr>
          <w:rFonts w:hint="eastAsia" w:ascii="宋体" w:hAnsi="宋体" w:eastAsia="宋体" w:cs="宋体"/>
          <w:szCs w:val="28"/>
        </w:rPr>
      </w:pPr>
      <w:r>
        <w:rPr>
          <w:rFonts w:hint="eastAsia" w:ascii="宋体" w:hAnsi="宋体" w:eastAsia="宋体" w:cs="宋体"/>
          <w:szCs w:val="28"/>
        </w:rPr>
        <w:t>压缩空气管道为压力管道，若存在以下情况，可能导致管道爆炸：</w:t>
      </w:r>
    </w:p>
    <w:p>
      <w:pPr>
        <w:keepNext w:val="0"/>
        <w:keepLines w:val="0"/>
        <w:pageBreakBefore w:val="0"/>
        <w:widowControl w:val="0"/>
        <w:numPr>
          <w:ilvl w:val="0"/>
          <w:numId w:val="29"/>
        </w:numPr>
        <w:kinsoku/>
        <w:wordWrap/>
        <w:topLinePunct/>
        <w:autoSpaceDE w:val="0"/>
        <w:autoSpaceDN w:val="0"/>
        <w:bidi w:val="0"/>
        <w:adjustRightInd w:val="0"/>
        <w:ind w:left="0" w:leftChars="0" w:firstLine="560" w:firstLineChars="200"/>
        <w:rPr>
          <w:rFonts w:hint="eastAsia" w:hAnsi="宋体"/>
          <w:bCs/>
          <w:szCs w:val="28"/>
        </w:rPr>
      </w:pPr>
      <w:r>
        <w:rPr>
          <w:rFonts w:hint="eastAsia" w:hAnsi="宋体"/>
          <w:bCs/>
          <w:szCs w:val="28"/>
        </w:rPr>
        <w:t>设计问题：设计单位没有相应的资质。</w:t>
      </w:r>
    </w:p>
    <w:p>
      <w:pPr>
        <w:keepNext w:val="0"/>
        <w:keepLines w:val="0"/>
        <w:pageBreakBefore w:val="0"/>
        <w:widowControl w:val="0"/>
        <w:numPr>
          <w:ilvl w:val="0"/>
          <w:numId w:val="29"/>
        </w:numPr>
        <w:kinsoku/>
        <w:wordWrap/>
        <w:topLinePunct/>
        <w:autoSpaceDE w:val="0"/>
        <w:autoSpaceDN w:val="0"/>
        <w:bidi w:val="0"/>
        <w:adjustRightInd w:val="0"/>
        <w:ind w:left="0" w:leftChars="0" w:firstLine="560" w:firstLineChars="200"/>
        <w:rPr>
          <w:rFonts w:hint="eastAsia" w:hAnsi="宋体"/>
          <w:bCs/>
          <w:szCs w:val="28"/>
        </w:rPr>
      </w:pPr>
      <w:r>
        <w:rPr>
          <w:rFonts w:hint="eastAsia" w:hAnsi="宋体"/>
          <w:bCs/>
          <w:szCs w:val="28"/>
        </w:rPr>
        <w:t>焊缝缺陷：无证焊接；焊接不开坡口，焊缝未焊透，焊缝严重错边或其他超标缺陷造成焊缝强度</w:t>
      </w:r>
      <w:r>
        <w:rPr>
          <w:rFonts w:hint="eastAsia" w:hAnsi="宋体"/>
          <w:bCs/>
          <w:szCs w:val="28"/>
          <w:lang w:eastAsia="zh-CN"/>
        </w:rPr>
        <w:t>低</w:t>
      </w:r>
      <w:r>
        <w:rPr>
          <w:rFonts w:hint="eastAsia" w:hAnsi="宋体"/>
          <w:bCs/>
          <w:szCs w:val="28"/>
        </w:rPr>
        <w:t>下；焊接后未进行检验和无损检测。</w:t>
      </w:r>
    </w:p>
    <w:p>
      <w:pPr>
        <w:keepNext w:val="0"/>
        <w:keepLines w:val="0"/>
        <w:pageBreakBefore w:val="0"/>
        <w:widowControl w:val="0"/>
        <w:numPr>
          <w:ilvl w:val="0"/>
          <w:numId w:val="29"/>
        </w:numPr>
        <w:kinsoku/>
        <w:wordWrap/>
        <w:topLinePunct/>
        <w:autoSpaceDE w:val="0"/>
        <w:autoSpaceDN w:val="0"/>
        <w:bidi w:val="0"/>
        <w:adjustRightInd w:val="0"/>
        <w:ind w:left="0" w:leftChars="0" w:firstLine="560" w:firstLineChars="200"/>
        <w:rPr>
          <w:rFonts w:hint="eastAsia" w:hAnsi="宋体"/>
          <w:bCs/>
          <w:szCs w:val="28"/>
        </w:rPr>
      </w:pPr>
      <w:r>
        <w:rPr>
          <w:rFonts w:hint="eastAsia" w:hAnsi="宋体"/>
          <w:bCs/>
          <w:szCs w:val="28"/>
        </w:rPr>
        <w:t>材料缺陷：材料选择错误；材料质量差等缺陷。</w:t>
      </w:r>
    </w:p>
    <w:p>
      <w:pPr>
        <w:keepNext w:val="0"/>
        <w:keepLines w:val="0"/>
        <w:pageBreakBefore w:val="0"/>
        <w:widowControl w:val="0"/>
        <w:numPr>
          <w:ilvl w:val="0"/>
          <w:numId w:val="29"/>
        </w:numPr>
        <w:kinsoku/>
        <w:wordWrap/>
        <w:topLinePunct/>
        <w:autoSpaceDE w:val="0"/>
        <w:autoSpaceDN w:val="0"/>
        <w:bidi w:val="0"/>
        <w:adjustRightInd w:val="0"/>
        <w:ind w:left="0" w:leftChars="0" w:firstLine="560" w:firstLineChars="200"/>
        <w:rPr>
          <w:rFonts w:hint="eastAsia" w:hAnsi="宋体"/>
          <w:bCs/>
          <w:szCs w:val="28"/>
        </w:rPr>
      </w:pPr>
      <w:r>
        <w:rPr>
          <w:rFonts w:hint="eastAsia" w:hAnsi="宋体"/>
          <w:bCs/>
          <w:szCs w:val="28"/>
        </w:rPr>
        <w:t>阀门和法兰缺陷：阀门失效、磨损，阀体、法兰材质不符合要求，阀门、法兰的公称压力和使用范围不对。</w:t>
      </w:r>
    </w:p>
    <w:p>
      <w:pPr>
        <w:keepNext w:val="0"/>
        <w:keepLines w:val="0"/>
        <w:pageBreakBefore w:val="0"/>
        <w:widowControl w:val="0"/>
        <w:numPr>
          <w:ilvl w:val="0"/>
          <w:numId w:val="29"/>
        </w:numPr>
        <w:kinsoku/>
        <w:wordWrap/>
        <w:topLinePunct/>
        <w:autoSpaceDE w:val="0"/>
        <w:autoSpaceDN w:val="0"/>
        <w:bidi w:val="0"/>
        <w:adjustRightInd w:val="0"/>
        <w:ind w:left="0" w:leftChars="0" w:firstLine="560" w:firstLineChars="200"/>
        <w:rPr>
          <w:rFonts w:hint="eastAsia" w:hAnsi="宋体"/>
          <w:bCs/>
          <w:szCs w:val="28"/>
        </w:rPr>
      </w:pPr>
      <w:r>
        <w:rPr>
          <w:rFonts w:hint="eastAsia" w:hAnsi="宋体"/>
          <w:bCs/>
          <w:szCs w:val="28"/>
        </w:rPr>
        <w:t>腐蚀：未进行防腐或防腐失效，受到腐蚀而导致管壁变薄。</w:t>
      </w:r>
    </w:p>
    <w:p>
      <w:pPr>
        <w:keepNext w:val="0"/>
        <w:keepLines w:val="0"/>
        <w:pageBreakBefore w:val="0"/>
        <w:widowControl w:val="0"/>
        <w:numPr>
          <w:ilvl w:val="0"/>
          <w:numId w:val="29"/>
        </w:numPr>
        <w:kinsoku/>
        <w:wordWrap/>
        <w:overflowPunct/>
        <w:topLinePunct/>
        <w:autoSpaceDE w:val="0"/>
        <w:autoSpaceDN w:val="0"/>
        <w:bidi w:val="0"/>
        <w:adjustRightInd w:val="0"/>
        <w:snapToGrid/>
        <w:ind w:left="0" w:leftChars="0" w:firstLine="560" w:firstLineChars="200"/>
        <w:textAlignment w:val="auto"/>
        <w:rPr>
          <w:rFonts w:hint="eastAsia" w:ascii="Times New Roman" w:hAnsi="Times New Roman" w:eastAsia="黑体" w:cs="Times New Roman"/>
          <w:b/>
          <w:bCs/>
          <w:snapToGrid w:val="0"/>
          <w:color w:val="000000" w:themeColor="text1"/>
          <w:kern w:val="0"/>
          <w:sz w:val="36"/>
          <w:szCs w:val="36"/>
          <w:lang w:val="en-US" w:eastAsia="zh-CN" w:bidi="ar-SA"/>
          <w14:textFill>
            <w14:solidFill>
              <w14:schemeClr w14:val="tx1"/>
            </w14:solidFill>
          </w14:textFill>
        </w:rPr>
      </w:pPr>
      <w:r>
        <w:rPr>
          <w:rFonts w:hint="eastAsia" w:hAnsi="宋体"/>
          <w:bCs/>
          <w:szCs w:val="28"/>
        </w:rPr>
        <w:t>超期使用：压力管道超出使用期限，未进行检验或者更换，继续使用。</w:t>
      </w:r>
    </w:p>
    <w:p>
      <w:pPr>
        <w:pStyle w:val="5"/>
        <w:rPr>
          <w:snapToGrid w:val="0"/>
          <w:color w:val="000000" w:themeColor="text1"/>
          <w14:textFill>
            <w14:solidFill>
              <w14:schemeClr w14:val="tx1"/>
            </w14:solidFill>
          </w14:textFill>
        </w:rPr>
      </w:pPr>
      <w:bookmarkStart w:id="633" w:name="_Toc10986"/>
      <w:r>
        <w:rPr>
          <w:rFonts w:hint="eastAsia"/>
          <w:snapToGrid w:val="0"/>
          <w:color w:val="000000" w:themeColor="text1"/>
          <w14:textFill>
            <w14:solidFill>
              <w14:schemeClr w14:val="tx1"/>
            </w14:solidFill>
          </w14:textFill>
        </w:rPr>
        <w:t>主要危险、有害因素分布场所</w:t>
      </w:r>
      <w:bookmarkEnd w:id="598"/>
      <w:bookmarkEnd w:id="599"/>
      <w:bookmarkEnd w:id="600"/>
      <w:bookmarkEnd w:id="601"/>
      <w:bookmarkEnd w:id="602"/>
      <w:bookmarkEnd w:id="603"/>
      <w:bookmarkEnd w:id="604"/>
      <w:bookmarkEnd w:id="605"/>
      <w:bookmarkEnd w:id="606"/>
      <w:bookmarkEnd w:id="633"/>
    </w:p>
    <w:p>
      <w:pPr>
        <w:ind w:firstLine="560"/>
        <w:rPr>
          <w:color w:val="000000" w:themeColor="text1"/>
          <w:kern w:val="3"/>
          <w:sz w:val="24"/>
          <w14:textFill>
            <w14:solidFill>
              <w14:schemeClr w14:val="tx1"/>
            </w14:solidFill>
          </w14:textFill>
        </w:rPr>
      </w:pPr>
      <w:bookmarkStart w:id="634" w:name="_Toc314213597"/>
      <w:r>
        <w:rPr>
          <w:color w:val="000000" w:themeColor="text1"/>
          <w:szCs w:val="28"/>
          <w14:textFill>
            <w14:solidFill>
              <w14:schemeClr w14:val="tx1"/>
            </w14:solidFill>
          </w14:textFill>
        </w:rPr>
        <w:t>经以上分析可知，本项目生产过程中存在的主要危险、有害因素有：</w:t>
      </w:r>
      <w:bookmarkEnd w:id="634"/>
      <w:r>
        <w:rPr>
          <w:color w:val="000000" w:themeColor="text1"/>
          <w:szCs w:val="28"/>
          <w14:textFill>
            <w14:solidFill>
              <w14:schemeClr w14:val="tx1"/>
            </w14:solidFill>
          </w14:textFill>
        </w:rPr>
        <w:t>物体打击、车辆伤害、机械伤害、触电、</w:t>
      </w:r>
      <w:r>
        <w:rPr>
          <w:rFonts w:hint="eastAsia"/>
          <w:color w:val="000000" w:themeColor="text1"/>
          <w:szCs w:val="28"/>
          <w:lang w:val="en-US" w:eastAsia="zh-CN"/>
          <w14:textFill>
            <w14:solidFill>
              <w14:schemeClr w14:val="tx1"/>
            </w14:solidFill>
          </w14:textFill>
        </w:rPr>
        <w:t>淹溺、</w:t>
      </w:r>
      <w:r>
        <w:rPr>
          <w:rFonts w:hint="eastAsia"/>
          <w:color w:val="000000" w:themeColor="text1"/>
          <w:szCs w:val="28"/>
          <w14:textFill>
            <w14:solidFill>
              <w14:schemeClr w14:val="tx1"/>
            </w14:solidFill>
          </w14:textFill>
        </w:rPr>
        <w:t>灼烫、</w:t>
      </w:r>
      <w:r>
        <w:rPr>
          <w:color w:val="000000" w:themeColor="text1"/>
          <w:szCs w:val="28"/>
          <w14:textFill>
            <w14:solidFill>
              <w14:schemeClr w14:val="tx1"/>
            </w14:solidFill>
          </w14:textFill>
        </w:rPr>
        <w:t>火灾、高处坠落、坍塌、</w:t>
      </w:r>
      <w:r>
        <w:rPr>
          <w:rFonts w:hint="eastAsia"/>
          <w:color w:val="000000" w:themeColor="text1"/>
          <w:szCs w:val="28"/>
          <w14:textFill>
            <w14:solidFill>
              <w14:schemeClr w14:val="tx1"/>
            </w14:solidFill>
          </w14:textFill>
        </w:rPr>
        <w:t>容器爆炸、</w:t>
      </w:r>
      <w:r>
        <w:rPr>
          <w:color w:val="000000" w:themeColor="text1"/>
          <w:szCs w:val="28"/>
          <w14:textFill>
            <w14:solidFill>
              <w14:schemeClr w14:val="tx1"/>
            </w14:solidFill>
          </w14:textFill>
        </w:rPr>
        <w:t>其他爆炸、其他伤害等。</w:t>
      </w:r>
    </w:p>
    <w:p>
      <w:pPr>
        <w:numPr>
          <w:ilvl w:val="0"/>
          <w:numId w:val="20"/>
        </w:numPr>
        <w:adjustRightInd w:val="0"/>
        <w:snapToGrid w:val="0"/>
        <w:ind w:firstLineChars="0"/>
        <w:jc w:val="center"/>
        <w:rPr>
          <w:color w:val="000000" w:themeColor="text1"/>
          <w:kern w:val="3"/>
          <w:sz w:val="24"/>
          <w14:textFill>
            <w14:solidFill>
              <w14:schemeClr w14:val="tx1"/>
            </w14:solidFill>
          </w14:textFill>
        </w:rPr>
      </w:pPr>
      <w:r>
        <w:rPr>
          <w:color w:val="000000" w:themeColor="text1"/>
          <w:kern w:val="3"/>
          <w:sz w:val="24"/>
          <w14:textFill>
            <w14:solidFill>
              <w14:schemeClr w14:val="tx1"/>
            </w14:solidFill>
          </w14:textFill>
        </w:rPr>
        <w:t>危险有害因素存在的主要部位表</w:t>
      </w:r>
      <w:bookmarkStart w:id="635" w:name="_Toc393463075"/>
      <w:bookmarkStart w:id="636" w:name="_Toc393462887"/>
      <w:bookmarkStart w:id="637" w:name="_Toc320367387"/>
      <w:bookmarkStart w:id="638" w:name="_Toc320307923"/>
    </w:p>
    <w:bookmarkEnd w:id="635"/>
    <w:bookmarkEnd w:id="636"/>
    <w:bookmarkEnd w:id="637"/>
    <w:bookmarkEnd w:id="638"/>
    <w:tbl>
      <w:tblPr>
        <w:tblStyle w:val="34"/>
        <w:tblW w:w="8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2367"/>
        <w:gridCol w:w="5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spacing w:line="240" w:lineRule="auto"/>
              <w:ind w:firstLine="0" w:firstLineChars="0"/>
              <w:jc w:val="center"/>
              <w:rPr>
                <w:b/>
                <w:color w:val="000000" w:themeColor="text1"/>
                <w:sz w:val="21"/>
                <w:szCs w:val="21"/>
                <w14:textFill>
                  <w14:solidFill>
                    <w14:schemeClr w14:val="tx1"/>
                  </w14:solidFill>
                </w14:textFill>
              </w:rPr>
            </w:pPr>
            <w:bookmarkStart w:id="639" w:name="_Toc444264483"/>
            <w:bookmarkStart w:id="640" w:name="_Toc413501910"/>
            <w:bookmarkStart w:id="641" w:name="_Toc413502310"/>
            <w:r>
              <w:rPr>
                <w:b/>
                <w:color w:val="000000" w:themeColor="text1"/>
                <w:sz w:val="21"/>
                <w:szCs w:val="21"/>
                <w14:textFill>
                  <w14:solidFill>
                    <w14:schemeClr w14:val="tx1"/>
                  </w14:solidFill>
                </w14:textFill>
              </w:rPr>
              <w:t>序号</w:t>
            </w:r>
          </w:p>
        </w:tc>
        <w:tc>
          <w:tcPr>
            <w:tcW w:w="2367"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主要危险、有害因素</w:t>
            </w:r>
          </w:p>
        </w:tc>
        <w:tc>
          <w:tcPr>
            <w:tcW w:w="5147"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主要存在部位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物体打击</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通道区域</w:t>
            </w:r>
            <w:r>
              <w:rPr>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车辆伤害</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厂区道路、车间物流通道、装卸区等处</w:t>
            </w:r>
            <w:r>
              <w:rPr>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机械伤害</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各生产工序设备传动部位。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触电</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电气设备、电气拖动生产设备、移动电气设备、照明线路及照明器具等。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淹溺</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循环冷却水水池。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灼烫</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中空吹塑机</w:t>
            </w:r>
            <w:r>
              <w:rPr>
                <w:rFonts w:hint="eastAsia"/>
                <w:color w:val="000000" w:themeColor="text1"/>
                <w:sz w:val="21"/>
                <w:szCs w:val="21"/>
                <w14:textFill>
                  <w14:solidFill>
                    <w14:schemeClr w14:val="tx1"/>
                  </w14:solidFill>
                </w14:textFill>
              </w:rPr>
              <w:t>、螺杆式空气压缩机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火灾</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电气设备周围、配电室</w:t>
            </w:r>
            <w:r>
              <w:rPr>
                <w:rFonts w:hint="eastAsia"/>
                <w:color w:val="000000" w:themeColor="text1"/>
                <w:sz w:val="21"/>
                <w:szCs w:val="21"/>
                <w14:textFill>
                  <w14:solidFill>
                    <w14:schemeClr w14:val="tx1"/>
                  </w14:solidFill>
                </w14:textFill>
              </w:rPr>
              <w:t>、检维修、仓库等</w:t>
            </w:r>
            <w:r>
              <w:rPr>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高处坠落</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在2m以上高度（含2m）作业过程。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坍塌</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原料、成品仓库</w:t>
            </w:r>
            <w:r>
              <w:rPr>
                <w:color w:val="000000" w:themeColor="text1"/>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容器爆炸</w:t>
            </w:r>
          </w:p>
        </w:tc>
        <w:tc>
          <w:tcPr>
            <w:tcW w:w="5147" w:type="dxa"/>
            <w:vAlign w:val="center"/>
          </w:tcPr>
          <w:p>
            <w:pPr>
              <w:spacing w:line="240" w:lineRule="auto"/>
              <w:ind w:firstLine="0" w:firstLineChars="0"/>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空气储罐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其他爆炸</w:t>
            </w:r>
          </w:p>
        </w:tc>
        <w:tc>
          <w:tcPr>
            <w:tcW w:w="5147" w:type="dxa"/>
            <w:vAlign w:val="center"/>
          </w:tcPr>
          <w:p>
            <w:pPr>
              <w:spacing w:line="240" w:lineRule="auto"/>
              <w:ind w:firstLine="0" w:firstLineChars="0"/>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破碎机处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中毒和窒息</w:t>
            </w:r>
          </w:p>
        </w:tc>
        <w:tc>
          <w:tcPr>
            <w:tcW w:w="5147" w:type="dxa"/>
            <w:vAlign w:val="center"/>
          </w:tcPr>
          <w:p>
            <w:pPr>
              <w:spacing w:line="240" w:lineRule="auto"/>
              <w:ind w:firstLine="0" w:firstLineChars="0"/>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污水处</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理池、污水井、化粪池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3" w:type="dxa"/>
            <w:vAlign w:val="center"/>
          </w:tcPr>
          <w:p>
            <w:pPr>
              <w:numPr>
                <w:ilvl w:val="0"/>
                <w:numId w:val="30"/>
              </w:numPr>
              <w:spacing w:line="240" w:lineRule="auto"/>
              <w:ind w:firstLineChars="0"/>
              <w:jc w:val="center"/>
              <w:rPr>
                <w:color w:val="000000" w:themeColor="text1"/>
                <w:sz w:val="21"/>
                <w:szCs w:val="21"/>
                <w14:textFill>
                  <w14:solidFill>
                    <w14:schemeClr w14:val="tx1"/>
                  </w14:solidFill>
                </w14:textFill>
              </w:rPr>
            </w:pPr>
          </w:p>
        </w:tc>
        <w:tc>
          <w:tcPr>
            <w:tcW w:w="2367"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其他伤害</w:t>
            </w:r>
          </w:p>
        </w:tc>
        <w:tc>
          <w:tcPr>
            <w:tcW w:w="5147" w:type="dxa"/>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各危险点</w:t>
            </w:r>
            <w:r>
              <w:rPr>
                <w:color w:val="000000" w:themeColor="text1"/>
                <w:sz w:val="21"/>
                <w:szCs w:val="21"/>
                <w14:textFill>
                  <w14:solidFill>
                    <w14:schemeClr w14:val="tx1"/>
                  </w14:solidFill>
                </w14:textFill>
              </w:rPr>
              <w:t>。</w:t>
            </w:r>
          </w:p>
        </w:tc>
      </w:tr>
    </w:tbl>
    <w:p>
      <w:pPr>
        <w:pStyle w:val="5"/>
        <w:rPr>
          <w:snapToGrid w:val="0"/>
          <w:color w:val="000000" w:themeColor="text1"/>
          <w14:textFill>
            <w14:solidFill>
              <w14:schemeClr w14:val="tx1"/>
            </w14:solidFill>
          </w14:textFill>
        </w:rPr>
      </w:pPr>
      <w:bookmarkStart w:id="642" w:name="_Toc129520653"/>
      <w:bookmarkStart w:id="643" w:name="_Toc51340700"/>
      <w:bookmarkStart w:id="644" w:name="_Toc6832"/>
      <w:bookmarkStart w:id="645" w:name="_Toc103178312"/>
      <w:bookmarkStart w:id="646" w:name="_Toc54294466"/>
      <w:bookmarkStart w:id="647" w:name="_Toc251"/>
      <w:r>
        <w:rPr>
          <w:rFonts w:hint="eastAsia"/>
          <w:snapToGrid w:val="0"/>
          <w:color w:val="000000" w:themeColor="text1"/>
          <w14:textFill>
            <w14:solidFill>
              <w14:schemeClr w14:val="tx1"/>
            </w14:solidFill>
          </w14:textFill>
        </w:rPr>
        <w:t>重大危险源辨识</w:t>
      </w:r>
      <w:bookmarkEnd w:id="639"/>
      <w:bookmarkEnd w:id="640"/>
      <w:bookmarkEnd w:id="641"/>
      <w:bookmarkEnd w:id="642"/>
      <w:bookmarkEnd w:id="643"/>
      <w:bookmarkEnd w:id="644"/>
      <w:bookmarkEnd w:id="645"/>
      <w:bookmarkEnd w:id="646"/>
      <w:bookmarkEnd w:id="647"/>
    </w:p>
    <w:p>
      <w:pPr>
        <w:pStyle w:val="6"/>
        <w:rPr>
          <w:color w:val="000000" w:themeColor="text1"/>
          <w14:textFill>
            <w14:solidFill>
              <w14:schemeClr w14:val="tx1"/>
            </w14:solidFill>
          </w14:textFill>
        </w:rPr>
      </w:pPr>
      <w:bookmarkStart w:id="648" w:name="_Toc103178313"/>
      <w:bookmarkStart w:id="649" w:name="_Toc14815"/>
      <w:bookmarkStart w:id="650" w:name="_Toc129520654"/>
      <w:bookmarkStart w:id="651" w:name="_Toc54294467"/>
      <w:bookmarkStart w:id="652" w:name="_Toc51340701"/>
      <w:bookmarkStart w:id="653" w:name="_Toc31036"/>
      <w:r>
        <w:rPr>
          <w:rFonts w:hint="eastAsia"/>
          <w:color w:val="000000" w:themeColor="text1"/>
          <w14:textFill>
            <w14:solidFill>
              <w14:schemeClr w14:val="tx1"/>
            </w14:solidFill>
          </w14:textFill>
        </w:rPr>
        <w:t>辨识依据</w:t>
      </w:r>
      <w:bookmarkEnd w:id="648"/>
      <w:bookmarkEnd w:id="649"/>
      <w:bookmarkEnd w:id="650"/>
      <w:bookmarkEnd w:id="651"/>
      <w:bookmarkEnd w:id="652"/>
      <w:bookmarkEnd w:id="653"/>
    </w:p>
    <w:p>
      <w:pPr>
        <w:adjustRightIn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长期地或临时地生产、加工、使用或经营危险化学品，且危险化学品的数量等于或超过临界量的单元均为危险化学品重大危险源。</w:t>
      </w:r>
    </w:p>
    <w:p>
      <w:pPr>
        <w:adjustRightIn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危险化学品重大危险源的辨识依据是危险化学品的危险特性及其数量，具体见</w:t>
      </w:r>
      <w:r>
        <w:rPr>
          <w:color w:val="000000" w:themeColor="text1"/>
          <w:szCs w:val="28"/>
          <w14:textFill>
            <w14:solidFill>
              <w14:schemeClr w14:val="tx1"/>
            </w14:solidFill>
          </w14:textFill>
        </w:rPr>
        <w:t>《危险化学品重大危险源辨识》（GB18218-2018）表1和表2</w:t>
      </w:r>
      <w:r>
        <w:rPr>
          <w:snapToGrid w:val="0"/>
          <w:color w:val="000000" w:themeColor="text1"/>
          <w:kern w:val="0"/>
          <w:szCs w:val="28"/>
          <w14:textFill>
            <w14:solidFill>
              <w14:schemeClr w14:val="tx1"/>
            </w14:solidFill>
          </w14:textFill>
        </w:rPr>
        <w:t>。</w:t>
      </w:r>
    </w:p>
    <w:p>
      <w:pPr>
        <w:adjustRightIn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生产单元、储存单元内存在危险化学品的数量等于或超过表1、表2规定的临界量，即被定为重大危险源。单元内存在的危险化学品的数量根据危险化学品种类的多少区分为以下两种情况：</w:t>
      </w:r>
    </w:p>
    <w:p>
      <w:pPr>
        <w:adjustRightIn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1</w:t>
      </w:r>
      <w:r>
        <w:rPr>
          <w:rFonts w:hint="eastAsia"/>
          <w:snapToGrid w:val="0"/>
          <w:color w:val="000000" w:themeColor="text1"/>
          <w:kern w:val="0"/>
          <w:szCs w:val="28"/>
          <w14:textFill>
            <w14:solidFill>
              <w14:schemeClr w14:val="tx1"/>
            </w14:solidFill>
          </w14:textFill>
        </w:rPr>
        <w:t>.</w:t>
      </w:r>
      <w:r>
        <w:rPr>
          <w:snapToGrid w:val="0"/>
          <w:color w:val="000000" w:themeColor="text1"/>
          <w:kern w:val="0"/>
          <w:szCs w:val="28"/>
          <w14:textFill>
            <w14:solidFill>
              <w14:schemeClr w14:val="tx1"/>
            </w14:solidFill>
          </w14:textFill>
        </w:rPr>
        <w:t>生产单元、储存单元内存在的危险化学品为单一品种时，该危险化学品的数量即为单元内危险化学品的总量，若等于或超过相应的临界量，则定为重大危险源。</w:t>
      </w:r>
    </w:p>
    <w:p>
      <w:pPr>
        <w:adjustRightInd w:val="0"/>
        <w:ind w:firstLine="560"/>
        <w:rPr>
          <w:snapToGrid w:val="0"/>
          <w:color w:val="000000" w:themeColor="text1"/>
          <w:kern w:val="0"/>
          <w:szCs w:val="28"/>
          <w14:textFill>
            <w14:solidFill>
              <w14:schemeClr w14:val="tx1"/>
            </w14:solidFill>
          </w14:textFill>
        </w:rPr>
      </w:pPr>
      <w:r>
        <w:rPr>
          <w:snapToGrid w:val="0"/>
          <w:color w:val="000000" w:themeColor="text1"/>
          <w:kern w:val="0"/>
          <w:szCs w:val="28"/>
          <w14:textFill>
            <w14:solidFill>
              <w14:schemeClr w14:val="tx1"/>
            </w14:solidFill>
          </w14:textFill>
        </w:rPr>
        <w:t>2</w:t>
      </w:r>
      <w:r>
        <w:rPr>
          <w:rFonts w:hint="eastAsia"/>
          <w:snapToGrid w:val="0"/>
          <w:color w:val="000000" w:themeColor="text1"/>
          <w:kern w:val="0"/>
          <w:szCs w:val="28"/>
          <w14:textFill>
            <w14:solidFill>
              <w14:schemeClr w14:val="tx1"/>
            </w14:solidFill>
          </w14:textFill>
        </w:rPr>
        <w:t>.</w:t>
      </w:r>
      <w:r>
        <w:rPr>
          <w:snapToGrid w:val="0"/>
          <w:color w:val="000000" w:themeColor="text1"/>
          <w:kern w:val="0"/>
          <w:szCs w:val="28"/>
          <w14:textFill>
            <w14:solidFill>
              <w14:schemeClr w14:val="tx1"/>
            </w14:solidFill>
          </w14:textFill>
        </w:rPr>
        <w:t>生产单元、储存单元内存在的危险化学品为多品种时，则按下式计算，若满足下面公式，则定为重大危险源：</w:t>
      </w:r>
    </w:p>
    <w:p>
      <w:pPr>
        <w:ind w:firstLine="560"/>
        <w:jc w:val="center"/>
        <w:rPr>
          <w:color w:val="000000" w:themeColor="text1"/>
          <w:szCs w:val="28"/>
          <w14:textFill>
            <w14:solidFill>
              <w14:schemeClr w14:val="tx1"/>
            </w14:solidFill>
          </w14:textFill>
        </w:rPr>
      </w:pPr>
      <w:r>
        <w:rPr>
          <w:color w:val="000000" w:themeColor="text1"/>
          <w:szCs w:val="28"/>
          <w14:textFill>
            <w14:solidFill>
              <w14:schemeClr w14:val="tx1"/>
            </w14:solidFill>
          </w14:textFill>
        </w:rPr>
        <w:t>S=q</w:t>
      </w:r>
      <w:r>
        <w:rPr>
          <w:color w:val="000000" w:themeColor="text1"/>
          <w:szCs w:val="28"/>
          <w:vertAlign w:val="subscript"/>
          <w14:textFill>
            <w14:solidFill>
              <w14:schemeClr w14:val="tx1"/>
            </w14:solidFill>
          </w14:textFill>
        </w:rPr>
        <w:t>1</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1</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2</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2</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n</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n</w:t>
      </w:r>
      <w:r>
        <w:rPr>
          <w:color w:val="000000" w:themeColor="text1"/>
          <w:szCs w:val="28"/>
          <w14:textFill>
            <w14:solidFill>
              <w14:schemeClr w14:val="tx1"/>
            </w14:solidFill>
          </w14:textFill>
        </w:rPr>
        <w:t>≥1</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式中：</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S       ——辨识指标</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1</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2</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n</w:t>
      </w:r>
      <w:r>
        <w:rPr>
          <w:color w:val="000000" w:themeColor="text1"/>
          <w:szCs w:val="28"/>
          <w14:textFill>
            <w14:solidFill>
              <w14:schemeClr w14:val="tx1"/>
            </w14:solidFill>
          </w14:textFill>
        </w:rPr>
        <w:t>——每种</w:t>
      </w:r>
      <w:r>
        <w:rPr>
          <w:snapToGrid w:val="0"/>
          <w:color w:val="000000" w:themeColor="text1"/>
          <w:kern w:val="0"/>
          <w:szCs w:val="28"/>
          <w14:textFill>
            <w14:solidFill>
              <w14:schemeClr w14:val="tx1"/>
            </w14:solidFill>
          </w14:textFill>
        </w:rPr>
        <w:t>危险化学品</w:t>
      </w:r>
      <w:r>
        <w:rPr>
          <w:color w:val="000000" w:themeColor="text1"/>
          <w:szCs w:val="28"/>
          <w14:textFill>
            <w14:solidFill>
              <w14:schemeClr w14:val="tx1"/>
            </w14:solidFill>
          </w14:textFill>
        </w:rPr>
        <w:t>实际存在量，t。</w:t>
      </w:r>
    </w:p>
    <w:p>
      <w:pPr>
        <w:ind w:firstLine="504" w:firstLineChars="180"/>
        <w:rPr>
          <w:color w:val="000000" w:themeColor="text1"/>
          <w:szCs w:val="28"/>
          <w14:textFill>
            <w14:solidFill>
              <w14:schemeClr w14:val="tx1"/>
            </w14:solidFill>
          </w14:textFill>
        </w:rPr>
      </w:pP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1</w:t>
      </w:r>
      <w:r>
        <w:rPr>
          <w:color w:val="000000" w:themeColor="text1"/>
          <w:szCs w:val="28"/>
          <w14:textFill>
            <w14:solidFill>
              <w14:schemeClr w14:val="tx1"/>
            </w14:solidFill>
          </w14:textFill>
        </w:rPr>
        <w:t>，Q</w:t>
      </w:r>
      <w:r>
        <w:rPr>
          <w:color w:val="000000" w:themeColor="text1"/>
          <w:szCs w:val="28"/>
          <w:vertAlign w:val="subscript"/>
          <w14:textFill>
            <w14:solidFill>
              <w14:schemeClr w14:val="tx1"/>
            </w14:solidFill>
          </w14:textFill>
        </w:rPr>
        <w:t>2</w:t>
      </w:r>
      <w:r>
        <w:rPr>
          <w:color w:val="000000" w:themeColor="text1"/>
          <w:szCs w:val="28"/>
          <w14:textFill>
            <w14:solidFill>
              <w14:schemeClr w14:val="tx1"/>
            </w14:solidFill>
          </w14:textFill>
        </w:rPr>
        <w:t>……Qn——与各</w:t>
      </w:r>
      <w:r>
        <w:rPr>
          <w:snapToGrid w:val="0"/>
          <w:color w:val="000000" w:themeColor="text1"/>
          <w:kern w:val="0"/>
          <w:szCs w:val="28"/>
          <w14:textFill>
            <w14:solidFill>
              <w14:schemeClr w14:val="tx1"/>
            </w14:solidFill>
          </w14:textFill>
        </w:rPr>
        <w:t>危险化学品</w:t>
      </w:r>
      <w:r>
        <w:rPr>
          <w:color w:val="000000" w:themeColor="text1"/>
          <w:szCs w:val="28"/>
          <w14:textFill>
            <w14:solidFill>
              <w14:schemeClr w14:val="tx1"/>
            </w14:solidFill>
          </w14:textFill>
        </w:rPr>
        <w:t>相对应</w:t>
      </w:r>
      <w:r>
        <w:rPr>
          <w:rFonts w:hint="eastAsia"/>
          <w:color w:val="000000" w:themeColor="text1"/>
          <w:szCs w:val="28"/>
          <w:lang w:eastAsia="zh-CN"/>
          <w14:textFill>
            <w14:solidFill>
              <w14:schemeClr w14:val="tx1"/>
            </w14:solidFill>
          </w14:textFill>
        </w:rPr>
        <w:t>的</w:t>
      </w:r>
      <w:r>
        <w:rPr>
          <w:color w:val="000000" w:themeColor="text1"/>
          <w:szCs w:val="28"/>
          <w14:textFill>
            <w14:solidFill>
              <w14:schemeClr w14:val="tx1"/>
            </w14:solidFill>
          </w14:textFill>
        </w:rPr>
        <w:t>临界量，t。</w:t>
      </w:r>
    </w:p>
    <w:p>
      <w:pPr>
        <w:pStyle w:val="6"/>
        <w:rPr>
          <w:color w:val="000000" w:themeColor="text1"/>
          <w14:textFill>
            <w14:solidFill>
              <w14:schemeClr w14:val="tx1"/>
            </w14:solidFill>
          </w14:textFill>
        </w:rPr>
      </w:pPr>
      <w:bookmarkStart w:id="654" w:name="_Toc54294468"/>
      <w:bookmarkStart w:id="655" w:name="_Toc129520655"/>
      <w:bookmarkStart w:id="656" w:name="_Toc477116183"/>
      <w:bookmarkStart w:id="657" w:name="_Toc17627"/>
      <w:bookmarkStart w:id="658" w:name="_Toc51340702"/>
      <w:bookmarkStart w:id="659" w:name="_Toc103178314"/>
      <w:bookmarkStart w:id="660" w:name="_Toc16909"/>
      <w:r>
        <w:rPr>
          <w:rFonts w:hint="eastAsia"/>
          <w:color w:val="000000" w:themeColor="text1"/>
          <w14:textFill>
            <w14:solidFill>
              <w14:schemeClr w14:val="tx1"/>
            </w14:solidFill>
          </w14:textFill>
        </w:rPr>
        <w:t>辨识过程</w:t>
      </w:r>
      <w:bookmarkEnd w:id="654"/>
      <w:bookmarkEnd w:id="655"/>
      <w:bookmarkEnd w:id="656"/>
      <w:bookmarkEnd w:id="657"/>
      <w:bookmarkEnd w:id="658"/>
      <w:bookmarkEnd w:id="659"/>
      <w:bookmarkEnd w:id="660"/>
    </w:p>
    <w:p>
      <w:pPr>
        <w:ind w:firstLine="560"/>
        <w:rPr>
          <w:color w:val="000000" w:themeColor="text1"/>
          <w:szCs w:val="28"/>
          <w14:textFill>
            <w14:solidFill>
              <w14:schemeClr w14:val="tx1"/>
            </w14:solidFill>
          </w14:textFill>
        </w:rPr>
      </w:pPr>
      <w:bookmarkStart w:id="661" w:name="_Toc314213643"/>
      <w:bookmarkStart w:id="662" w:name="_Toc413502313"/>
      <w:bookmarkStart w:id="663" w:name="_Toc413501913"/>
      <w:bookmarkStart w:id="664" w:name="_Toc54294469"/>
      <w:bookmarkStart w:id="665" w:name="_Toc444264490"/>
      <w:bookmarkStart w:id="666" w:name="_Toc129520656"/>
      <w:bookmarkStart w:id="667" w:name="_Toc51340703"/>
      <w:bookmarkStart w:id="668" w:name="_Toc50662634"/>
      <w:bookmarkStart w:id="669" w:name="_Toc103178315"/>
      <w:r>
        <w:rPr>
          <w:color w:val="000000" w:themeColor="text1"/>
          <w:szCs w:val="28"/>
          <w14:textFill>
            <w14:solidFill>
              <w14:schemeClr w14:val="tx1"/>
            </w14:solidFill>
          </w14:textFill>
        </w:rPr>
        <w:t>企业生产过程使用的</w:t>
      </w:r>
      <w:r>
        <w:rPr>
          <w:rFonts w:hint="eastAsia"/>
          <w:color w:val="000000" w:themeColor="text1"/>
          <w:szCs w:val="28"/>
          <w14:textFill>
            <w14:solidFill>
              <w14:schemeClr w14:val="tx1"/>
            </w14:solidFill>
          </w14:textFill>
        </w:rPr>
        <w:t>氧气、乙炔</w:t>
      </w:r>
      <w:r>
        <w:rPr>
          <w:color w:val="000000" w:themeColor="text1"/>
          <w:szCs w:val="28"/>
          <w14:textFill>
            <w14:solidFill>
              <w14:schemeClr w14:val="tx1"/>
            </w14:solidFill>
          </w14:textFill>
        </w:rPr>
        <w:t>为构成危险化学品重大危险源的物质。</w:t>
      </w:r>
    </w:p>
    <w:p>
      <w:pPr>
        <w:pStyle w:val="6"/>
        <w:rPr>
          <w:color w:val="000000" w:themeColor="text1"/>
          <w14:textFill>
            <w14:solidFill>
              <w14:schemeClr w14:val="tx1"/>
            </w14:solidFill>
          </w14:textFill>
        </w:rPr>
      </w:pPr>
      <w:bookmarkStart w:id="670" w:name="_Toc3968"/>
      <w:bookmarkStart w:id="671" w:name="_Toc12297"/>
      <w:r>
        <w:rPr>
          <w:rFonts w:hint="eastAsia"/>
          <w:color w:val="000000" w:themeColor="text1"/>
          <w14:textFill>
            <w14:solidFill>
              <w14:schemeClr w14:val="tx1"/>
            </w14:solidFill>
          </w14:textFill>
        </w:rPr>
        <w:t>辨识结果</w:t>
      </w:r>
      <w:bookmarkEnd w:id="661"/>
      <w:bookmarkEnd w:id="662"/>
      <w:bookmarkEnd w:id="663"/>
      <w:bookmarkEnd w:id="664"/>
      <w:bookmarkEnd w:id="665"/>
      <w:bookmarkEnd w:id="666"/>
      <w:bookmarkEnd w:id="667"/>
      <w:bookmarkEnd w:id="668"/>
      <w:bookmarkEnd w:id="669"/>
      <w:bookmarkEnd w:id="670"/>
      <w:bookmarkEnd w:id="671"/>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本次评价将本项目危险化学品重大危险源划分为1个</w:t>
      </w:r>
      <w:r>
        <w:rPr>
          <w:color w:val="000000" w:themeColor="text1"/>
          <w:szCs w:val="28"/>
          <w14:textFill>
            <w14:solidFill>
              <w14:schemeClr w14:val="tx1"/>
            </w14:solidFill>
          </w14:textFill>
        </w:rPr>
        <w:t>存储单元</w:t>
      </w:r>
      <w:r>
        <w:rPr>
          <w:rFonts w:hint="eastAsia"/>
          <w:color w:val="000000" w:themeColor="text1"/>
          <w:szCs w:val="28"/>
          <w14:textFill>
            <w14:solidFill>
              <w14:schemeClr w14:val="tx1"/>
            </w14:solidFill>
          </w14:textFill>
        </w:rPr>
        <w:t>，危险化学品主要为氧气、乙炔，日常不储存于公司内部，在进行检维修临时带入使用，使用后即带离。</w:t>
      </w:r>
    </w:p>
    <w:p>
      <w:pPr>
        <w:keepNext w:val="0"/>
        <w:keepLines w:val="0"/>
        <w:pageBreakBefore w:val="0"/>
        <w:widowControl w:val="0"/>
        <w:kinsoku/>
        <w:wordWrap/>
        <w:overflowPunct/>
        <w:topLinePunct w:val="0"/>
        <w:autoSpaceDE/>
        <w:autoSpaceDN/>
        <w:bidi w:val="0"/>
        <w:adjustRightInd/>
        <w:snapToGrid/>
        <w:ind w:firstLine="480"/>
        <w:jc w:val="center"/>
        <w:textAlignment w:val="auto"/>
        <w:outlineLvl w:val="9"/>
        <w:rPr>
          <w:color w:val="000000" w:themeColor="text1"/>
          <w:kern w:val="3"/>
          <w:sz w:val="24"/>
          <w14:textFill>
            <w14:solidFill>
              <w14:schemeClr w14:val="tx1"/>
            </w14:solidFill>
          </w14:textFill>
        </w:rPr>
      </w:pPr>
      <w:r>
        <w:rPr>
          <w:rFonts w:hint="eastAsia"/>
          <w:color w:val="000000" w:themeColor="text1"/>
          <w:kern w:val="3"/>
          <w:sz w:val="24"/>
          <w14:textFill>
            <w14:solidFill>
              <w14:schemeClr w14:val="tx1"/>
            </w14:solidFill>
          </w14:textFill>
        </w:rPr>
        <w:t>危险</w:t>
      </w:r>
      <w:r>
        <w:rPr>
          <w:color w:val="000000" w:themeColor="text1"/>
          <w:kern w:val="3"/>
          <w:sz w:val="24"/>
          <w14:textFill>
            <w14:solidFill>
              <w14:schemeClr w14:val="tx1"/>
            </w14:solidFill>
          </w14:textFill>
        </w:rPr>
        <w:t>化学品</w:t>
      </w:r>
      <w:r>
        <w:rPr>
          <w:rFonts w:hint="eastAsia"/>
          <w:color w:val="000000" w:themeColor="text1"/>
          <w:kern w:val="3"/>
          <w:sz w:val="24"/>
          <w14:textFill>
            <w14:solidFill>
              <w14:schemeClr w14:val="tx1"/>
            </w14:solidFill>
          </w14:textFill>
        </w:rPr>
        <w:t>重大</w:t>
      </w:r>
      <w:r>
        <w:rPr>
          <w:color w:val="000000" w:themeColor="text1"/>
          <w:kern w:val="3"/>
          <w:sz w:val="24"/>
          <w14:textFill>
            <w14:solidFill>
              <w14:schemeClr w14:val="tx1"/>
            </w14:solidFill>
          </w14:textFill>
        </w:rPr>
        <w:t>危险源辨识表</w:t>
      </w:r>
    </w:p>
    <w:tbl>
      <w:tblPr>
        <w:tblStyle w:val="34"/>
        <w:tblW w:w="49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1149"/>
        <w:gridCol w:w="710"/>
        <w:gridCol w:w="1133"/>
        <w:gridCol w:w="1133"/>
        <w:gridCol w:w="899"/>
        <w:gridCol w:w="2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 w:type="pct"/>
            <w:shd w:val="clear" w:color="auto" w:fill="auto"/>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685"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单元</w:t>
            </w:r>
          </w:p>
        </w:tc>
        <w:tc>
          <w:tcPr>
            <w:tcW w:w="423" w:type="pct"/>
            <w:shd w:val="clear" w:color="auto" w:fill="auto"/>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名称</w:t>
            </w:r>
          </w:p>
        </w:tc>
        <w:tc>
          <w:tcPr>
            <w:tcW w:w="675" w:type="pct"/>
            <w:shd w:val="clear" w:color="auto" w:fill="auto"/>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临界量（t）</w:t>
            </w:r>
          </w:p>
        </w:tc>
        <w:tc>
          <w:tcPr>
            <w:tcW w:w="675" w:type="pct"/>
            <w:shd w:val="clear" w:color="auto" w:fill="auto"/>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存在量（t）</w:t>
            </w:r>
          </w:p>
        </w:tc>
        <w:tc>
          <w:tcPr>
            <w:tcW w:w="536" w:type="pct"/>
            <w:shd w:val="clear" w:color="auto" w:fill="auto"/>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q/Q</w:t>
            </w:r>
          </w:p>
        </w:tc>
        <w:tc>
          <w:tcPr>
            <w:tcW w:w="1616"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685" w:type="pct"/>
            <w:vMerge w:val="restar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存储单元</w:t>
            </w:r>
          </w:p>
        </w:tc>
        <w:tc>
          <w:tcPr>
            <w:tcW w:w="423"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氧气</w:t>
            </w:r>
          </w:p>
        </w:tc>
        <w:tc>
          <w:tcPr>
            <w:tcW w:w="675"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200</w:t>
            </w:r>
          </w:p>
        </w:tc>
        <w:tc>
          <w:tcPr>
            <w:tcW w:w="675"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0.032</w:t>
            </w:r>
          </w:p>
        </w:tc>
        <w:tc>
          <w:tcPr>
            <w:tcW w:w="536"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0.00016</w:t>
            </w:r>
          </w:p>
        </w:tc>
        <w:tc>
          <w:tcPr>
            <w:tcW w:w="1616" w:type="pct"/>
            <w:vMerge w:val="restar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0.00016+0.0024=0.00256＜1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90"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685" w:type="pct"/>
            <w:vMerge w:val="continue"/>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423"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乙炔</w:t>
            </w:r>
          </w:p>
        </w:tc>
        <w:tc>
          <w:tcPr>
            <w:tcW w:w="675"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c>
          <w:tcPr>
            <w:tcW w:w="675"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0.024</w:t>
            </w:r>
          </w:p>
        </w:tc>
        <w:tc>
          <w:tcPr>
            <w:tcW w:w="536" w:type="pc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0.0024</w:t>
            </w:r>
          </w:p>
        </w:tc>
        <w:tc>
          <w:tcPr>
            <w:tcW w:w="1616" w:type="pct"/>
            <w:vMerge w:val="continue"/>
            <w:vAlign w:val="center"/>
          </w:tcPr>
          <w:p>
            <w:pPr>
              <w:spacing w:line="240" w:lineRule="auto"/>
              <w:ind w:firstLine="0" w:firstLineChars="0"/>
              <w:jc w:val="center"/>
              <w:rPr>
                <w:color w:val="000000" w:themeColor="text1"/>
                <w:sz w:val="21"/>
                <w:szCs w:val="21"/>
                <w14:textFill>
                  <w14:solidFill>
                    <w14:schemeClr w14:val="tx1"/>
                  </w14:solidFill>
                </w14:textFill>
              </w:rPr>
            </w:pPr>
          </w:p>
        </w:tc>
      </w:tr>
    </w:tbl>
    <w:p>
      <w:pPr>
        <w:ind w:firstLine="560"/>
        <w:rPr>
          <w:rFonts w:ascii="宋体" w:hAnsi="宋体"/>
          <w:color w:val="000000" w:themeColor="text1"/>
          <w:szCs w:val="28"/>
          <w14:textFill>
            <w14:solidFill>
              <w14:schemeClr w14:val="tx1"/>
            </w14:solidFill>
          </w14:textFill>
        </w:rPr>
        <w:sectPr>
          <w:headerReference r:id="rId19" w:type="even"/>
          <w:pgSz w:w="11906" w:h="16838"/>
          <w:pgMar w:top="1440" w:right="1800" w:bottom="1440" w:left="1800" w:header="850" w:footer="992" w:gutter="0"/>
          <w:pgNumType w:fmt="decimal"/>
          <w:cols w:space="720" w:num="1"/>
          <w:docGrid w:linePitch="312" w:charSpace="0"/>
        </w:sectPr>
      </w:pPr>
      <w:r>
        <w:rPr>
          <w:rFonts w:hint="eastAsia" w:ascii="宋体" w:hAnsi="宋体"/>
          <w:color w:val="000000" w:themeColor="text1"/>
          <w:szCs w:val="28"/>
          <w14:textFill>
            <w14:solidFill>
              <w14:schemeClr w14:val="tx1"/>
            </w14:solidFill>
          </w14:textFill>
        </w:rPr>
        <w:t>综上所述，</w:t>
      </w:r>
      <w:r>
        <w:t>玉溪玉象包装材料有限公司</w:t>
      </w:r>
      <w:r>
        <w:rPr>
          <w:rFonts w:hint="eastAsia" w:ascii="宋体" w:hAnsi="宋体"/>
          <w:color w:val="000000" w:themeColor="text1"/>
          <w:szCs w:val="28"/>
          <w14:textFill>
            <w14:solidFill>
              <w14:schemeClr w14:val="tx1"/>
            </w14:solidFill>
          </w14:textFill>
        </w:rPr>
        <w:t>所涉及的危险化学品储存单元未构成危险化学品重大危险源。</w:t>
      </w:r>
    </w:p>
    <w:p>
      <w:pPr>
        <w:pStyle w:val="4"/>
        <w:ind w:firstLine="883"/>
        <w:rPr>
          <w:color w:val="000000" w:themeColor="text1"/>
          <w14:textFill>
            <w14:solidFill>
              <w14:schemeClr w14:val="tx1"/>
            </w14:solidFill>
          </w14:textFill>
        </w:rPr>
      </w:pPr>
      <w:bookmarkStart w:id="672" w:name="_Toc201697615"/>
      <w:bookmarkStart w:id="673" w:name="_Toc458246001"/>
      <w:bookmarkStart w:id="674" w:name="_Toc54294474"/>
      <w:bookmarkStart w:id="675" w:name="_Toc51340708"/>
      <w:bookmarkStart w:id="676" w:name="_Toc129520657"/>
      <w:bookmarkStart w:id="677" w:name="_Toc15668"/>
      <w:bookmarkStart w:id="678" w:name="_Toc103178319"/>
      <w:bookmarkStart w:id="679" w:name="_Toc13624"/>
      <w:r>
        <w:rPr>
          <w:color w:val="000000" w:themeColor="text1"/>
          <w14:textFill>
            <w14:solidFill>
              <w14:schemeClr w14:val="tx1"/>
            </w14:solidFill>
          </w14:textFill>
        </w:rPr>
        <w:t>评价方法选择和评价单元划分</w:t>
      </w:r>
      <w:bookmarkEnd w:id="672"/>
      <w:bookmarkEnd w:id="673"/>
      <w:bookmarkEnd w:id="674"/>
      <w:bookmarkEnd w:id="675"/>
      <w:bookmarkEnd w:id="676"/>
      <w:bookmarkEnd w:id="677"/>
      <w:bookmarkEnd w:id="678"/>
      <w:bookmarkEnd w:id="679"/>
    </w:p>
    <w:p>
      <w:pPr>
        <w:pStyle w:val="5"/>
        <w:rPr>
          <w:snapToGrid w:val="0"/>
          <w:color w:val="000000" w:themeColor="text1"/>
          <w14:textFill>
            <w14:solidFill>
              <w14:schemeClr w14:val="tx1"/>
            </w14:solidFill>
          </w14:textFill>
        </w:rPr>
      </w:pPr>
      <w:bookmarkStart w:id="680" w:name="_Toc103178320"/>
      <w:bookmarkStart w:id="681" w:name="_Toc458246002"/>
      <w:bookmarkStart w:id="682" w:name="_Toc23005"/>
      <w:bookmarkStart w:id="683" w:name="_Toc54294475"/>
      <w:bookmarkStart w:id="684" w:name="_Toc129520658"/>
      <w:bookmarkStart w:id="685" w:name="_Toc51340709"/>
      <w:bookmarkStart w:id="686" w:name="_Toc201697616"/>
      <w:bookmarkStart w:id="687" w:name="_Toc32501"/>
      <w:r>
        <w:rPr>
          <w:snapToGrid w:val="0"/>
          <w:color w:val="000000" w:themeColor="text1"/>
          <w14:textFill>
            <w14:solidFill>
              <w14:schemeClr w14:val="tx1"/>
            </w14:solidFill>
          </w14:textFill>
        </w:rPr>
        <w:t>评价单元划分</w:t>
      </w:r>
      <w:bookmarkEnd w:id="680"/>
      <w:bookmarkEnd w:id="681"/>
      <w:bookmarkEnd w:id="682"/>
      <w:bookmarkEnd w:id="683"/>
      <w:bookmarkEnd w:id="684"/>
      <w:bookmarkEnd w:id="685"/>
      <w:bookmarkEnd w:id="686"/>
      <w:bookmarkEnd w:id="687"/>
    </w:p>
    <w:p>
      <w:pPr>
        <w:pStyle w:val="6"/>
        <w:rPr>
          <w:color w:val="000000" w:themeColor="text1"/>
          <w14:textFill>
            <w14:solidFill>
              <w14:schemeClr w14:val="tx1"/>
            </w14:solidFill>
          </w14:textFill>
        </w:rPr>
      </w:pPr>
      <w:bookmarkStart w:id="688" w:name="_Toc51340710"/>
      <w:bookmarkStart w:id="689" w:name="_Toc458246003"/>
      <w:bookmarkStart w:id="690" w:name="_Toc54294476"/>
      <w:bookmarkStart w:id="691" w:name="_Toc26246"/>
      <w:bookmarkStart w:id="692" w:name="_Toc201697617"/>
      <w:bookmarkStart w:id="693" w:name="_Toc129520659"/>
      <w:bookmarkStart w:id="694" w:name="_Toc103178321"/>
      <w:bookmarkStart w:id="695" w:name="_Toc463"/>
      <w:r>
        <w:rPr>
          <w:color w:val="000000" w:themeColor="text1"/>
          <w14:textFill>
            <w14:solidFill>
              <w14:schemeClr w14:val="tx1"/>
            </w14:solidFill>
          </w14:textFill>
        </w:rPr>
        <w:t>评价单元划分原则</w:t>
      </w:r>
      <w:bookmarkEnd w:id="688"/>
      <w:bookmarkEnd w:id="689"/>
      <w:bookmarkEnd w:id="690"/>
      <w:bookmarkEnd w:id="691"/>
      <w:bookmarkEnd w:id="692"/>
      <w:bookmarkEnd w:id="693"/>
      <w:bookmarkEnd w:id="694"/>
      <w:bookmarkEnd w:id="695"/>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评价单元划分要便于评价工作的进行，有利于提高评价工作的准确性。评价单元的划分，一般将生产工艺、工艺装置、物料的特点和特征与危险、有害因素的类别、分布有机结合进行划分，还可以按评价的需要将一个评价单元再划分为若干子评价单元或更细致的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评价单元的划分应根据评价对象的实际情况和选择的评价方法，按照以下原则划分安全评价单元：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1.以危险、有害因素的类别划分；</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2.以装置、设施和工艺流程的特征划分；</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3.将安全管理、外部周边情况分别划分为一个评价单元。</w:t>
      </w:r>
    </w:p>
    <w:p>
      <w:pPr>
        <w:pStyle w:val="6"/>
        <w:rPr>
          <w:color w:val="000000" w:themeColor="text1"/>
          <w14:textFill>
            <w14:solidFill>
              <w14:schemeClr w14:val="tx1"/>
            </w14:solidFill>
          </w14:textFill>
        </w:rPr>
      </w:pPr>
      <w:bookmarkStart w:id="696" w:name="_Toc23761"/>
      <w:bookmarkStart w:id="697" w:name="_Toc103178322"/>
      <w:bookmarkStart w:id="698" w:name="_Toc458246004"/>
      <w:bookmarkStart w:id="699" w:name="_Toc129520660"/>
      <w:bookmarkStart w:id="700" w:name="_Toc201697618"/>
      <w:bookmarkStart w:id="701" w:name="_Toc51340711"/>
      <w:bookmarkStart w:id="702" w:name="_Toc54294477"/>
      <w:bookmarkStart w:id="703" w:name="_Toc21823"/>
      <w:r>
        <w:rPr>
          <w:color w:val="000000" w:themeColor="text1"/>
          <w14:textFill>
            <w14:solidFill>
              <w14:schemeClr w14:val="tx1"/>
            </w14:solidFill>
          </w14:textFill>
        </w:rPr>
        <w:t>评价单元划分方法</w:t>
      </w:r>
      <w:bookmarkEnd w:id="696"/>
      <w:bookmarkEnd w:id="697"/>
      <w:bookmarkEnd w:id="698"/>
      <w:bookmarkEnd w:id="699"/>
      <w:bookmarkEnd w:id="700"/>
      <w:bookmarkEnd w:id="701"/>
      <w:bookmarkEnd w:id="702"/>
      <w:bookmarkEnd w:id="703"/>
    </w:p>
    <w:p>
      <w:pPr>
        <w:adjustRightInd w:val="0"/>
        <w:snapToGrid w:val="0"/>
        <w:ind w:firstLine="560"/>
        <w:rPr>
          <w:snapToGrid w:val="0"/>
          <w:color w:val="000000" w:themeColor="text1"/>
          <w:kern w:val="0"/>
          <w14:textFill>
            <w14:solidFill>
              <w14:schemeClr w14:val="tx1"/>
            </w14:solidFill>
          </w14:textFill>
        </w:rPr>
      </w:pPr>
      <w:r>
        <w:rPr>
          <w:snapToGrid w:val="0"/>
          <w:color w:val="000000" w:themeColor="text1"/>
          <w:kern w:val="0"/>
          <w14:textFill>
            <w14:solidFill>
              <w14:schemeClr w14:val="tx1"/>
            </w14:solidFill>
          </w14:textFill>
        </w:rPr>
        <w:t>常用的评价单元划分方法有：</w:t>
      </w:r>
    </w:p>
    <w:p>
      <w:pPr>
        <w:numPr>
          <w:ilvl w:val="0"/>
          <w:numId w:val="31"/>
        </w:numPr>
        <w:ind w:left="0" w:leftChars="0" w:firstLine="560" w:firstLineChars="200"/>
        <w:rPr>
          <w:color w:val="000000" w:themeColor="text1"/>
          <w:szCs w:val="28"/>
          <w14:textFill>
            <w14:solidFill>
              <w14:schemeClr w14:val="tx1"/>
            </w14:solidFill>
          </w14:textFill>
        </w:rPr>
      </w:pPr>
      <w:r>
        <w:rPr>
          <w:color w:val="000000" w:themeColor="text1"/>
          <w:szCs w:val="28"/>
          <w14:textFill>
            <w14:solidFill>
              <w14:schemeClr w14:val="tx1"/>
            </w14:solidFill>
          </w14:textFill>
        </w:rPr>
        <w:t>以危险、有害因素的类别为主划分评价单元。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（1）对工艺方案、总体布置及自然条件、环境对系统影响等综合方面的危险、有害因素的分析和评价，可将整个系统作为一个评价单元；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（2）将具有共性危险因素、有害因素的场所和装置划为一个单元。</w:t>
      </w:r>
    </w:p>
    <w:p>
      <w:pPr>
        <w:numPr>
          <w:ilvl w:val="0"/>
          <w:numId w:val="31"/>
        </w:numPr>
        <w:ind w:left="0" w:leftChars="0" w:firstLine="560" w:firstLineChars="200"/>
        <w:rPr>
          <w:rFonts w:ascii="Times New Roman" w:hAnsi="Times New Roman" w:eastAsia="宋体" w:cs="Times New Roman"/>
          <w:color w:val="000000" w:themeColor="text1"/>
          <w:szCs w:val="28"/>
          <w14:textFill>
            <w14:solidFill>
              <w14:schemeClr w14:val="tx1"/>
            </w14:solidFill>
          </w14:textFill>
        </w:rPr>
      </w:pPr>
      <w:r>
        <w:rPr>
          <w:rFonts w:ascii="Times New Roman" w:hAnsi="Times New Roman" w:eastAsia="宋体" w:cs="Times New Roman"/>
          <w:color w:val="000000" w:themeColor="text1"/>
          <w:szCs w:val="28"/>
          <w14:textFill>
            <w14:solidFill>
              <w14:schemeClr w14:val="tx1"/>
            </w14:solidFill>
          </w14:textFill>
        </w:rPr>
        <w:t>以装置和物质特征划分评价单元。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（1）按装置工艺功能划分；</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（2）按布置的相对独立性划分；</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（3）按工艺条件划分评价单元；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（4）按贮存、处理危险物品的潜在化学能、毒性和危险物品的数量划分评价单元；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（5）根据以往事故资料，将发生事故能导致停产、波及范围大、造成巨大损失和伤害的关键设备作为一个单元；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（6）将危险性大且资金密度大的区域作为一个评价单元；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（7）将危险性特别大的区域、装置作为一个评价单元；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（8）将具有类似危险性潜能的单元合并为一个大单元。</w:t>
      </w:r>
    </w:p>
    <w:p>
      <w:pPr>
        <w:pStyle w:val="6"/>
        <w:rPr>
          <w:color w:val="000000" w:themeColor="text1"/>
          <w14:textFill>
            <w14:solidFill>
              <w14:schemeClr w14:val="tx1"/>
            </w14:solidFill>
          </w14:textFill>
        </w:rPr>
      </w:pPr>
      <w:bookmarkStart w:id="704" w:name="_Toc54294478"/>
      <w:bookmarkStart w:id="705" w:name="_Toc129520661"/>
      <w:bookmarkStart w:id="706" w:name="_Toc103178323"/>
      <w:bookmarkStart w:id="707" w:name="_Toc51340712"/>
      <w:bookmarkStart w:id="708" w:name="_Toc201697619"/>
      <w:bookmarkStart w:id="709" w:name="_Toc6284"/>
      <w:bookmarkStart w:id="710" w:name="_Toc458246005"/>
      <w:bookmarkStart w:id="711" w:name="_Toc4713"/>
      <w:r>
        <w:rPr>
          <w:color w:val="000000" w:themeColor="text1"/>
          <w14:textFill>
            <w14:solidFill>
              <w14:schemeClr w14:val="tx1"/>
            </w14:solidFill>
          </w14:textFill>
        </w:rPr>
        <w:t>评价单元的划分</w:t>
      </w:r>
      <w:bookmarkEnd w:id="704"/>
      <w:bookmarkEnd w:id="705"/>
      <w:bookmarkEnd w:id="706"/>
      <w:bookmarkEnd w:id="707"/>
      <w:bookmarkEnd w:id="708"/>
      <w:bookmarkEnd w:id="709"/>
      <w:bookmarkEnd w:id="710"/>
      <w:bookmarkEnd w:id="711"/>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根据上述安全评价单元的划分原则和本项目的实际情况，分为</w:t>
      </w:r>
      <w:r>
        <w:rPr>
          <w:rFonts w:hint="eastAsia"/>
          <w:color w:val="000000" w:themeColor="text1"/>
          <w:szCs w:val="28"/>
          <w:lang w:val="en-US" w:eastAsia="zh-CN"/>
          <w14:textFill>
            <w14:solidFill>
              <w14:schemeClr w14:val="tx1"/>
            </w14:solidFill>
          </w14:textFill>
        </w:rPr>
        <w:t>5</w:t>
      </w:r>
      <w:r>
        <w:rPr>
          <w:color w:val="000000" w:themeColor="text1"/>
          <w:szCs w:val="28"/>
          <w14:textFill>
            <w14:solidFill>
              <w14:schemeClr w14:val="tx1"/>
            </w14:solidFill>
          </w14:textFill>
        </w:rPr>
        <w:t>个评价单元进行安全评价。评价单元划分如下：</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厂址及总平面布置评价单元；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生产工艺及设施评价单元；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常规防护设施评价单元；</w:t>
      </w:r>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4.</w:t>
      </w:r>
      <w:r>
        <w:rPr>
          <w:color w:val="000000" w:themeColor="text1"/>
          <w:szCs w:val="28"/>
          <w14:textFill>
            <w14:solidFill>
              <w14:schemeClr w14:val="tx1"/>
            </w14:solidFill>
          </w14:textFill>
        </w:rPr>
        <w:t>公用工程及辅助设施评价单元；</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5</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安全管理评价单元。</w:t>
      </w:r>
    </w:p>
    <w:p>
      <w:pPr>
        <w:pStyle w:val="5"/>
        <w:rPr>
          <w:snapToGrid w:val="0"/>
          <w:color w:val="000000" w:themeColor="text1"/>
          <w14:textFill>
            <w14:solidFill>
              <w14:schemeClr w14:val="tx1"/>
            </w14:solidFill>
          </w14:textFill>
        </w:rPr>
      </w:pPr>
      <w:bookmarkStart w:id="712" w:name="_Toc54294479"/>
      <w:bookmarkStart w:id="713" w:name="_Toc23718"/>
      <w:bookmarkStart w:id="714" w:name="_Toc201697620"/>
      <w:bookmarkStart w:id="715" w:name="_Toc458246006"/>
      <w:bookmarkStart w:id="716" w:name="_Toc129520662"/>
      <w:bookmarkStart w:id="717" w:name="_Toc103178324"/>
      <w:bookmarkStart w:id="718" w:name="_Toc51340713"/>
      <w:bookmarkStart w:id="719" w:name="_Toc4647"/>
      <w:r>
        <w:rPr>
          <w:snapToGrid w:val="0"/>
          <w:color w:val="000000" w:themeColor="text1"/>
          <w14:textFill>
            <w14:solidFill>
              <w14:schemeClr w14:val="tx1"/>
            </w14:solidFill>
          </w14:textFill>
        </w:rPr>
        <w:t>评价方法的选择</w:t>
      </w:r>
      <w:bookmarkEnd w:id="712"/>
      <w:bookmarkEnd w:id="713"/>
      <w:bookmarkEnd w:id="714"/>
      <w:bookmarkEnd w:id="715"/>
      <w:bookmarkEnd w:id="716"/>
      <w:bookmarkEnd w:id="717"/>
      <w:bookmarkEnd w:id="718"/>
      <w:bookmarkEnd w:id="719"/>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安全评价方法是对系统的危险因素、危害因素及其危险、危害程度进行分析、评价的方法。目前，已开发出数十种不同特点、不同适用范围和应用条件的评价方法。按其特性可分为定性安全评价和定量安全评价。</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本报告主要采用安全检查表法，辅助作业条件危险性分析法等对项目厂址及总平面布置、生产工艺及设施、公辅设施及安全管理等方面进行分析评价。本项目各单元选择的评价方法及选择理由见表4-1。</w:t>
      </w:r>
    </w:p>
    <w:p>
      <w:pPr>
        <w:numPr>
          <w:ilvl w:val="0"/>
          <w:numId w:val="32"/>
        </w:numPr>
        <w:adjustRightInd w:val="0"/>
        <w:snapToGrid w:val="0"/>
        <w:ind w:firstLineChars="0"/>
        <w:jc w:val="center"/>
        <w:rPr>
          <w:rFonts w:ascii="宋体" w:hAnsi="宋体"/>
          <w:bCs/>
          <w:color w:val="000000" w:themeColor="text1"/>
          <w:sz w:val="24"/>
          <w14:textFill>
            <w14:solidFill>
              <w14:schemeClr w14:val="tx1"/>
            </w14:solidFill>
          </w14:textFill>
        </w:rPr>
      </w:pPr>
      <w:bookmarkStart w:id="720" w:name="_Toc201697622"/>
      <w:r>
        <w:rPr>
          <w:rFonts w:ascii="宋体" w:hAnsi="宋体"/>
          <w:bCs/>
          <w:color w:val="000000" w:themeColor="text1"/>
          <w:sz w:val="24"/>
          <w14:textFill>
            <w14:solidFill>
              <w14:schemeClr w14:val="tx1"/>
            </w14:solidFill>
          </w14:textFill>
        </w:rPr>
        <w:t>评价方法选择一览表</w:t>
      </w:r>
    </w:p>
    <w:tbl>
      <w:tblPr>
        <w:tblStyle w:val="34"/>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671"/>
        <w:gridCol w:w="1228"/>
        <w:gridCol w:w="1635"/>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2"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899" w:type="dxa"/>
            <w:gridSpan w:val="2"/>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评价单元</w:t>
            </w:r>
          </w:p>
        </w:tc>
        <w:tc>
          <w:tcPr>
            <w:tcW w:w="1635"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评价方法选择</w:t>
            </w:r>
          </w:p>
        </w:tc>
        <w:tc>
          <w:tcPr>
            <w:tcW w:w="4462"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选择理由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1899" w:type="dxa"/>
            <w:gridSpan w:val="2"/>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厂址及</w:t>
            </w:r>
            <w:r>
              <w:rPr>
                <w:snapToGrid w:val="0"/>
                <w:color w:val="000000" w:themeColor="text1"/>
                <w:kern w:val="0"/>
                <w:sz w:val="21"/>
                <w:szCs w:val="21"/>
                <w14:textFill>
                  <w14:solidFill>
                    <w14:schemeClr w14:val="tx1"/>
                  </w14:solidFill>
                </w14:textFill>
              </w:rPr>
              <w:t>总平面布置评价单元</w:t>
            </w:r>
          </w:p>
        </w:tc>
        <w:tc>
          <w:tcPr>
            <w:tcW w:w="163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安全检查表法</w:t>
            </w:r>
          </w:p>
        </w:tc>
        <w:tc>
          <w:tcPr>
            <w:tcW w:w="4462"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依据有关法规、标准在检查表中列出了检查要求，使检查工作标准化、规范化。验证项目</w:t>
            </w:r>
            <w:r>
              <w:rPr>
                <w:snapToGrid w:val="0"/>
                <w:color w:val="000000" w:themeColor="text1"/>
                <w:kern w:val="0"/>
                <w:sz w:val="21"/>
                <w:szCs w:val="21"/>
                <w14:textFill>
                  <w14:solidFill>
                    <w14:schemeClr w14:val="tx1"/>
                  </w14:solidFill>
                </w14:textFill>
              </w:rPr>
              <w:t>厂址和总平面布置</w:t>
            </w:r>
            <w:r>
              <w:rPr>
                <w:color w:val="000000" w:themeColor="text1"/>
                <w:sz w:val="21"/>
                <w:szCs w:val="21"/>
                <w14:textFill>
                  <w14:solidFill>
                    <w14:schemeClr w14:val="tx1"/>
                  </w14:solidFill>
                </w14:textFill>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1899" w:type="dxa"/>
            <w:gridSpan w:val="2"/>
            <w:vMerge w:val="restar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生产工艺及设施评价单元</w:t>
            </w: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安全检查表法</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依据有关法规、标准在检查表中列出了检查要求，使检查工作标准化、规范化。验证</w:t>
            </w:r>
            <w:r>
              <w:rPr>
                <w:snapToGrid w:val="0"/>
                <w:color w:val="000000" w:themeColor="text1"/>
                <w:kern w:val="0"/>
                <w:sz w:val="21"/>
                <w:szCs w:val="21"/>
                <w14:textFill>
                  <w14:solidFill>
                    <w14:schemeClr w14:val="tx1"/>
                  </w14:solidFill>
                </w14:textFill>
              </w:rPr>
              <w:t>生产工艺及设施设置情况</w:t>
            </w:r>
            <w:r>
              <w:rPr>
                <w:color w:val="000000" w:themeColor="text1"/>
                <w:sz w:val="21"/>
                <w:szCs w:val="21"/>
                <w14:textFill>
                  <w14:solidFill>
                    <w14:schemeClr w14:val="tx1"/>
                  </w14:solidFill>
                </w14:textFill>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1899" w:type="dxa"/>
            <w:gridSpan w:val="2"/>
            <w:vMerge w:val="continue"/>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作业条件危险性分析</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作业条件危险性评价</w:t>
            </w:r>
            <w:r>
              <w:rPr>
                <w:color w:val="000000" w:themeColor="text1"/>
                <w:sz w:val="21"/>
                <w:szCs w:val="21"/>
                <w14:textFill>
                  <w14:solidFill>
                    <w14:schemeClr w14:val="tx1"/>
                  </w14:solidFill>
                </w14:textFill>
              </w:rPr>
              <w:t>法简单易行，可比较清楚、醒目的划分出各作业环境中潜在</w:t>
            </w:r>
            <w:r>
              <w:rPr>
                <w:rFonts w:hint="eastAsia"/>
                <w:color w:val="000000" w:themeColor="text1"/>
                <w:sz w:val="21"/>
                <w:szCs w:val="21"/>
                <w:lang w:eastAsia="zh-CN"/>
                <w14:textFill>
                  <w14:solidFill>
                    <w14:schemeClr w14:val="tx1"/>
                  </w14:solidFill>
                </w14:textFill>
              </w:rPr>
              <w:t>的</w:t>
            </w:r>
            <w:r>
              <w:rPr>
                <w:color w:val="000000" w:themeColor="text1"/>
                <w:sz w:val="21"/>
                <w:szCs w:val="21"/>
                <w14:textFill>
                  <w14:solidFill>
                    <w14:schemeClr w14:val="tx1"/>
                  </w14:solidFill>
                </w14:textFill>
              </w:rPr>
              <w:t>危险程度。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1899" w:type="dxa"/>
            <w:gridSpan w:val="2"/>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r>
              <w:rPr>
                <w:snapToGrid w:val="0"/>
                <w:color w:val="000000" w:themeColor="text1"/>
                <w:kern w:val="0"/>
                <w:sz w:val="21"/>
                <w:szCs w:val="21"/>
                <w14:textFill>
                  <w14:solidFill>
                    <w14:schemeClr w14:val="tx1"/>
                  </w14:solidFill>
                </w14:textFill>
              </w:rPr>
              <w:t>常规防护设施评价单元</w:t>
            </w: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安全检查表法</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依据有关法规、标准在检查表中列出了检查要求，使检查工作标准化、规范化。验证常规防护设施</w:t>
            </w:r>
            <w:r>
              <w:rPr>
                <w:snapToGrid w:val="0"/>
                <w:color w:val="000000" w:themeColor="text1"/>
                <w:kern w:val="0"/>
                <w:sz w:val="21"/>
                <w:szCs w:val="21"/>
                <w14:textFill>
                  <w14:solidFill>
                    <w14:schemeClr w14:val="tx1"/>
                  </w14:solidFill>
                </w14:textFill>
              </w:rPr>
              <w:t>设置情况</w:t>
            </w:r>
            <w:r>
              <w:rPr>
                <w:color w:val="000000" w:themeColor="text1"/>
                <w:sz w:val="21"/>
                <w:szCs w:val="21"/>
                <w14:textFill>
                  <w14:solidFill>
                    <w14:schemeClr w14:val="tx1"/>
                  </w14:solidFill>
                </w14:textFill>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671" w:type="dxa"/>
            <w:vMerge w:val="restart"/>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snapToGrid w:val="0"/>
                <w:color w:val="000000" w:themeColor="text1"/>
                <w:kern w:val="0"/>
                <w:sz w:val="21"/>
                <w:szCs w:val="21"/>
                <w14:textFill>
                  <w14:solidFill>
                    <w14:schemeClr w14:val="tx1"/>
                  </w14:solidFill>
                </w14:textFill>
              </w:rPr>
              <w:t>公用工程及辅助设施评价单元</w:t>
            </w:r>
          </w:p>
        </w:tc>
        <w:tc>
          <w:tcPr>
            <w:tcW w:w="1228" w:type="dxa"/>
            <w:vMerge w:val="restart"/>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r>
              <w:rPr>
                <w:snapToGrid w:val="0"/>
                <w:color w:val="000000" w:themeColor="text1"/>
                <w:kern w:val="0"/>
                <w:sz w:val="21"/>
                <w:szCs w:val="21"/>
                <w14:textFill>
                  <w14:solidFill>
                    <w14:schemeClr w14:val="tx1"/>
                  </w14:solidFill>
                </w14:textFill>
              </w:rPr>
              <w:t>供配电</w:t>
            </w: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安全检查表法</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依据有关法规、标准在检查表中列出了检查要求，使检查工作标准化、规范化。验证</w:t>
            </w:r>
            <w:r>
              <w:rPr>
                <w:snapToGrid w:val="0"/>
                <w:color w:val="000000" w:themeColor="text1"/>
                <w:kern w:val="0"/>
                <w:sz w:val="21"/>
                <w:szCs w:val="21"/>
                <w14:textFill>
                  <w14:solidFill>
                    <w14:schemeClr w14:val="tx1"/>
                  </w14:solidFill>
                </w14:textFill>
              </w:rPr>
              <w:t>供配电系统设置情况</w:t>
            </w:r>
            <w:r>
              <w:rPr>
                <w:color w:val="000000" w:themeColor="text1"/>
                <w:sz w:val="21"/>
                <w:szCs w:val="21"/>
                <w14:textFill>
                  <w14:solidFill>
                    <w14:schemeClr w14:val="tx1"/>
                  </w14:solidFill>
                </w14:textFill>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671" w:type="dxa"/>
            <w:vMerge w:val="continue"/>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p>
        </w:tc>
        <w:tc>
          <w:tcPr>
            <w:tcW w:w="1228" w:type="dxa"/>
            <w:vMerge w:val="continue"/>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作业条件危险性分析</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作业条件危险性评价</w:t>
            </w:r>
            <w:r>
              <w:rPr>
                <w:color w:val="000000" w:themeColor="text1"/>
                <w:sz w:val="21"/>
                <w:szCs w:val="21"/>
                <w14:textFill>
                  <w14:solidFill>
                    <w14:schemeClr w14:val="tx1"/>
                  </w14:solidFill>
                </w14:textFill>
              </w:rPr>
              <w:t>法简单易行，可比较清楚、醒目的划分出各作业环境中潜在</w:t>
            </w:r>
            <w:r>
              <w:rPr>
                <w:rFonts w:hint="eastAsia"/>
                <w:color w:val="000000" w:themeColor="text1"/>
                <w:sz w:val="21"/>
                <w:szCs w:val="21"/>
                <w:lang w:eastAsia="zh-CN"/>
                <w14:textFill>
                  <w14:solidFill>
                    <w14:schemeClr w14:val="tx1"/>
                  </w14:solidFill>
                </w14:textFill>
              </w:rPr>
              <w:t>的</w:t>
            </w:r>
            <w:r>
              <w:rPr>
                <w:color w:val="000000" w:themeColor="text1"/>
                <w:sz w:val="21"/>
                <w:szCs w:val="21"/>
                <w14:textFill>
                  <w14:solidFill>
                    <w14:schemeClr w14:val="tx1"/>
                  </w14:solidFill>
                </w14:textFill>
              </w:rPr>
              <w:t>危险程度。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671" w:type="dxa"/>
            <w:vMerge w:val="continue"/>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p>
        </w:tc>
        <w:tc>
          <w:tcPr>
            <w:tcW w:w="1228" w:type="dxa"/>
            <w:vMerge w:val="restart"/>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r>
              <w:rPr>
                <w:snapToGrid w:val="0"/>
                <w:color w:val="000000" w:themeColor="text1"/>
                <w:kern w:val="0"/>
                <w:sz w:val="21"/>
                <w:szCs w:val="21"/>
                <w14:textFill>
                  <w14:solidFill>
                    <w14:schemeClr w14:val="tx1"/>
                  </w14:solidFill>
                </w14:textFill>
              </w:rPr>
              <w:t>给排水</w:t>
            </w: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安全检查表法</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依据有关法规、标准在检查表中列出了检查要求，使检查工作标准化、规范化。验证</w:t>
            </w:r>
            <w:r>
              <w:rPr>
                <w:snapToGrid w:val="0"/>
                <w:color w:val="000000" w:themeColor="text1"/>
                <w:kern w:val="0"/>
                <w:sz w:val="21"/>
                <w:szCs w:val="21"/>
                <w14:textFill>
                  <w14:solidFill>
                    <w14:schemeClr w14:val="tx1"/>
                  </w14:solidFill>
                </w14:textFill>
              </w:rPr>
              <w:t>给排水设施设置情况</w:t>
            </w:r>
            <w:r>
              <w:rPr>
                <w:color w:val="000000" w:themeColor="text1"/>
                <w:sz w:val="21"/>
                <w:szCs w:val="21"/>
                <w14:textFill>
                  <w14:solidFill>
                    <w14:schemeClr w14:val="tx1"/>
                  </w14:solidFill>
                </w14:textFill>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671" w:type="dxa"/>
            <w:vMerge w:val="continue"/>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p>
        </w:tc>
        <w:tc>
          <w:tcPr>
            <w:tcW w:w="1228" w:type="dxa"/>
            <w:vMerge w:val="continue"/>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作业条件危险性分析</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作业条件危险性评价</w:t>
            </w:r>
            <w:r>
              <w:rPr>
                <w:color w:val="000000" w:themeColor="text1"/>
                <w:sz w:val="21"/>
                <w:szCs w:val="21"/>
                <w14:textFill>
                  <w14:solidFill>
                    <w14:schemeClr w14:val="tx1"/>
                  </w14:solidFill>
                </w14:textFill>
              </w:rPr>
              <w:t>法简单易行，可比较清楚、醒目的划分出各作业环境中潜在</w:t>
            </w:r>
            <w:r>
              <w:rPr>
                <w:rFonts w:hint="eastAsia"/>
                <w:color w:val="000000" w:themeColor="text1"/>
                <w:sz w:val="21"/>
                <w:szCs w:val="21"/>
                <w:lang w:eastAsia="zh-CN"/>
                <w14:textFill>
                  <w14:solidFill>
                    <w14:schemeClr w14:val="tx1"/>
                  </w14:solidFill>
                </w14:textFill>
              </w:rPr>
              <w:t>的</w:t>
            </w:r>
            <w:r>
              <w:rPr>
                <w:color w:val="000000" w:themeColor="text1"/>
                <w:sz w:val="21"/>
                <w:szCs w:val="21"/>
                <w14:textFill>
                  <w14:solidFill>
                    <w14:schemeClr w14:val="tx1"/>
                  </w14:solidFill>
                </w14:textFill>
              </w:rPr>
              <w:t>危险程度。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p>
        </w:tc>
        <w:tc>
          <w:tcPr>
            <w:tcW w:w="671" w:type="dxa"/>
            <w:vMerge w:val="continue"/>
            <w:shd w:val="clear" w:color="auto" w:fill="auto"/>
            <w:vAlign w:val="center"/>
          </w:tcPr>
          <w:p>
            <w:pPr>
              <w:spacing w:line="240" w:lineRule="auto"/>
              <w:ind w:firstLine="0" w:firstLineChars="0"/>
              <w:jc w:val="center"/>
              <w:rPr>
                <w:snapToGrid w:val="0"/>
                <w:color w:val="000000" w:themeColor="text1"/>
                <w:kern w:val="0"/>
                <w:sz w:val="21"/>
                <w:szCs w:val="21"/>
                <w14:textFill>
                  <w14:solidFill>
                    <w14:schemeClr w14:val="tx1"/>
                  </w14:solidFill>
                </w14:textFill>
              </w:rPr>
            </w:pPr>
          </w:p>
        </w:tc>
        <w:tc>
          <w:tcPr>
            <w:tcW w:w="1228" w:type="dxa"/>
            <w:shd w:val="clear" w:color="auto" w:fill="auto"/>
            <w:vAlign w:val="center"/>
          </w:tcPr>
          <w:p>
            <w:pPr>
              <w:spacing w:line="240" w:lineRule="auto"/>
              <w:ind w:firstLine="0" w:firstLineChars="0"/>
              <w:jc w:val="center"/>
              <w:rPr>
                <w:rFonts w:hint="default" w:eastAsia="宋体"/>
                <w:snapToGrid w:val="0"/>
                <w:color w:val="000000" w:themeColor="text1"/>
                <w:kern w:val="0"/>
                <w:sz w:val="21"/>
                <w:szCs w:val="21"/>
                <w:lang w:val="en-US" w:eastAsia="zh-CN"/>
                <w14:textFill>
                  <w14:solidFill>
                    <w14:schemeClr w14:val="tx1"/>
                  </w14:solidFill>
                </w14:textFill>
              </w:rPr>
            </w:pPr>
            <w:r>
              <w:rPr>
                <w:snapToGrid w:val="0"/>
                <w:color w:val="000000" w:themeColor="text1"/>
                <w:kern w:val="0"/>
                <w:sz w:val="21"/>
                <w:szCs w:val="21"/>
                <w14:textFill>
                  <w14:solidFill>
                    <w14:schemeClr w14:val="tx1"/>
                  </w14:solidFill>
                </w14:textFill>
              </w:rPr>
              <w:t>消防</w:t>
            </w:r>
            <w:r>
              <w:rPr>
                <w:rFonts w:hint="eastAsia"/>
                <w:snapToGrid w:val="0"/>
                <w:color w:val="000000" w:themeColor="text1"/>
                <w:kern w:val="0"/>
                <w:sz w:val="21"/>
                <w:szCs w:val="21"/>
                <w:lang w:val="en-US" w:eastAsia="zh-CN"/>
                <w14:textFill>
                  <w14:solidFill>
                    <w14:schemeClr w14:val="tx1"/>
                  </w14:solidFill>
                </w14:textFill>
              </w:rPr>
              <w:t>设施和建筑物防火</w:t>
            </w: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安全检查表法</w:t>
            </w:r>
          </w:p>
        </w:tc>
        <w:tc>
          <w:tcPr>
            <w:tcW w:w="4462" w:type="dxa"/>
            <w:shd w:val="clear" w:color="auto" w:fill="auto"/>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依据有关法规、标准在检查表中列出了检查要求，使检查工作标准化、规范化。验证</w:t>
            </w:r>
            <w:r>
              <w:rPr>
                <w:rFonts w:hint="eastAsia"/>
                <w:color w:val="000000" w:themeColor="text1"/>
                <w:sz w:val="21"/>
                <w:szCs w:val="21"/>
                <w:lang w:val="en-US" w:eastAsia="zh-CN"/>
                <w14:textFill>
                  <w14:solidFill>
                    <w14:schemeClr w14:val="tx1"/>
                  </w14:solidFill>
                </w14:textFill>
              </w:rPr>
              <w:t>消防</w:t>
            </w:r>
            <w:r>
              <w:rPr>
                <w:snapToGrid w:val="0"/>
                <w:color w:val="000000" w:themeColor="text1"/>
                <w:kern w:val="0"/>
                <w:sz w:val="21"/>
                <w:szCs w:val="21"/>
                <w14:textFill>
                  <w14:solidFill>
                    <w14:schemeClr w14:val="tx1"/>
                  </w14:solidFill>
                </w14:textFill>
              </w:rPr>
              <w:t>设施设置</w:t>
            </w:r>
            <w:r>
              <w:rPr>
                <w:rFonts w:hint="eastAsia"/>
                <w:snapToGrid w:val="0"/>
                <w:color w:val="000000" w:themeColor="text1"/>
                <w:kern w:val="0"/>
                <w:sz w:val="21"/>
                <w:szCs w:val="21"/>
                <w:lang w:val="en-US" w:eastAsia="zh-CN"/>
                <w14:textFill>
                  <w14:solidFill>
                    <w14:schemeClr w14:val="tx1"/>
                  </w14:solidFill>
                </w14:textFill>
              </w:rPr>
              <w:t>和建筑物防火</w:t>
            </w:r>
            <w:r>
              <w:rPr>
                <w:snapToGrid w:val="0"/>
                <w:color w:val="000000" w:themeColor="text1"/>
                <w:kern w:val="0"/>
                <w:sz w:val="21"/>
                <w:szCs w:val="21"/>
                <w14:textFill>
                  <w14:solidFill>
                    <w14:schemeClr w14:val="tx1"/>
                  </w14:solidFill>
                </w14:textFill>
              </w:rPr>
              <w:t>情况</w:t>
            </w:r>
            <w:r>
              <w:rPr>
                <w:color w:val="000000" w:themeColor="text1"/>
                <w:sz w:val="21"/>
                <w:szCs w:val="21"/>
                <w14:textFill>
                  <w14:solidFill>
                    <w14:schemeClr w14:val="tx1"/>
                  </w14:solidFill>
                </w14:textFill>
              </w:rPr>
              <w:t>与国家法律法规、标准规范的符合性。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shd w:val="clear" w:color="auto" w:fill="auto"/>
            <w:vAlign w:val="center"/>
          </w:tcPr>
          <w:p>
            <w:pPr>
              <w:numPr>
                <w:ilvl w:val="0"/>
                <w:numId w:val="33"/>
              </w:numPr>
              <w:spacing w:line="240" w:lineRule="auto"/>
              <w:ind w:firstLineChars="0"/>
              <w:jc w:val="center"/>
              <w:rPr>
                <w:color w:val="000000" w:themeColor="text1"/>
                <w:sz w:val="21"/>
                <w:szCs w:val="21"/>
                <w14:textFill>
                  <w14:solidFill>
                    <w14:schemeClr w14:val="tx1"/>
                  </w14:solidFill>
                </w14:textFill>
              </w:rPr>
            </w:pPr>
          </w:p>
        </w:tc>
        <w:tc>
          <w:tcPr>
            <w:tcW w:w="1899" w:type="dxa"/>
            <w:gridSpan w:val="2"/>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安全管理评价单元</w:t>
            </w:r>
          </w:p>
        </w:tc>
        <w:tc>
          <w:tcPr>
            <w:tcW w:w="1635" w:type="dxa"/>
            <w:shd w:val="clear" w:color="auto" w:fill="auto"/>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安全检查表法</w:t>
            </w:r>
          </w:p>
        </w:tc>
        <w:tc>
          <w:tcPr>
            <w:tcW w:w="4462"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依据有关法规、标准在检查表中列出了检查要求，使检查工作标准化、规范化。验证安全生产管理与国家法律法规、标准规范的符合性。</w:t>
            </w:r>
          </w:p>
        </w:tc>
      </w:tr>
    </w:tbl>
    <w:p>
      <w:pPr>
        <w:pStyle w:val="5"/>
        <w:rPr>
          <w:snapToGrid w:val="0"/>
          <w:color w:val="000000" w:themeColor="text1"/>
          <w14:textFill>
            <w14:solidFill>
              <w14:schemeClr w14:val="tx1"/>
            </w14:solidFill>
          </w14:textFill>
        </w:rPr>
      </w:pPr>
      <w:bookmarkStart w:id="721" w:name="_Toc278151415"/>
      <w:bookmarkStart w:id="722" w:name="_Toc216867556"/>
      <w:bookmarkStart w:id="723" w:name="_Toc54294480"/>
      <w:bookmarkStart w:id="724" w:name="_Toc458246007"/>
      <w:bookmarkStart w:id="725" w:name="_Toc103178325"/>
      <w:bookmarkStart w:id="726" w:name="_Toc129520663"/>
      <w:bookmarkStart w:id="727" w:name="_Toc21311"/>
      <w:bookmarkStart w:id="728" w:name="_Toc51340714"/>
      <w:bookmarkStart w:id="729" w:name="_Toc5158"/>
      <w:r>
        <w:rPr>
          <w:snapToGrid w:val="0"/>
          <w:color w:val="000000" w:themeColor="text1"/>
          <w14:textFill>
            <w14:solidFill>
              <w14:schemeClr w14:val="tx1"/>
            </w14:solidFill>
          </w14:textFill>
        </w:rPr>
        <w:t>评价方法介绍</w:t>
      </w:r>
      <w:bookmarkEnd w:id="721"/>
      <w:bookmarkEnd w:id="722"/>
      <w:bookmarkEnd w:id="723"/>
      <w:bookmarkEnd w:id="724"/>
      <w:bookmarkEnd w:id="725"/>
      <w:bookmarkEnd w:id="726"/>
      <w:bookmarkEnd w:id="727"/>
      <w:bookmarkEnd w:id="728"/>
      <w:bookmarkEnd w:id="729"/>
    </w:p>
    <w:bookmarkEnd w:id="720"/>
    <w:p>
      <w:pPr>
        <w:pStyle w:val="6"/>
        <w:rPr>
          <w:color w:val="000000" w:themeColor="text1"/>
          <w14:textFill>
            <w14:solidFill>
              <w14:schemeClr w14:val="tx1"/>
            </w14:solidFill>
          </w14:textFill>
        </w:rPr>
      </w:pPr>
      <w:bookmarkStart w:id="730" w:name="_Toc103178326"/>
      <w:bookmarkStart w:id="731" w:name="_Toc278151416"/>
      <w:bookmarkStart w:id="732" w:name="_Toc458246008"/>
      <w:bookmarkStart w:id="733" w:name="_Toc129520664"/>
      <w:bookmarkStart w:id="734" w:name="_Toc216867557"/>
      <w:bookmarkStart w:id="735" w:name="_Toc54294481"/>
      <w:bookmarkStart w:id="736" w:name="_Toc14615"/>
      <w:bookmarkStart w:id="737" w:name="_Toc51340715"/>
      <w:bookmarkStart w:id="738" w:name="_Toc21934"/>
      <w:r>
        <w:rPr>
          <w:color w:val="000000" w:themeColor="text1"/>
          <w14:textFill>
            <w14:solidFill>
              <w14:schemeClr w14:val="tx1"/>
            </w14:solidFill>
          </w14:textFill>
        </w:rPr>
        <w:t>安全检查表法（SCA）</w:t>
      </w:r>
      <w:bookmarkEnd w:id="730"/>
      <w:bookmarkEnd w:id="731"/>
      <w:bookmarkEnd w:id="732"/>
      <w:bookmarkEnd w:id="733"/>
      <w:bookmarkEnd w:id="734"/>
      <w:bookmarkEnd w:id="735"/>
      <w:bookmarkEnd w:id="736"/>
      <w:bookmarkEnd w:id="737"/>
      <w:bookmarkEnd w:id="738"/>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安全检查表评价方法简便灵活，是安全评价的常规方法，具有简便、实用、有效的特点。依据国家、地区、行业等相关的标准、法规编制检查表，判断是否、有无，找出缺陷、疏漏、隐患、问题。所以对项目总体和各单元的</w:t>
      </w:r>
      <w:r>
        <w:rPr>
          <w:rFonts w:hint="eastAsia"/>
          <w:color w:val="000000" w:themeColor="text1"/>
          <w:szCs w:val="28"/>
          <w14:textFill>
            <w14:solidFill>
              <w14:schemeClr w14:val="tx1"/>
            </w14:solidFill>
          </w14:textFill>
        </w:rPr>
        <w:t>安全</w:t>
      </w:r>
      <w:r>
        <w:rPr>
          <w:color w:val="000000" w:themeColor="text1"/>
          <w:szCs w:val="28"/>
          <w14:textFill>
            <w14:solidFill>
              <w14:schemeClr w14:val="tx1"/>
            </w14:solidFill>
          </w14:textFill>
        </w:rPr>
        <w:t>评价中均运用了这一方法。本评价中安全检查表的内容主要有三部分：</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1.检查项目和要求：针对该单元功能、工艺、设备等固有或潜在的主要危险危害因素，逐条列出检查的项目和国家有关劳动安全卫生方面的</w:t>
      </w:r>
      <w:r>
        <w:rPr>
          <w:rFonts w:hint="eastAsia"/>
          <w:color w:val="000000" w:themeColor="text1"/>
          <w:szCs w:val="28"/>
          <w:lang w:eastAsia="zh-CN"/>
          <w14:textFill>
            <w14:solidFill>
              <w14:schemeClr w14:val="tx1"/>
            </w14:solidFill>
          </w14:textFill>
        </w:rPr>
        <w:t>法律法规</w:t>
      </w:r>
      <w:r>
        <w:rPr>
          <w:color w:val="000000" w:themeColor="text1"/>
          <w:szCs w:val="28"/>
          <w14:textFill>
            <w14:solidFill>
              <w14:schemeClr w14:val="tx1"/>
            </w14:solidFill>
          </w14:textFill>
        </w:rPr>
        <w:t>、标准以及行业规定中对工程设计、施工、运行管理的各种具体要求。</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2.检查情况：针对检查项目和要求，通过审查文件资料，</w:t>
      </w:r>
      <w:r>
        <w:rPr>
          <w:rFonts w:hint="eastAsia"/>
          <w:color w:val="000000" w:themeColor="text1"/>
          <w:szCs w:val="28"/>
          <w:lang w:eastAsia="zh-CN"/>
          <w14:textFill>
            <w14:solidFill>
              <w14:schemeClr w14:val="tx1"/>
            </w14:solidFill>
          </w14:textFill>
        </w:rPr>
        <w:t>勘查现场</w:t>
      </w:r>
      <w:r>
        <w:rPr>
          <w:color w:val="000000" w:themeColor="text1"/>
          <w:szCs w:val="28"/>
          <w14:textFill>
            <w14:solidFill>
              <w14:schemeClr w14:val="tx1"/>
            </w14:solidFill>
          </w14:textFill>
        </w:rPr>
        <w:t>，分析预测项目建成后与法律法规、标准规范的符合性，从而判断项目建成后的风险度。</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3.检查结论：针对检查项目，根据文件资料、现场调查情况作出与要求符合、不符合的结论。</w:t>
      </w:r>
    </w:p>
    <w:p>
      <w:pPr>
        <w:pStyle w:val="6"/>
        <w:rPr>
          <w:color w:val="000000" w:themeColor="text1"/>
          <w14:textFill>
            <w14:solidFill>
              <w14:schemeClr w14:val="tx1"/>
            </w14:solidFill>
          </w14:textFill>
        </w:rPr>
      </w:pPr>
      <w:bookmarkStart w:id="739" w:name="_Toc22358"/>
      <w:bookmarkStart w:id="740" w:name="_Toc211237884"/>
      <w:bookmarkStart w:id="741" w:name="_Toc278151418"/>
      <w:bookmarkStart w:id="742" w:name="_Toc129520665"/>
      <w:bookmarkStart w:id="743" w:name="_Toc51340716"/>
      <w:bookmarkStart w:id="744" w:name="_Toc201697625"/>
      <w:bookmarkStart w:id="745" w:name="_Toc458246009"/>
      <w:bookmarkStart w:id="746" w:name="_Toc54294482"/>
      <w:bookmarkStart w:id="747" w:name="_Toc103178327"/>
      <w:bookmarkStart w:id="748" w:name="_Toc6392"/>
      <w:bookmarkStart w:id="749" w:name="_Toc201697626"/>
      <w:bookmarkStart w:id="750" w:name="_Toc216867563"/>
      <w:r>
        <w:rPr>
          <w:color w:val="000000" w:themeColor="text1"/>
          <w14:textFill>
            <w14:solidFill>
              <w14:schemeClr w14:val="tx1"/>
            </w14:solidFill>
          </w14:textFill>
        </w:rPr>
        <w:t>作业条件危险性评价法（LEC）</w:t>
      </w:r>
      <w:bookmarkEnd w:id="739"/>
      <w:bookmarkEnd w:id="740"/>
      <w:bookmarkEnd w:id="741"/>
      <w:bookmarkEnd w:id="742"/>
      <w:bookmarkEnd w:id="743"/>
      <w:bookmarkEnd w:id="744"/>
      <w:bookmarkEnd w:id="745"/>
      <w:bookmarkEnd w:id="746"/>
      <w:bookmarkEnd w:id="747"/>
      <w:bookmarkEnd w:id="748"/>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作业条件危险性评价法是一种简便易行的评价方法，用来评价人们在某种具有潜在危险环境中作业的危险性。该法以被评价的环境与某些作为参考的环境进行比较为基础，采用专家“评分”的办法确定各种自变量的分数值，最后根据总的危险分数值来评价其危险性。该法已用于一些工业企业危险性的评价，取得较好效果。</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格雷厄姆和金尼认为影响危险性的主要因素有三个：</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1.发生事故或危险事件的可能性；</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2.暴露于这种危险环境的频率；</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3.事故一旦发生时可能产生的后果。</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前两者可以看作是危险概率，后者则相当于危险严重度。危险性可以下式来表达</w:t>
      </w:r>
      <w:r>
        <w:rPr>
          <w:rFonts w:hint="eastAsia"/>
          <w:color w:val="000000" w:themeColor="text1"/>
          <w:szCs w:val="28"/>
          <w14:textFill>
            <w14:solidFill>
              <w14:schemeClr w14:val="tx1"/>
            </w14:solidFill>
          </w14:textFill>
        </w:rPr>
        <w:t>：</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危险性（D）= L×E×C</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式中：L事故或危险事件发生的可能性</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ab/>
      </w:r>
      <w:r>
        <w:rPr>
          <w:color w:val="000000" w:themeColor="text1"/>
          <w:szCs w:val="28"/>
          <w14:textFill>
            <w14:solidFill>
              <w14:schemeClr w14:val="tx1"/>
            </w14:solidFill>
          </w14:textFill>
        </w:rPr>
        <w:t xml:space="preserve">    E暴露于危险环境的频率</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ab/>
      </w:r>
      <w:r>
        <w:rPr>
          <w:color w:val="000000" w:themeColor="text1"/>
          <w:szCs w:val="28"/>
          <w14:textFill>
            <w14:solidFill>
              <w14:schemeClr w14:val="tx1"/>
            </w14:solidFill>
          </w14:textFill>
        </w:rPr>
        <w:t xml:space="preserve">    C危险严重度</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1.可能性因素L</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事故或危险事件发生的可能性是与它们实际的数学概率相关联的。绝对不可能发生的事件的概率为0，而必然发生的事件的概率则为1，但在实际情况中，绝对不可能发生的事故是不存在的，只能说可能性极小，概率趋于0，所以，可能性因素L的分数值取值范围为1～10具体见表4-2。</w:t>
      </w:r>
    </w:p>
    <w:p>
      <w:pPr>
        <w:numPr>
          <w:ilvl w:val="0"/>
          <w:numId w:val="32"/>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事故或危险事件发生的可能性L的分数值表</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9"/>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分数值</w:t>
            </w:r>
          </w:p>
        </w:tc>
        <w:tc>
          <w:tcPr>
            <w:tcW w:w="4510" w:type="dxa"/>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事故或危险事件发生的可能性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10</w:t>
            </w:r>
          </w:p>
        </w:tc>
        <w:tc>
          <w:tcPr>
            <w:tcW w:w="4510"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完全会被预料到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6</w:t>
            </w:r>
          </w:p>
        </w:tc>
        <w:tc>
          <w:tcPr>
            <w:tcW w:w="4510"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相当可能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3</w:t>
            </w:r>
          </w:p>
        </w:tc>
        <w:tc>
          <w:tcPr>
            <w:tcW w:w="4510"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不经常，但可能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w:t>
            </w:r>
          </w:p>
        </w:tc>
        <w:tc>
          <w:tcPr>
            <w:tcW w:w="4510"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完全意外，极少可能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0.5</w:t>
            </w:r>
          </w:p>
        </w:tc>
        <w:tc>
          <w:tcPr>
            <w:tcW w:w="4510"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可以设想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0.2</w:t>
            </w:r>
          </w:p>
        </w:tc>
        <w:tc>
          <w:tcPr>
            <w:tcW w:w="4510"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极不可能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19"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0.1</w:t>
            </w:r>
          </w:p>
        </w:tc>
        <w:tc>
          <w:tcPr>
            <w:tcW w:w="4510" w:type="dxa"/>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实际上不可能</w:t>
            </w:r>
          </w:p>
        </w:tc>
      </w:tr>
    </w:tbl>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2.暴露于危险环境的频率E</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操作人员出现在危险环境中的时间越多，受到伤害的可能性就越大，相应的危险性也就越大。连续出现在危险环境的情况其频率</w:t>
      </w:r>
      <w:r>
        <w:rPr>
          <w:rFonts w:hint="eastAsia"/>
          <w:color w:val="000000" w:themeColor="text1"/>
          <w:szCs w:val="28"/>
          <w:lang w:eastAsia="zh-CN"/>
          <w14:textFill>
            <w14:solidFill>
              <w14:schemeClr w14:val="tx1"/>
            </w14:solidFill>
          </w14:textFill>
        </w:rPr>
        <w:t>为</w:t>
      </w:r>
      <w:r>
        <w:rPr>
          <w:color w:val="000000" w:themeColor="text1"/>
          <w:szCs w:val="28"/>
          <w14:textFill>
            <w14:solidFill>
              <w14:schemeClr w14:val="tx1"/>
            </w14:solidFill>
          </w14:textFill>
        </w:rPr>
        <w:t>10</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非常罕见地暴露于危险环境则为0.5。具体分数值见表4-3。</w:t>
      </w:r>
    </w:p>
    <w:p>
      <w:pPr>
        <w:numPr>
          <w:ilvl w:val="0"/>
          <w:numId w:val="32"/>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暴露于潜在危险环境频率E的分数值</w:t>
      </w:r>
    </w:p>
    <w:tbl>
      <w:tblPr>
        <w:tblStyle w:val="34"/>
        <w:tblW w:w="53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8"/>
        <w:gridCol w:w="3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17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分数值</w:t>
            </w:r>
          </w:p>
        </w:tc>
        <w:tc>
          <w:tcPr>
            <w:tcW w:w="36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暴露于危险环境的频率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10</w:t>
            </w:r>
          </w:p>
        </w:tc>
        <w:tc>
          <w:tcPr>
            <w:tcW w:w="36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连续暴露于潜在危险环境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6</w:t>
            </w:r>
          </w:p>
        </w:tc>
        <w:tc>
          <w:tcPr>
            <w:tcW w:w="36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逐日在工作时间内暴露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3</w:t>
            </w:r>
          </w:p>
        </w:tc>
        <w:tc>
          <w:tcPr>
            <w:tcW w:w="36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每周一次或偶然暴露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2</w:t>
            </w:r>
          </w:p>
        </w:tc>
        <w:tc>
          <w:tcPr>
            <w:tcW w:w="36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每月暴露一次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w:t>
            </w:r>
          </w:p>
        </w:tc>
        <w:tc>
          <w:tcPr>
            <w:tcW w:w="36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每年几次出现在危险环境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7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0.5</w:t>
            </w:r>
          </w:p>
        </w:tc>
        <w:tc>
          <w:tcPr>
            <w:tcW w:w="363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非常罕见地暴露于危险环境</w:t>
            </w:r>
          </w:p>
        </w:tc>
      </w:tr>
    </w:tbl>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3.事故或危险事件的危险严重度C</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事故或危险事件对人身伤害的严重程度变化范围很大，可以从伤害直至死亡事故，规定分数值1～l00。具体分数值见表4-4。</w:t>
      </w:r>
    </w:p>
    <w:p>
      <w:pPr>
        <w:numPr>
          <w:ilvl w:val="0"/>
          <w:numId w:val="32"/>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事故或危险事件的危险严重度C的分数值</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67"/>
        <w:gridCol w:w="2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分数值</w:t>
            </w:r>
          </w:p>
        </w:tc>
        <w:tc>
          <w:tcPr>
            <w:tcW w:w="26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可能结果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100</w:t>
            </w:r>
          </w:p>
        </w:tc>
        <w:tc>
          <w:tcPr>
            <w:tcW w:w="26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10人死亡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40</w:t>
            </w:r>
          </w:p>
        </w:tc>
        <w:tc>
          <w:tcPr>
            <w:tcW w:w="26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数人死亡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15</w:t>
            </w:r>
          </w:p>
        </w:tc>
        <w:tc>
          <w:tcPr>
            <w:tcW w:w="26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1人死亡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7</w:t>
            </w:r>
          </w:p>
        </w:tc>
        <w:tc>
          <w:tcPr>
            <w:tcW w:w="26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严重伤害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3</w:t>
            </w:r>
          </w:p>
        </w:tc>
        <w:tc>
          <w:tcPr>
            <w:tcW w:w="26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有致残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w:t>
            </w:r>
          </w:p>
        </w:tc>
        <w:tc>
          <w:tcPr>
            <w:tcW w:w="26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有轻伤，需要救护</w:t>
            </w:r>
          </w:p>
        </w:tc>
      </w:tr>
    </w:tbl>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4.危险性程度分级D</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在确定了上述三个因素的分数值后，其三者的乘积即为总的危险性分数值D。根据相关资料，将危险性程度分级的相应分数值列入表4-5。</w:t>
      </w:r>
    </w:p>
    <w:p>
      <w:pPr>
        <w:numPr>
          <w:ilvl w:val="0"/>
          <w:numId w:val="32"/>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危险性程度分级的分数值</w:t>
      </w:r>
    </w:p>
    <w:tbl>
      <w:tblPr>
        <w:tblStyle w:val="34"/>
        <w:tblW w:w="5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76"/>
        <w:gridCol w:w="2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2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分数值</w:t>
            </w:r>
          </w:p>
        </w:tc>
        <w:tc>
          <w:tcPr>
            <w:tcW w:w="28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b/>
                <w:color w:val="000000" w:themeColor="text1"/>
                <w:kern w:val="0"/>
                <w:sz w:val="21"/>
                <w:szCs w:val="21"/>
                <w14:textFill>
                  <w14:solidFill>
                    <w14:schemeClr w14:val="tx1"/>
                  </w14:solidFill>
                </w14:textFill>
              </w:rPr>
            </w:pPr>
            <w:r>
              <w:rPr>
                <w:b/>
                <w:color w:val="000000" w:themeColor="text1"/>
                <w:kern w:val="0"/>
                <w:sz w:val="21"/>
                <w:szCs w:val="21"/>
                <w14:textFill>
                  <w14:solidFill>
                    <w14:schemeClr w14:val="tx1"/>
                  </w14:solidFill>
                </w14:textFill>
              </w:rPr>
              <w:t>危险性程度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&gt;320</w:t>
            </w:r>
          </w:p>
        </w:tc>
        <w:tc>
          <w:tcPr>
            <w:tcW w:w="28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极其危险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160～320</w:t>
            </w:r>
          </w:p>
        </w:tc>
        <w:tc>
          <w:tcPr>
            <w:tcW w:w="28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高度危险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70～160</w:t>
            </w:r>
          </w:p>
        </w:tc>
        <w:tc>
          <w:tcPr>
            <w:tcW w:w="28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显著危险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20～70</w:t>
            </w:r>
          </w:p>
        </w:tc>
        <w:tc>
          <w:tcPr>
            <w:tcW w:w="28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&lt;20</w:t>
            </w:r>
          </w:p>
        </w:tc>
        <w:tc>
          <w:tcPr>
            <w:tcW w:w="282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稍有危险</w:t>
            </w:r>
          </w:p>
        </w:tc>
      </w:tr>
      <w:bookmarkEnd w:id="749"/>
      <w:bookmarkEnd w:id="750"/>
    </w:tbl>
    <w:p>
      <w:pPr>
        <w:pStyle w:val="4"/>
        <w:ind w:firstLine="562"/>
        <w:rPr>
          <w:color w:val="000000" w:themeColor="text1"/>
          <w14:textFill>
            <w14:solidFill>
              <w14:schemeClr w14:val="tx1"/>
            </w14:solidFill>
          </w14:textFill>
        </w:rPr>
      </w:pPr>
      <w:r>
        <w:rPr>
          <w:color w:val="000000" w:themeColor="text1"/>
          <w:kern w:val="0"/>
          <w:sz w:val="28"/>
          <w:szCs w:val="28"/>
          <w14:textFill>
            <w14:solidFill>
              <w14:schemeClr w14:val="tx1"/>
            </w14:solidFill>
          </w14:textFill>
        </w:rPr>
        <w:br w:type="page"/>
      </w:r>
      <w:bookmarkStart w:id="751" w:name="_Toc51340717"/>
      <w:bookmarkStart w:id="752" w:name="_Toc103178328"/>
      <w:bookmarkStart w:id="753" w:name="_Toc129520666"/>
      <w:bookmarkStart w:id="754" w:name="_Toc458246011"/>
      <w:bookmarkStart w:id="755" w:name="_Toc18230"/>
      <w:bookmarkStart w:id="756" w:name="_Toc54294483"/>
      <w:bookmarkStart w:id="757" w:name="_Toc23590"/>
      <w:r>
        <w:rPr>
          <w:color w:val="000000" w:themeColor="text1"/>
          <w14:textFill>
            <w14:solidFill>
              <w14:schemeClr w14:val="tx1"/>
            </w14:solidFill>
          </w14:textFill>
        </w:rPr>
        <w:t>定性定量分析评价</w:t>
      </w:r>
      <w:bookmarkEnd w:id="751"/>
      <w:bookmarkEnd w:id="752"/>
      <w:bookmarkEnd w:id="753"/>
      <w:bookmarkEnd w:id="754"/>
      <w:bookmarkEnd w:id="755"/>
      <w:bookmarkEnd w:id="756"/>
      <w:bookmarkEnd w:id="757"/>
    </w:p>
    <w:p>
      <w:pPr>
        <w:pStyle w:val="5"/>
        <w:rPr>
          <w:snapToGrid w:val="0"/>
          <w:color w:val="000000" w:themeColor="text1"/>
          <w14:textFill>
            <w14:solidFill>
              <w14:schemeClr w14:val="tx1"/>
            </w14:solidFill>
          </w14:textFill>
        </w:rPr>
      </w:pPr>
      <w:bookmarkStart w:id="758" w:name="_Toc201697630"/>
      <w:bookmarkStart w:id="759" w:name="_Toc129520667"/>
      <w:bookmarkStart w:id="760" w:name="_Toc458246012"/>
      <w:bookmarkStart w:id="761" w:name="_Toc51340718"/>
      <w:bookmarkStart w:id="762" w:name="_Toc54294484"/>
      <w:bookmarkStart w:id="763" w:name="_Toc10730"/>
      <w:bookmarkStart w:id="764" w:name="_Toc103178329"/>
      <w:bookmarkStart w:id="765" w:name="_Toc15721"/>
      <w:r>
        <w:rPr>
          <w:snapToGrid w:val="0"/>
          <w:color w:val="000000" w:themeColor="text1"/>
          <w14:textFill>
            <w14:solidFill>
              <w14:schemeClr w14:val="tx1"/>
            </w14:solidFill>
          </w14:textFill>
        </w:rPr>
        <w:t>厂址及总平面布置评价单元</w:t>
      </w:r>
      <w:bookmarkEnd w:id="758"/>
      <w:bookmarkEnd w:id="759"/>
      <w:bookmarkEnd w:id="760"/>
      <w:bookmarkEnd w:id="761"/>
      <w:bookmarkEnd w:id="762"/>
      <w:bookmarkEnd w:id="763"/>
      <w:bookmarkEnd w:id="764"/>
      <w:bookmarkEnd w:id="765"/>
    </w:p>
    <w:p>
      <w:pPr>
        <w:pStyle w:val="6"/>
        <w:rPr>
          <w:color w:val="000000" w:themeColor="text1"/>
          <w14:textFill>
            <w14:solidFill>
              <w14:schemeClr w14:val="tx1"/>
            </w14:solidFill>
          </w14:textFill>
        </w:rPr>
      </w:pPr>
      <w:bookmarkStart w:id="766" w:name="_Toc29764"/>
      <w:bookmarkStart w:id="767" w:name="_Toc129520668"/>
      <w:bookmarkStart w:id="768" w:name="_Toc103178330"/>
      <w:bookmarkStart w:id="769" w:name="_Toc54294485"/>
      <w:bookmarkStart w:id="770" w:name="_Toc51340719"/>
      <w:bookmarkStart w:id="771" w:name="_Toc458246013"/>
      <w:bookmarkStart w:id="772" w:name="_Toc25449"/>
      <w:r>
        <w:rPr>
          <w:color w:val="000000" w:themeColor="text1"/>
          <w14:textFill>
            <w14:solidFill>
              <w14:schemeClr w14:val="tx1"/>
            </w14:solidFill>
          </w14:textFill>
        </w:rPr>
        <w:t>厂址安全检查</w:t>
      </w:r>
      <w:bookmarkEnd w:id="766"/>
      <w:bookmarkEnd w:id="767"/>
      <w:bookmarkEnd w:id="768"/>
      <w:bookmarkEnd w:id="769"/>
      <w:bookmarkEnd w:id="770"/>
      <w:bookmarkEnd w:id="771"/>
      <w:bookmarkEnd w:id="772"/>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依据《工业企业总平面设计规范》（GB 50187-2012）</w:t>
      </w:r>
      <w:r>
        <w:rPr>
          <w:rFonts w:hint="eastAsia"/>
          <w:color w:val="000000" w:themeColor="text1"/>
          <w:szCs w:val="28"/>
          <w14:textFill>
            <w14:solidFill>
              <w14:schemeClr w14:val="tx1"/>
            </w14:solidFill>
          </w14:textFill>
        </w:rPr>
        <w:t>、《工业企业设计卫生标准》</w:t>
      </w:r>
      <w:r>
        <w:rPr>
          <w:color w:val="000000" w:themeColor="text1"/>
          <w:szCs w:val="28"/>
          <w14:textFill>
            <w14:solidFill>
              <w14:schemeClr w14:val="tx1"/>
            </w14:solidFill>
          </w14:textFill>
        </w:rPr>
        <w:t xml:space="preserve">（GB </w:t>
      </w:r>
      <w:r>
        <w:rPr>
          <w:rFonts w:hint="eastAsia"/>
          <w:color w:val="000000" w:themeColor="text1"/>
          <w:szCs w:val="28"/>
          <w14:textFill>
            <w14:solidFill>
              <w14:schemeClr w14:val="tx1"/>
            </w14:solidFill>
          </w14:textFill>
        </w:rPr>
        <w:t>Z1</w:t>
      </w:r>
      <w:r>
        <w:rPr>
          <w:color w:val="000000" w:themeColor="text1"/>
          <w:szCs w:val="28"/>
          <w14:textFill>
            <w14:solidFill>
              <w14:schemeClr w14:val="tx1"/>
            </w14:solidFill>
          </w14:textFill>
        </w:rPr>
        <w:t>-201</w:t>
      </w:r>
      <w:r>
        <w:rPr>
          <w:rFonts w:hint="eastAsia"/>
          <w:color w:val="000000" w:themeColor="text1"/>
          <w:szCs w:val="28"/>
          <w14:textFill>
            <w14:solidFill>
              <w14:schemeClr w14:val="tx1"/>
            </w14:solidFill>
          </w14:textFill>
        </w:rPr>
        <w:t>0</w:t>
      </w:r>
      <w:r>
        <w:rPr>
          <w:color w:val="000000" w:themeColor="text1"/>
          <w:szCs w:val="28"/>
          <w14:textFill>
            <w14:solidFill>
              <w14:schemeClr w14:val="tx1"/>
            </w14:solidFill>
          </w14:textFill>
        </w:rPr>
        <w:t>）等相关</w:t>
      </w:r>
      <w:r>
        <w:rPr>
          <w:rFonts w:hint="eastAsia"/>
          <w:color w:val="000000" w:themeColor="text1"/>
          <w:szCs w:val="28"/>
          <w14:textFill>
            <w14:solidFill>
              <w14:schemeClr w14:val="tx1"/>
            </w14:solidFill>
          </w14:textFill>
        </w:rPr>
        <w:t>标准</w:t>
      </w:r>
      <w:r>
        <w:rPr>
          <w:color w:val="000000" w:themeColor="text1"/>
          <w:szCs w:val="28"/>
          <w14:textFill>
            <w14:solidFill>
              <w14:schemeClr w14:val="tx1"/>
            </w14:solidFill>
          </w14:textFill>
        </w:rPr>
        <w:t>中的相关内容</w:t>
      </w:r>
      <w:r>
        <w:rPr>
          <w:rFonts w:hint="eastAsia"/>
          <w:color w:val="000000" w:themeColor="text1"/>
          <w:szCs w:val="28"/>
          <w14:textFill>
            <w14:solidFill>
              <w14:schemeClr w14:val="tx1"/>
            </w14:solidFill>
          </w14:textFill>
        </w:rPr>
        <w:t>编制检查表，对该厂厂址进行分析评价</w:t>
      </w:r>
      <w:r>
        <w:rPr>
          <w:color w:val="000000" w:themeColor="text1"/>
          <w:szCs w:val="28"/>
          <w14:textFill>
            <w14:solidFill>
              <w14:schemeClr w14:val="tx1"/>
            </w14:solidFill>
          </w14:textFill>
        </w:rPr>
        <w:t>，详见</w:t>
      </w:r>
      <w:r>
        <w:rPr>
          <w:rFonts w:hint="eastAsia"/>
          <w:color w:val="000000" w:themeColor="text1"/>
          <w:szCs w:val="28"/>
          <w14:textFill>
            <w14:solidFill>
              <w14:schemeClr w14:val="tx1"/>
            </w14:solidFill>
          </w14:textFill>
        </w:rPr>
        <w:t>下</w:t>
      </w:r>
      <w:r>
        <w:rPr>
          <w:color w:val="000000" w:themeColor="text1"/>
          <w:szCs w:val="28"/>
          <w14:textFill>
            <w14:solidFill>
              <w14:schemeClr w14:val="tx1"/>
            </w14:solidFill>
          </w14:textFill>
        </w:rPr>
        <w:t>表。</w:t>
      </w:r>
    </w:p>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厂址安全</w:t>
      </w:r>
      <w:r>
        <w:rPr>
          <w:rFonts w:ascii="宋体" w:hAnsi="宋体"/>
          <w:bCs/>
          <w:color w:val="000000" w:themeColor="text1"/>
          <w:sz w:val="24"/>
          <w14:textFill>
            <w14:solidFill>
              <w14:schemeClr w14:val="tx1"/>
            </w14:solidFill>
          </w14:textFill>
        </w:rPr>
        <w:t>检查表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3"/>
        <w:gridCol w:w="3229"/>
        <w:gridCol w:w="1943"/>
        <w:gridCol w:w="2204"/>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928"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100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检查依据</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厂址选择应符合国家的工业布局、城镇（乡）总体规划及土地利用总体规划的要求。</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3.0.1</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该项目建设时</w:t>
            </w:r>
            <w:r>
              <w:rPr>
                <w:color w:val="000000" w:themeColor="text1"/>
                <w:sz w:val="21"/>
                <w:szCs w:val="21"/>
                <w14:textFill>
                  <w14:solidFill>
                    <w14:schemeClr w14:val="tx1"/>
                  </w14:solidFill>
                </w14:textFill>
              </w:rPr>
              <w:t>符合国家的工业布局、城镇（乡）总体规划及土地利用总体规划的要求。</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选择应对原料、燃料及辅助材料的来源、产品流向、建设条件、经济、社会、人文、城镇土地利用现状与规划、环境保护、文物古迹、占地拆迁、对外协作、施工条件等各种因素进行深入的调查研究，并应进行多方案技术经济比较后确定。</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3.0.3</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hint="default" w:eastAsia="宋体"/>
                <w:color w:val="000000" w:themeColor="text1"/>
                <w:sz w:val="21"/>
                <w:szCs w:val="21"/>
                <w:lang w:val="en-US" w:eastAsia="zh-CN"/>
                <w14:textFill>
                  <w14:solidFill>
                    <w14:schemeClr w14:val="tx1"/>
                  </w14:solidFill>
                </w14:textFill>
              </w:rPr>
            </w:pPr>
            <w:r>
              <w:rPr>
                <w:color w:val="000000" w:themeColor="text1"/>
                <w:sz w:val="21"/>
                <w:szCs w:val="21"/>
                <w14:textFill>
                  <w14:solidFill>
                    <w14:schemeClr w14:val="tx1"/>
                  </w14:solidFill>
                </w14:textFill>
              </w:rPr>
              <w:t>本项目所需的主要原辅料</w:t>
            </w:r>
            <w:r>
              <w:rPr>
                <w:rFonts w:hint="eastAsia"/>
                <w:color w:val="000000" w:themeColor="text1"/>
                <w:sz w:val="21"/>
                <w:szCs w:val="21"/>
                <w14:textFill>
                  <w14:solidFill>
                    <w14:schemeClr w14:val="tx1"/>
                  </w14:solidFill>
                </w14:textFill>
              </w:rPr>
              <w:t>外</w:t>
            </w:r>
            <w:r>
              <w:rPr>
                <w:color w:val="000000" w:themeColor="text1"/>
                <w:sz w:val="21"/>
                <w:szCs w:val="21"/>
                <w14:textFill>
                  <w14:solidFill>
                    <w14:schemeClr w14:val="tx1"/>
                  </w14:solidFill>
                </w14:textFill>
              </w:rPr>
              <w:t>购。</w:t>
            </w:r>
            <w:r>
              <w:rPr>
                <w:rFonts w:hint="eastAsia"/>
                <w:color w:val="000000" w:themeColor="text1"/>
                <w:sz w:val="21"/>
                <w:szCs w:val="21"/>
                <w:lang w:val="en-US" w:eastAsia="zh-CN"/>
                <w14:textFill>
                  <w14:solidFill>
                    <w14:schemeClr w14:val="tx1"/>
                  </w14:solidFill>
                </w14:textFill>
              </w:rPr>
              <w:t>项目建设时考虑了相关因素。</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厂址应有便利和经济的交通运输条件，与厂外铁路、公路的连接，应便捷、工程量小。临近江、河、湖、海的厂址，通航条件满足企业运输要求时，应尽量利用水运，且厂址宜靠近适合建设码头的地段。</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3.0.5</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玉溪玉象包装材料有限公司</w:t>
            </w:r>
            <w:r>
              <w:rPr>
                <w:rFonts w:hint="eastAsia"/>
                <w:color w:val="000000" w:themeColor="text1"/>
                <w:sz w:val="21"/>
                <w:szCs w:val="21"/>
                <w14:textFill>
                  <w14:solidFill>
                    <w14:schemeClr w14:val="tx1"/>
                  </w14:solidFill>
                </w14:textFill>
              </w:rPr>
              <w:t>位于红塔区李棋街道办事处农贸市场旁</w:t>
            </w:r>
            <w:r>
              <w:rPr>
                <w:color w:val="000000" w:themeColor="text1"/>
                <w:sz w:val="21"/>
                <w:szCs w:val="21"/>
                <w14:textFill>
                  <w14:solidFill>
                    <w14:schemeClr w14:val="tx1"/>
                  </w14:solidFill>
                </w14:textFill>
              </w:rPr>
              <w:t>，交通较便利。</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厂址应具有满足生产、生活及发展所必需的水源和电源。水源和电源与厂址之间的管线连接应尽量短捷，且用水、用电量（特别）大的工业企业宜靠近水源及电源地。</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3.0.6</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本项目水来源于自来水供水管网，供电线路由电网250KVA引入，能满足生产要求。</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散发有害物质的工业企业厂址，应位于城镇、相邻工业企业和居住区全年最小频率风向的上风侧，不应位于窝风地段，并应满足有关防护距离的要求。</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3.0.7</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本项目厂址</w:t>
            </w:r>
            <w:r>
              <w:rPr>
                <w:rFonts w:hint="eastAsia"/>
                <w:color w:val="000000" w:themeColor="text1"/>
                <w:sz w:val="21"/>
                <w:szCs w:val="21"/>
                <w14:textFill>
                  <w14:solidFill>
                    <w14:schemeClr w14:val="tx1"/>
                  </w14:solidFill>
                </w14:textFill>
              </w:rPr>
              <w:t>不</w:t>
            </w:r>
            <w:r>
              <w:rPr>
                <w:color w:val="000000" w:themeColor="text1"/>
                <w:sz w:val="21"/>
                <w:szCs w:val="21"/>
                <w14:textFill>
                  <w14:solidFill>
                    <w14:schemeClr w14:val="tx1"/>
                  </w14:solidFill>
                </w14:textFill>
              </w:rPr>
              <w:t>处于窝风地带。</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厂址应具有满足建设工程需要的工程地质条件和水文地质条件。</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3.0.8</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据项目组现场勘查，场地满足建设工程需要的工程地质条件。</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厂址应满足适宜的地形坡度，尽量避开自然地形复杂、自然坡度大的地段，应避免将盆地、积水洼地作为厂址。</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3.0.10</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本项目不在自然地形复杂、自然坡度大的地段。</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厂址应位于不受洪水、潮水或内涝威胁的地带，并应符合下列规定：</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（1）当厂址不可</w:t>
            </w:r>
            <w:r>
              <w:rPr>
                <w:rFonts w:hint="eastAsia"/>
                <w:color w:val="000000" w:themeColor="text1"/>
                <w:sz w:val="21"/>
                <w:szCs w:val="21"/>
                <w:lang w:eastAsia="zh-CN"/>
                <w14:textFill>
                  <w14:solidFill>
                    <w14:schemeClr w14:val="tx1"/>
                  </w14:solidFill>
                </w14:textFill>
              </w:rPr>
              <w:t>避免</w:t>
            </w:r>
            <w:r>
              <w:rPr>
                <w:color w:val="000000" w:themeColor="text1"/>
                <w:sz w:val="21"/>
                <w:szCs w:val="21"/>
                <w14:textFill>
                  <w14:solidFill>
                    <w14:schemeClr w14:val="tx1"/>
                  </w14:solidFill>
                </w14:textFill>
              </w:rPr>
              <w:t>洪水、潮水</w:t>
            </w:r>
            <w:r>
              <w:rPr>
                <w:rFonts w:hint="eastAsia"/>
                <w:color w:val="000000" w:themeColor="text1"/>
                <w:sz w:val="21"/>
                <w:szCs w:val="21"/>
                <w:lang w:eastAsia="zh-CN"/>
                <w14:textFill>
                  <w14:solidFill>
                    <w14:schemeClr w14:val="tx1"/>
                  </w14:solidFill>
                </w14:textFill>
              </w:rPr>
              <w:t>或</w:t>
            </w:r>
            <w:r>
              <w:rPr>
                <w:color w:val="000000" w:themeColor="text1"/>
                <w:sz w:val="21"/>
                <w:szCs w:val="21"/>
                <w14:textFill>
                  <w14:solidFill>
                    <w14:schemeClr w14:val="tx1"/>
                  </w14:solidFill>
                </w14:textFill>
              </w:rPr>
              <w:t>内涝威胁的地带时，必须采取防洪、排涝措施；</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（2）凡受江、河、潮、海洪水、潮水或山洪威胁的工业企业，防洪标准应符合</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现行国家标准《防洪标准》GB 50201的有关规定。</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3.0.12</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本项目不在洪水、潮水或内涝威胁的地带。</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下列地段和地区不应选为厂址：</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（1）发震断层和抗震设防烈度为9度及高于9度的地震区；</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（2）有泥石流、滑坡、流沙、溶洞等直接危害的地段；</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（3）采矿陷落（错动）区地表界限内；</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（4）爆破危险界限内；</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（5）坝或堤决溃后可能淹没的地区；</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（6）有严重放射性物质污染影响区；</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（7）生活居住区、文教区、水源保护区、名胜古迹、风景游览区、温泉、疗养区、自然保护区和其它需要特别保护的区域；</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（8）对飞机起落、电台通讯、电视转播、雷达导航和重要的天文、气象、地震观察以及军事设施等规定有影响的范围内；</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（9）很严重的自重湿陷性黄土地段，厚度大的新近堆积黄土地段和高压缩性的饱和黄土地段等地质条件恶劣地段；</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（10）具有开采价值的矿藏区；</w:t>
            </w:r>
          </w:p>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（11）受海啸或湖涌危害的地区。</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3.0.14</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本项目不在该条所列区域内。</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3"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p>
        </w:tc>
        <w:tc>
          <w:tcPr>
            <w:tcW w:w="1928"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工业企业选址应避开自然疫源区；对于因建设工程需要等原因不能避开的，应设计具体的疫情综合预防控制措施。</w:t>
            </w:r>
          </w:p>
        </w:tc>
        <w:tc>
          <w:tcPr>
            <w:tcW w:w="100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《工业企业设计卫生标准》（GBZ1-2010）</w:t>
            </w:r>
          </w:p>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5.1.2</w:t>
            </w:r>
          </w:p>
        </w:tc>
        <w:tc>
          <w:tcPr>
            <w:tcW w:w="1327"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本项目不在自然疫源区。</w:t>
            </w:r>
          </w:p>
        </w:tc>
        <w:tc>
          <w:tcPr>
            <w:tcW w:w="386" w:type="pc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pPr>
        <w:ind w:firstLine="560"/>
        <w:rPr>
          <w:rFonts w:hAnsi="宋体"/>
          <w:color w:val="000000" w:themeColor="text1"/>
          <w:szCs w:val="28"/>
          <w14:textFill>
            <w14:solidFill>
              <w14:schemeClr w14:val="tx1"/>
            </w14:solidFill>
          </w14:textFill>
        </w:rPr>
      </w:pPr>
      <w:r>
        <w:rPr>
          <w:rFonts w:hAnsi="宋体"/>
          <w:color w:val="000000" w:themeColor="text1"/>
          <w:szCs w:val="28"/>
          <w14:textFill>
            <w14:solidFill>
              <w14:schemeClr w14:val="tx1"/>
            </w14:solidFill>
          </w14:textFill>
        </w:rPr>
        <w:t>根据《工业企业总平面设计规范》（GB50187-2012）</w:t>
      </w:r>
      <w:r>
        <w:rPr>
          <w:rFonts w:hint="eastAsia" w:hAnsi="宋体"/>
          <w:color w:val="000000" w:themeColor="text1"/>
          <w:szCs w:val="28"/>
          <w14:textFill>
            <w14:solidFill>
              <w14:schemeClr w14:val="tx1"/>
            </w14:solidFill>
          </w14:textFill>
        </w:rPr>
        <w:t>、《工业企业设计卫生标准》</w:t>
      </w:r>
      <w:r>
        <w:rPr>
          <w:rFonts w:hAnsi="宋体"/>
          <w:color w:val="000000" w:themeColor="text1"/>
          <w:szCs w:val="28"/>
          <w14:textFill>
            <w14:solidFill>
              <w14:schemeClr w14:val="tx1"/>
            </w14:solidFill>
          </w14:textFill>
        </w:rPr>
        <w:t>（GB</w:t>
      </w:r>
      <w:r>
        <w:rPr>
          <w:rFonts w:hint="eastAsia" w:hAnsi="宋体"/>
          <w:color w:val="000000" w:themeColor="text1"/>
          <w:szCs w:val="28"/>
          <w14:textFill>
            <w14:solidFill>
              <w14:schemeClr w14:val="tx1"/>
            </w14:solidFill>
          </w14:textFill>
        </w:rPr>
        <w:t>Z1</w:t>
      </w:r>
      <w:r>
        <w:rPr>
          <w:rFonts w:hAnsi="宋体"/>
          <w:color w:val="000000" w:themeColor="text1"/>
          <w:szCs w:val="28"/>
          <w14:textFill>
            <w14:solidFill>
              <w14:schemeClr w14:val="tx1"/>
            </w14:solidFill>
          </w14:textFill>
        </w:rPr>
        <w:t>-201</w:t>
      </w:r>
      <w:r>
        <w:rPr>
          <w:rFonts w:hint="eastAsia" w:hAnsi="宋体"/>
          <w:color w:val="000000" w:themeColor="text1"/>
          <w:szCs w:val="28"/>
          <w14:textFill>
            <w14:solidFill>
              <w14:schemeClr w14:val="tx1"/>
            </w14:solidFill>
          </w14:textFill>
        </w:rPr>
        <w:t>0</w:t>
      </w:r>
      <w:r>
        <w:rPr>
          <w:rFonts w:hAnsi="宋体"/>
          <w:color w:val="000000" w:themeColor="text1"/>
          <w:szCs w:val="28"/>
          <w14:textFill>
            <w14:solidFill>
              <w14:schemeClr w14:val="tx1"/>
            </w14:solidFill>
          </w14:textFill>
        </w:rPr>
        <w:t>）</w:t>
      </w:r>
      <w:r>
        <w:rPr>
          <w:rFonts w:hint="eastAsia" w:hAnsi="宋体"/>
          <w:color w:val="000000" w:themeColor="text1"/>
          <w:szCs w:val="28"/>
          <w14:textFill>
            <w14:solidFill>
              <w14:schemeClr w14:val="tx1"/>
            </w14:solidFill>
          </w14:textFill>
        </w:rPr>
        <w:t>的要求，</w:t>
      </w:r>
      <w:r>
        <w:rPr>
          <w:rFonts w:hAnsi="宋体"/>
          <w:color w:val="000000" w:themeColor="text1"/>
          <w:szCs w:val="28"/>
          <w14:textFill>
            <w14:solidFill>
              <w14:schemeClr w14:val="tx1"/>
            </w14:solidFill>
          </w14:textFill>
        </w:rPr>
        <w:t>对</w:t>
      </w:r>
      <w:r>
        <w:rPr>
          <w:rFonts w:hint="eastAsia" w:hAnsi="宋体"/>
          <w:color w:val="000000" w:themeColor="text1"/>
          <w:szCs w:val="28"/>
          <w14:textFill>
            <w14:solidFill>
              <w14:schemeClr w14:val="tx1"/>
            </w14:solidFill>
          </w14:textFill>
        </w:rPr>
        <w:t>本项目选址进行检查可知</w:t>
      </w:r>
      <w:r>
        <w:rPr>
          <w:rFonts w:hAnsi="宋体"/>
          <w:color w:val="000000" w:themeColor="text1"/>
          <w:szCs w:val="28"/>
          <w14:textFill>
            <w14:solidFill>
              <w14:schemeClr w14:val="tx1"/>
            </w14:solidFill>
          </w14:textFill>
        </w:rPr>
        <w:t>，</w:t>
      </w:r>
      <w:r>
        <w:rPr>
          <w:rFonts w:hint="eastAsia" w:hAnsi="宋体"/>
          <w:color w:val="000000" w:themeColor="text1"/>
          <w:szCs w:val="28"/>
          <w14:textFill>
            <w14:solidFill>
              <w14:schemeClr w14:val="tx1"/>
            </w14:solidFill>
          </w14:textFill>
        </w:rPr>
        <w:t>其</w:t>
      </w:r>
      <w:r>
        <w:rPr>
          <w:rFonts w:hAnsi="宋体"/>
          <w:color w:val="000000" w:themeColor="text1"/>
          <w:szCs w:val="28"/>
          <w14:textFill>
            <w14:solidFill>
              <w14:schemeClr w14:val="tx1"/>
            </w14:solidFill>
          </w14:textFill>
        </w:rPr>
        <w:t>厂址选择较为合理，符合</w:t>
      </w:r>
      <w:r>
        <w:rPr>
          <w:rFonts w:hint="eastAsia" w:hAnsi="宋体"/>
          <w:color w:val="000000" w:themeColor="text1"/>
          <w:szCs w:val="28"/>
          <w14:textFill>
            <w14:solidFill>
              <w14:schemeClr w14:val="tx1"/>
            </w14:solidFill>
          </w14:textFill>
        </w:rPr>
        <w:t>相关标准、规范</w:t>
      </w:r>
      <w:r>
        <w:rPr>
          <w:rFonts w:hAnsi="宋体"/>
          <w:color w:val="000000" w:themeColor="text1"/>
          <w:szCs w:val="28"/>
          <w14:textFill>
            <w14:solidFill>
              <w14:schemeClr w14:val="tx1"/>
            </w14:solidFill>
          </w14:textFill>
        </w:rPr>
        <w:t>的要求。</w:t>
      </w:r>
    </w:p>
    <w:p>
      <w:pPr>
        <w:pStyle w:val="6"/>
        <w:rPr>
          <w:color w:val="000000" w:themeColor="text1"/>
          <w14:textFill>
            <w14:solidFill>
              <w14:schemeClr w14:val="tx1"/>
            </w14:solidFill>
          </w14:textFill>
        </w:rPr>
      </w:pPr>
      <w:bookmarkStart w:id="773" w:name="_Toc51340720"/>
      <w:bookmarkStart w:id="774" w:name="_Toc103178331"/>
      <w:bookmarkStart w:id="775" w:name="_Toc54294486"/>
      <w:bookmarkStart w:id="776" w:name="_Toc24968"/>
      <w:bookmarkStart w:id="777" w:name="_Toc129520669"/>
      <w:bookmarkStart w:id="778" w:name="_Toc458246014"/>
      <w:bookmarkStart w:id="779" w:name="_Toc30077"/>
      <w:r>
        <w:rPr>
          <w:color w:val="000000" w:themeColor="text1"/>
          <w14:textFill>
            <w14:solidFill>
              <w14:schemeClr w14:val="tx1"/>
            </w14:solidFill>
          </w14:textFill>
        </w:rPr>
        <w:t>总平面布置安全检查</w:t>
      </w:r>
      <w:bookmarkEnd w:id="773"/>
      <w:bookmarkEnd w:id="774"/>
      <w:bookmarkEnd w:id="775"/>
      <w:bookmarkEnd w:id="776"/>
      <w:bookmarkEnd w:id="777"/>
      <w:bookmarkEnd w:id="778"/>
      <w:bookmarkEnd w:id="779"/>
    </w:p>
    <w:p>
      <w:pPr>
        <w:tabs>
          <w:tab w:val="left" w:pos="5355"/>
          <w:tab w:val="left" w:pos="5940"/>
        </w:tabs>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依据《工业企业总平面设计规范》（GB 50187-2012）、</w:t>
      </w:r>
      <w:r>
        <w:rPr>
          <w:rFonts w:hint="eastAsia"/>
          <w:color w:val="000000" w:themeColor="text1"/>
          <w:szCs w:val="28"/>
          <w14:textFill>
            <w14:solidFill>
              <w14:schemeClr w14:val="tx1"/>
            </w14:solidFill>
          </w14:textFill>
        </w:rPr>
        <w:t>《建筑设计防火规范（2018年版）》（GB 50016-2014）</w:t>
      </w:r>
      <w:r>
        <w:rPr>
          <w:color w:val="000000" w:themeColor="text1"/>
          <w:szCs w:val="28"/>
          <w14:textFill>
            <w14:solidFill>
              <w14:schemeClr w14:val="tx1"/>
            </w14:solidFill>
          </w14:textFill>
        </w:rPr>
        <w:t>等相关标准中的相关内容编制检查表，对该厂总平面布置情况进行分析评价，</w:t>
      </w:r>
      <w:r>
        <w:rPr>
          <w:rFonts w:hint="eastAsia"/>
          <w:color w:val="000000" w:themeColor="text1"/>
          <w:szCs w:val="28"/>
          <w14:textFill>
            <w14:solidFill>
              <w14:schemeClr w14:val="tx1"/>
            </w14:solidFill>
          </w14:textFill>
        </w:rPr>
        <w:t>总平面布置安全检查</w:t>
      </w:r>
      <w:r>
        <w:rPr>
          <w:color w:val="000000" w:themeColor="text1"/>
          <w:szCs w:val="28"/>
          <w14:textFill>
            <w14:solidFill>
              <w14:schemeClr w14:val="tx1"/>
            </w14:solidFill>
          </w14:textFill>
        </w:rPr>
        <w:t>详见</w:t>
      </w:r>
      <w:r>
        <w:rPr>
          <w:rFonts w:hint="eastAsia"/>
          <w:color w:val="000000" w:themeColor="text1"/>
          <w:szCs w:val="28"/>
          <w14:textFill>
            <w14:solidFill>
              <w14:schemeClr w14:val="tx1"/>
            </w14:solidFill>
          </w14:textFill>
        </w:rPr>
        <w:t>下</w:t>
      </w:r>
      <w:r>
        <w:rPr>
          <w:color w:val="000000" w:themeColor="text1"/>
          <w:szCs w:val="28"/>
          <w14:textFill>
            <w14:solidFill>
              <w14:schemeClr w14:val="tx1"/>
            </w14:solidFill>
          </w14:textFill>
        </w:rPr>
        <w:t>表。</w:t>
      </w:r>
    </w:p>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总平面布置安全检查表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3163"/>
        <w:gridCol w:w="1943"/>
        <w:gridCol w:w="2076"/>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71"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856"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1140" w:type="pct"/>
            <w:vAlign w:val="center"/>
          </w:tcPr>
          <w:p>
            <w:pPr>
              <w:suppressAutoHyphens/>
              <w:spacing w:line="240" w:lineRule="auto"/>
              <w:ind w:firstLine="0" w:firstLineChars="0"/>
              <w:jc w:val="center"/>
              <w:rPr>
                <w:b/>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检查依据</w:t>
            </w:r>
          </w:p>
        </w:tc>
        <w:tc>
          <w:tcPr>
            <w:tcW w:w="1218" w:type="pct"/>
            <w:vAlign w:val="center"/>
          </w:tcPr>
          <w:p>
            <w:pPr>
              <w:suppressAutoHyphens/>
              <w:spacing w:line="240" w:lineRule="auto"/>
              <w:ind w:firstLine="0" w:firstLineChars="0"/>
              <w:jc w:val="center"/>
              <w:rPr>
                <w:b/>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413" w:type="pct"/>
            <w:vAlign w:val="center"/>
          </w:tcPr>
          <w:p>
            <w:pPr>
              <w:suppressAutoHyphens/>
              <w:spacing w:line="240" w:lineRule="auto"/>
              <w:ind w:firstLine="0" w:firstLineChars="0"/>
              <w:jc w:val="center"/>
              <w:rPr>
                <w:b/>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总平面布置，应在总体规划的基础上，根据工业企业的性质、规模、生产流程、交通运输、环境保护，以及防火、安全、卫生、节能、施工、检修、厂区发展等要求，结合场地自然条件，经技术经济比较后择优确定。</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5.1.1</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建设时</w:t>
            </w:r>
            <w:r>
              <w:rPr>
                <w:color w:val="000000" w:themeColor="text1"/>
                <w:sz w:val="21"/>
                <w:szCs w:val="21"/>
                <w14:textFill>
                  <w14:solidFill>
                    <w14:schemeClr w14:val="tx1"/>
                  </w14:solidFill>
                </w14:textFill>
              </w:rPr>
              <w:t>总平面布置时考虑了前述规定。</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总平面布置应节约集约用地，提高土地利用率。布置时并应符合下列要求：</w:t>
            </w:r>
          </w:p>
          <w:p>
            <w:pPr>
              <w:keepNext w:val="0"/>
              <w:keepLines w:val="0"/>
              <w:pageBreakBefore w:val="0"/>
              <w:widowControl w:val="0"/>
              <w:numPr>
                <w:ilvl w:val="0"/>
                <w:numId w:val="3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在符合生产流程、操作要求和使用功能的前提下，建筑物、构筑物等设施，应采用联合、集中、多层布置；</w:t>
            </w:r>
          </w:p>
          <w:p>
            <w:pPr>
              <w:keepNext w:val="0"/>
              <w:keepLines w:val="0"/>
              <w:pageBreakBefore w:val="0"/>
              <w:widowControl w:val="0"/>
              <w:numPr>
                <w:ilvl w:val="0"/>
                <w:numId w:val="3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应按企业规模和功能分区，合理地确定通道宽度；</w:t>
            </w:r>
          </w:p>
          <w:p>
            <w:pPr>
              <w:keepNext w:val="0"/>
              <w:keepLines w:val="0"/>
              <w:pageBreakBefore w:val="0"/>
              <w:widowControl w:val="0"/>
              <w:numPr>
                <w:ilvl w:val="0"/>
                <w:numId w:val="3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厂区功能分区及建筑物、构筑物的外形宜规整；</w:t>
            </w:r>
          </w:p>
          <w:p>
            <w:pPr>
              <w:keepNext w:val="0"/>
              <w:keepLines w:val="0"/>
              <w:pageBreakBefore w:val="0"/>
              <w:widowControl w:val="0"/>
              <w:numPr>
                <w:ilvl w:val="0"/>
                <w:numId w:val="3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功能分区内各项设施的布置，应紧凑、合理。</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5.1.2</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本项目总平面布置符合生产工艺和流程的要求，按功能进行了分区，通道符合规定的要求，建筑物外形规整，布置紧凑、合理。</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厂区的通道宽度，应符合下列要求：</w:t>
            </w:r>
          </w:p>
          <w:p>
            <w:pPr>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应符合通道两侧建筑物、构筑物及露天设施对防火、安全与卫生间距的要求；</w:t>
            </w:r>
          </w:p>
          <w:p>
            <w:pPr>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应符合铁路、道路与带式输送机通廊等工业运输线路的布置要求；</w:t>
            </w:r>
          </w:p>
          <w:p>
            <w:pPr>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应符合各种工程管线的布置要求；</w:t>
            </w:r>
          </w:p>
          <w:p>
            <w:pPr>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应符合绿化布置的要求；</w:t>
            </w:r>
          </w:p>
          <w:p>
            <w:pPr>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应符合施工、安装与检修的要求；</w:t>
            </w:r>
          </w:p>
          <w:p>
            <w:pPr>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应符合竖向设计的要求；</w:t>
            </w:r>
          </w:p>
          <w:p>
            <w:pPr>
              <w:keepNext w:val="0"/>
              <w:keepLines w:val="0"/>
              <w:pageBreakBefore w:val="0"/>
              <w:widowControl w:val="0"/>
              <w:numPr>
                <w:ilvl w:val="0"/>
                <w:numId w:val="37"/>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应符合预留发展用地的要求。</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5.1.4</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本项目道路宽度满足消防、施工及检修的要求。</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总平面布置，应充分利用地形、地势、工程地质及水文地质条件，布置建筑物、构筑物和有关设施，应减少土（石）方工程量和基础工程费用，并应符合下列要求：</w:t>
            </w:r>
          </w:p>
          <w:p>
            <w:pPr>
              <w:keepNext w:val="0"/>
              <w:keepLines w:val="0"/>
              <w:pageBreakBefore w:val="0"/>
              <w:widowControl w:val="0"/>
              <w:numPr>
                <w:ilvl w:val="0"/>
                <w:numId w:val="38"/>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当厂区地形坡度较大时，建筑物、构筑物的长轴宜顺等高线布置；</w:t>
            </w:r>
          </w:p>
          <w:p>
            <w:pPr>
              <w:keepNext w:val="0"/>
              <w:keepLines w:val="0"/>
              <w:pageBreakBefore w:val="0"/>
              <w:widowControl w:val="0"/>
              <w:numPr>
                <w:ilvl w:val="0"/>
                <w:numId w:val="38"/>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应结合地形及竖向设计，为物料采用自流管道及高站台、低货位等设施创造条件。</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5.1.5</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项目总平面布置充分利用地形、地势、工程地质及水文地质进行布置。</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总平面布置，应合理地组织货流和人流，并应符合下列要求：</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运输线路的布置，应保证物流顺畅、径路短捷、不折返；</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应避免运输繁忙的铁路与道路平面交叉；</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应使人、货分流，应避免运输繁忙的货流与人流交叉；</w:t>
            </w:r>
          </w:p>
          <w:p>
            <w:pPr>
              <w:keepNext w:val="0"/>
              <w:keepLines w:val="0"/>
              <w:pageBreakBefore w:val="0"/>
              <w:widowControl w:val="0"/>
              <w:numPr>
                <w:ilvl w:val="0"/>
                <w:numId w:val="39"/>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应避免进出厂的主要货流与企业外部交通干线的平面交叉。</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5.1.8</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项目的总平面布置运输线路物料顺畅、径路短捷、不折返。</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需要大宗原料、燃料的生产设施，宜与其原料、燃料的贮存及加工辅助设施靠近布置，并应位于原料、燃料的贮存及加工辅助设施全年最小频率风向的下风侧。生产大宗产品的设施宜靠近其产品储存和运输设施布置。</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5.2.6</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本项目根据生产</w:t>
            </w:r>
            <w:r>
              <w:rPr>
                <w:rFonts w:hint="eastAsia"/>
                <w:color w:val="000000" w:themeColor="text1"/>
                <w:sz w:val="21"/>
                <w:szCs w:val="21"/>
                <w:lang w:eastAsia="zh-CN"/>
                <w14:textFill>
                  <w14:solidFill>
                    <w14:schemeClr w14:val="tx1"/>
                  </w14:solidFill>
                </w14:textFill>
              </w:rPr>
              <w:t>的</w:t>
            </w:r>
            <w:r>
              <w:rPr>
                <w:color w:val="000000" w:themeColor="text1"/>
                <w:sz w:val="21"/>
                <w:szCs w:val="21"/>
                <w14:textFill>
                  <w14:solidFill>
                    <w14:schemeClr w14:val="tx1"/>
                  </w14:solidFill>
                </w14:textFill>
              </w:rPr>
              <w:t>特点，对相关生产设施进行了较为合理的布置。</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总降压变电所的布置，应符合下列要求：</w:t>
            </w:r>
          </w:p>
          <w:p>
            <w:pPr>
              <w:keepNext w:val="0"/>
              <w:keepLines w:val="0"/>
              <w:pageBreakBefore w:val="0"/>
              <w:widowControl w:val="0"/>
              <w:numPr>
                <w:ilvl w:val="0"/>
                <w:numId w:val="40"/>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宜位于靠近厂区边缘且地势较高地段；</w:t>
            </w:r>
          </w:p>
          <w:p>
            <w:pPr>
              <w:keepNext w:val="0"/>
              <w:keepLines w:val="0"/>
              <w:pageBreakBefore w:val="0"/>
              <w:widowControl w:val="0"/>
              <w:numPr>
                <w:ilvl w:val="0"/>
                <w:numId w:val="40"/>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应便于高压线的进线和出线；</w:t>
            </w:r>
          </w:p>
          <w:p>
            <w:pPr>
              <w:keepNext w:val="0"/>
              <w:keepLines w:val="0"/>
              <w:pageBreakBefore w:val="0"/>
              <w:widowControl w:val="0"/>
              <w:numPr>
                <w:ilvl w:val="0"/>
                <w:numId w:val="40"/>
              </w:numPr>
              <w:kinsoku/>
              <w:wordWrap/>
              <w:overflowPunct/>
              <w:topLinePunct w:val="0"/>
              <w:autoSpaceDE/>
              <w:autoSpaceDN/>
              <w:bidi w:val="0"/>
              <w:adjustRightInd/>
              <w:snapToGrid/>
              <w:spacing w:line="240" w:lineRule="auto"/>
              <w:ind w:left="0" w:leftChars="0" w:firstLine="0" w:firstLineChars="0"/>
              <w:jc w:val="left"/>
              <w:textAlignment w:val="auto"/>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应避免设在有强烈振动的设施附近；</w:t>
            </w:r>
          </w:p>
          <w:p>
            <w:pPr>
              <w:keepNext w:val="0"/>
              <w:keepLines w:val="0"/>
              <w:pageBreakBefore w:val="0"/>
              <w:widowControl w:val="0"/>
              <w:numPr>
                <w:ilvl w:val="0"/>
                <w:numId w:val="40"/>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应避免布置在多尘、有腐蚀性气体和有水雾的场所，并应位于多尘、有腐蚀性气体场所全年最小频率风向的下风侧和有水雾场所冬季盛行风向的上风侧。</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5.3.2</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本项目配电室的布置符合要求。</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1" w:type="pct"/>
            <w:vAlign w:val="center"/>
          </w:tcPr>
          <w:p>
            <w:pPr>
              <w:numPr>
                <w:ilvl w:val="0"/>
                <w:numId w:val="35"/>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856"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仓库与堆场，应根据贮存物料的性质、货流出入方向、供应对象、贮存面积、运输方式等因素，按不同类别相对集中布置，并为运输、装卸、管理创造有利条件，且应符合国家现行的防火、防爆、安全、卫生等工程设计标准的有关规定。</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5.6.1</w:t>
            </w:r>
          </w:p>
        </w:tc>
        <w:tc>
          <w:tcPr>
            <w:tcW w:w="1218"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本项目满足生产中物料流向要求。</w:t>
            </w:r>
          </w:p>
        </w:tc>
        <w:tc>
          <w:tcPr>
            <w:tcW w:w="41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2" w:type="dxa"/>
            <w:vAlign w:val="center"/>
          </w:tcPr>
          <w:p>
            <w:pPr>
              <w:numPr>
                <w:ilvl w:val="0"/>
                <w:numId w:val="35"/>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3163" w:type="dxa"/>
            <w:vAlign w:val="center"/>
          </w:tcPr>
          <w:p>
            <w:pPr>
              <w:spacing w:line="240" w:lineRule="auto"/>
              <w:ind w:firstLine="0" w:firstLineChars="0"/>
              <w:jc w:val="left"/>
              <w:rPr>
                <w:color w:val="000000" w:themeColor="text1"/>
                <w:sz w:val="21"/>
                <w:szCs w:val="21"/>
                <w14:textFill>
                  <w14:solidFill>
                    <w14:schemeClr w14:val="tx1"/>
                  </w14:solidFill>
                </w14:textFill>
              </w:rPr>
            </w:pPr>
            <w:r>
              <w:rPr>
                <w:rFonts w:cs="Times New Roman"/>
                <w:sz w:val="21"/>
                <w:szCs w:val="21"/>
              </w:rPr>
              <w:t>除本规范另有规定外，厂房的层数和每个防火分区的最大允许建筑面积应符合表3.3.1 的规定。</w:t>
            </w:r>
          </w:p>
        </w:tc>
        <w:tc>
          <w:tcPr>
            <w:tcW w:w="1943"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rPr>
              <w:t>《建筑设计防火规范（2018年版）》（GB 50016-2014）3.3.1</w:t>
            </w:r>
          </w:p>
        </w:tc>
        <w:tc>
          <w:tcPr>
            <w:tcW w:w="2076"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cs="Times New Roman"/>
                <w:sz w:val="21"/>
                <w:szCs w:val="21"/>
              </w:rPr>
              <w:t>厂房的层数和每个防火分区的最大允许建筑面积符合表3.3.1 的规定</w:t>
            </w:r>
          </w:p>
        </w:tc>
        <w:tc>
          <w:tcPr>
            <w:tcW w:w="70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s="Times New Roman"/>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2" w:type="dxa"/>
            <w:vAlign w:val="center"/>
          </w:tcPr>
          <w:p>
            <w:pPr>
              <w:numPr>
                <w:ilvl w:val="0"/>
                <w:numId w:val="35"/>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3163" w:type="dxa"/>
            <w:vAlign w:val="center"/>
          </w:tcPr>
          <w:p>
            <w:pPr>
              <w:spacing w:line="240" w:lineRule="auto"/>
              <w:ind w:firstLine="0" w:firstLineChars="0"/>
              <w:jc w:val="left"/>
              <w:rPr>
                <w:color w:val="000000" w:themeColor="text1"/>
                <w:sz w:val="21"/>
                <w:szCs w:val="21"/>
                <w14:textFill>
                  <w14:solidFill>
                    <w14:schemeClr w14:val="tx1"/>
                  </w14:solidFill>
                </w14:textFill>
              </w:rPr>
            </w:pPr>
            <w:r>
              <w:rPr>
                <w:rFonts w:cs="Times New Roman"/>
                <w:sz w:val="21"/>
                <w:szCs w:val="21"/>
              </w:rPr>
              <w:t>除本规范另有规定外，仓库的层数和面积应符合表3.3.2 的规定。</w:t>
            </w:r>
          </w:p>
        </w:tc>
        <w:tc>
          <w:tcPr>
            <w:tcW w:w="1943"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rPr>
              <w:t>《建筑设计防火规范（2018年版）》（GB 50016-2014）</w:t>
            </w:r>
            <w:r>
              <w:rPr>
                <w:rFonts w:cs="Times New Roman"/>
                <w:sz w:val="21"/>
                <w:szCs w:val="21"/>
              </w:rPr>
              <w:t xml:space="preserve">3.3.2 </w:t>
            </w:r>
          </w:p>
        </w:tc>
        <w:tc>
          <w:tcPr>
            <w:tcW w:w="2076"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lang w:val="en-US" w:eastAsia="zh-CN"/>
              </w:rPr>
              <w:t>厂区</w:t>
            </w:r>
            <w:r>
              <w:rPr>
                <w:rFonts w:cs="Times New Roman"/>
                <w:sz w:val="21"/>
                <w:szCs w:val="21"/>
              </w:rPr>
              <w:t>仓库</w:t>
            </w:r>
            <w:r>
              <w:rPr>
                <w:rFonts w:hint="eastAsia" w:cs="Times New Roman"/>
                <w:sz w:val="21"/>
                <w:szCs w:val="21"/>
                <w:lang w:val="en-US" w:eastAsia="zh-CN"/>
              </w:rPr>
              <w:t>均为单层，仓库</w:t>
            </w:r>
            <w:r>
              <w:rPr>
                <w:rFonts w:cs="Times New Roman"/>
                <w:sz w:val="21"/>
                <w:szCs w:val="21"/>
              </w:rPr>
              <w:t>的层数和面积符合表3.3.2的规定。</w:t>
            </w:r>
          </w:p>
        </w:tc>
        <w:tc>
          <w:tcPr>
            <w:tcW w:w="70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s="Times New Roman"/>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2" w:type="dxa"/>
            <w:vAlign w:val="center"/>
          </w:tcPr>
          <w:p>
            <w:pPr>
              <w:numPr>
                <w:ilvl w:val="0"/>
                <w:numId w:val="35"/>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3163" w:type="dxa"/>
            <w:vAlign w:val="center"/>
          </w:tcPr>
          <w:p>
            <w:pPr>
              <w:spacing w:line="240" w:lineRule="auto"/>
              <w:ind w:firstLine="0" w:firstLineChars="0"/>
              <w:jc w:val="left"/>
              <w:rPr>
                <w:color w:val="000000" w:themeColor="text1"/>
                <w:sz w:val="21"/>
                <w:szCs w:val="21"/>
                <w14:textFill>
                  <w14:solidFill>
                    <w14:schemeClr w14:val="tx1"/>
                  </w14:solidFill>
                </w14:textFill>
              </w:rPr>
            </w:pPr>
            <w:r>
              <w:rPr>
                <w:rFonts w:cs="Times New Roman"/>
                <w:sz w:val="21"/>
                <w:szCs w:val="21"/>
              </w:rPr>
              <w:t>员工宿舍严禁设置在厂房内。</w:t>
            </w:r>
          </w:p>
        </w:tc>
        <w:tc>
          <w:tcPr>
            <w:tcW w:w="1943"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rPr>
              <w:t>《建筑设计防火规范（2018年版）》（GB 50016-2014）</w:t>
            </w:r>
            <w:r>
              <w:rPr>
                <w:rFonts w:cs="Times New Roman"/>
                <w:sz w:val="21"/>
                <w:szCs w:val="21"/>
              </w:rPr>
              <w:t xml:space="preserve">3.3.5 </w:t>
            </w:r>
          </w:p>
        </w:tc>
        <w:tc>
          <w:tcPr>
            <w:tcW w:w="2076"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cs="Times New Roman"/>
                <w:sz w:val="21"/>
                <w:szCs w:val="21"/>
              </w:rPr>
              <w:t>厂房内</w:t>
            </w:r>
            <w:r>
              <w:rPr>
                <w:rFonts w:hint="eastAsia" w:cs="Times New Roman"/>
                <w:sz w:val="21"/>
                <w:szCs w:val="21"/>
              </w:rPr>
              <w:t>无</w:t>
            </w:r>
            <w:r>
              <w:rPr>
                <w:rFonts w:cs="Times New Roman"/>
                <w:sz w:val="21"/>
                <w:szCs w:val="21"/>
              </w:rPr>
              <w:t>员工宿舍</w:t>
            </w:r>
          </w:p>
        </w:tc>
        <w:tc>
          <w:tcPr>
            <w:tcW w:w="70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s="Times New Roman"/>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2" w:type="dxa"/>
            <w:vAlign w:val="center"/>
          </w:tcPr>
          <w:p>
            <w:pPr>
              <w:numPr>
                <w:ilvl w:val="0"/>
                <w:numId w:val="35"/>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3163" w:type="dxa"/>
            <w:vAlign w:val="center"/>
          </w:tcPr>
          <w:p>
            <w:pPr>
              <w:spacing w:line="240" w:lineRule="auto"/>
              <w:ind w:firstLine="0" w:firstLineChars="0"/>
              <w:jc w:val="left"/>
              <w:rPr>
                <w:color w:val="000000" w:themeColor="text1"/>
                <w:sz w:val="21"/>
                <w:szCs w:val="21"/>
                <w14:textFill>
                  <w14:solidFill>
                    <w14:schemeClr w14:val="tx1"/>
                  </w14:solidFill>
                </w14:textFill>
              </w:rPr>
            </w:pPr>
            <w:r>
              <w:rPr>
                <w:rFonts w:cs="Times New Roman"/>
                <w:sz w:val="21"/>
                <w:szCs w:val="21"/>
              </w:rPr>
              <w:t>厂房之间及与乙、丙、丁、戊类仓库、民用建筑等的防火间距不应小于表3.4.1的规定</w:t>
            </w:r>
            <w:r>
              <w:rPr>
                <w:rFonts w:hint="eastAsia" w:cs="Times New Roman"/>
                <w:sz w:val="21"/>
                <w:szCs w:val="21"/>
              </w:rPr>
              <w:t>，与甲类仓库的防火间距应符合本规范第3.5.1条的规定。</w:t>
            </w:r>
          </w:p>
        </w:tc>
        <w:tc>
          <w:tcPr>
            <w:tcW w:w="1943"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rPr>
              <w:t>《建筑设计防火规范（2018年版）》（GB 50016-2014）</w:t>
            </w:r>
            <w:r>
              <w:rPr>
                <w:rFonts w:cs="Times New Roman"/>
                <w:sz w:val="21"/>
                <w:szCs w:val="21"/>
              </w:rPr>
              <w:t>3.4.1</w:t>
            </w:r>
          </w:p>
        </w:tc>
        <w:tc>
          <w:tcPr>
            <w:tcW w:w="2076"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lang w:val="en-US" w:eastAsia="zh-CN"/>
              </w:rPr>
              <w:t>项目办公楼与成品丙类仓库之间的距离不符合规范。</w:t>
            </w:r>
          </w:p>
        </w:tc>
        <w:tc>
          <w:tcPr>
            <w:tcW w:w="70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s="Times New Roman"/>
                <w:sz w:val="21"/>
                <w:szCs w:val="21"/>
                <w:lang w:val="en-US" w:eastAsia="zh-CN"/>
              </w:rPr>
              <w:t>不</w:t>
            </w:r>
            <w:r>
              <w:rPr>
                <w:rFonts w:hint="eastAsia" w:cs="Times New Roman"/>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2" w:type="dxa"/>
            <w:vAlign w:val="center"/>
          </w:tcPr>
          <w:p>
            <w:pPr>
              <w:numPr>
                <w:ilvl w:val="0"/>
                <w:numId w:val="35"/>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3163" w:type="dxa"/>
            <w:vAlign w:val="center"/>
          </w:tcPr>
          <w:p>
            <w:pPr>
              <w:spacing w:line="240" w:lineRule="auto"/>
              <w:ind w:firstLine="0" w:firstLineChars="0"/>
              <w:jc w:val="left"/>
              <w:rPr>
                <w:color w:val="000000" w:themeColor="text1"/>
                <w:sz w:val="21"/>
                <w:szCs w:val="21"/>
                <w14:textFill>
                  <w14:solidFill>
                    <w14:schemeClr w14:val="tx1"/>
                  </w14:solidFill>
                </w14:textFill>
              </w:rPr>
            </w:pPr>
            <w:r>
              <w:rPr>
                <w:rFonts w:hint="eastAsia" w:ascii="Times New Roman" w:hAnsi="Times New Roman" w:eastAsia="宋体" w:cs="Times New Roman"/>
                <w:sz w:val="21"/>
                <w:szCs w:val="21"/>
                <w:lang w:val="en-US" w:eastAsia="zh-CN"/>
              </w:rPr>
              <w:t>除本规范另有规定外，乙、丙、丁、戊类仓库之间及与民用建筑等的防火间距，不应小于表3.5.2的规定，</w:t>
            </w:r>
          </w:p>
        </w:tc>
        <w:tc>
          <w:tcPr>
            <w:tcW w:w="1943"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ascii="Times New Roman" w:hAnsi="Times New Roman" w:eastAsia="宋体" w:cs="Times New Roman"/>
                <w:sz w:val="21"/>
                <w:szCs w:val="21"/>
                <w:lang w:val="en-US" w:eastAsia="zh-CN"/>
              </w:rPr>
              <w:t>《建筑设计防火规范（2018年版）》（GB 50016-2014）3.5.2</w:t>
            </w:r>
          </w:p>
        </w:tc>
        <w:tc>
          <w:tcPr>
            <w:tcW w:w="2076"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ascii="Times New Roman" w:hAnsi="Times New Roman" w:eastAsia="宋体" w:cs="Times New Roman"/>
                <w:sz w:val="21"/>
                <w:szCs w:val="21"/>
                <w:lang w:val="en-US" w:eastAsia="zh-CN"/>
              </w:rPr>
              <w:t>根据正文 2.1.3检查项目成品仓库与周边民用建筑防火间距不足。</w:t>
            </w:r>
          </w:p>
        </w:tc>
        <w:tc>
          <w:tcPr>
            <w:tcW w:w="70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ascii="Times New Roman" w:hAnsi="Times New Roman" w:eastAsia="宋体" w:cs="Times New Roman"/>
                <w:sz w:val="21"/>
                <w:szCs w:val="21"/>
                <w:lang w:val="en-US" w:eastAsia="zh-CN"/>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2" w:type="dxa"/>
            <w:vAlign w:val="center"/>
          </w:tcPr>
          <w:p>
            <w:pPr>
              <w:numPr>
                <w:ilvl w:val="0"/>
                <w:numId w:val="35"/>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3163" w:type="dxa"/>
            <w:vAlign w:val="center"/>
          </w:tcPr>
          <w:p>
            <w:pPr>
              <w:spacing w:line="240" w:lineRule="auto"/>
              <w:ind w:firstLine="0" w:firstLineChars="0"/>
              <w:jc w:val="left"/>
              <w:rPr>
                <w:color w:val="000000" w:themeColor="text1"/>
                <w:sz w:val="21"/>
                <w:szCs w:val="21"/>
                <w14:textFill>
                  <w14:solidFill>
                    <w14:schemeClr w14:val="tx1"/>
                  </w14:solidFill>
                </w14:textFill>
              </w:rPr>
            </w:pPr>
            <w:r>
              <w:rPr>
                <w:rFonts w:hint="eastAsia" w:cs="Times New Roman"/>
                <w:sz w:val="21"/>
                <w:szCs w:val="21"/>
              </w:rPr>
              <w:t>员工宿舍严禁设置在仓库内。</w:t>
            </w:r>
          </w:p>
        </w:tc>
        <w:tc>
          <w:tcPr>
            <w:tcW w:w="1943"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rPr>
              <w:t>《建筑设计防火规范（2018年版）》（GB 50016-2014）3.3.9</w:t>
            </w:r>
          </w:p>
        </w:tc>
        <w:tc>
          <w:tcPr>
            <w:tcW w:w="2076" w:type="dxa"/>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cs="Times New Roman"/>
                <w:sz w:val="21"/>
                <w:szCs w:val="21"/>
              </w:rPr>
              <w:t>仓库内无员工宿舍</w:t>
            </w:r>
          </w:p>
        </w:tc>
        <w:tc>
          <w:tcPr>
            <w:tcW w:w="70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符合</w:t>
            </w:r>
          </w:p>
        </w:tc>
      </w:tr>
    </w:tbl>
    <w:p>
      <w:pPr>
        <w:tabs>
          <w:tab w:val="left" w:pos="5355"/>
          <w:tab w:val="left" w:pos="5940"/>
        </w:tabs>
        <w:adjustRightInd w:val="0"/>
        <w:snapToGrid w:val="0"/>
        <w:ind w:firstLine="560"/>
        <w:rPr>
          <w:rFonts w:hint="default" w:eastAsia="宋体"/>
          <w:color w:val="000000" w:themeColor="text1"/>
          <w:szCs w:val="28"/>
          <w:lang w:val="en-US" w:eastAsia="zh-CN"/>
          <w14:textFill>
            <w14:solidFill>
              <w14:schemeClr w14:val="tx1"/>
            </w14:solidFill>
          </w14:textFill>
        </w:rPr>
      </w:pPr>
      <w:r>
        <w:rPr>
          <w:color w:val="000000" w:themeColor="text1"/>
          <w:szCs w:val="28"/>
          <w14:textFill>
            <w14:solidFill>
              <w14:schemeClr w14:val="tx1"/>
            </w14:solidFill>
          </w14:textFill>
        </w:rPr>
        <w:t>根据以上检查表可知，本项目总平面布置</w:t>
      </w:r>
      <w:r>
        <w:rPr>
          <w:rFonts w:hint="eastAsia"/>
          <w:color w:val="000000" w:themeColor="text1"/>
          <w:szCs w:val="28"/>
          <w:lang w:val="en-US" w:eastAsia="zh-CN"/>
          <w14:textFill>
            <w14:solidFill>
              <w14:schemeClr w14:val="tx1"/>
            </w14:solidFill>
          </w14:textFill>
        </w:rPr>
        <w:t>总体</w:t>
      </w:r>
      <w:r>
        <w:rPr>
          <w:color w:val="000000" w:themeColor="text1"/>
          <w:szCs w:val="28"/>
          <w14:textFill>
            <w14:solidFill>
              <w14:schemeClr w14:val="tx1"/>
            </w14:solidFill>
          </w14:textFill>
        </w:rPr>
        <w:t>符合</w:t>
      </w:r>
      <w:r>
        <w:rPr>
          <w:rFonts w:hint="eastAsia"/>
          <w:color w:val="000000" w:themeColor="text1"/>
          <w:szCs w:val="28"/>
          <w14:textFill>
            <w14:solidFill>
              <w14:schemeClr w14:val="tx1"/>
            </w14:solidFill>
          </w14:textFill>
        </w:rPr>
        <w:t>《工业企业总平面设计规范》（GB 50187-2012）《建筑设计防火规范（2018年版）》（GB 50016-2014）</w:t>
      </w:r>
      <w:r>
        <w:rPr>
          <w:color w:val="000000" w:themeColor="text1"/>
          <w:szCs w:val="28"/>
          <w14:textFill>
            <w14:solidFill>
              <w14:schemeClr w14:val="tx1"/>
            </w14:solidFill>
          </w14:textFill>
        </w:rPr>
        <w:t>等相关标准规范的要求。</w:t>
      </w:r>
      <w:r>
        <w:rPr>
          <w:rFonts w:hint="eastAsia"/>
          <w:color w:val="000000" w:themeColor="text1"/>
          <w:szCs w:val="28"/>
          <w:lang w:val="en-US" w:eastAsia="zh-CN"/>
          <w14:textFill>
            <w14:solidFill>
              <w14:schemeClr w14:val="tx1"/>
            </w14:solidFill>
          </w14:textFill>
        </w:rPr>
        <w:t>但由于历史原因，项目同周边企业的防火间距、项目办公楼与成品仓库的防火间距不符合</w:t>
      </w:r>
      <w:r>
        <w:rPr>
          <w:rFonts w:hint="eastAsia"/>
          <w:color w:val="000000" w:themeColor="text1"/>
          <w:szCs w:val="28"/>
          <w14:textFill>
            <w14:solidFill>
              <w14:schemeClr w14:val="tx1"/>
            </w14:solidFill>
          </w14:textFill>
        </w:rPr>
        <w:t>《建筑设计防火规范（2018年版）》（GB 50016-2014）</w:t>
      </w:r>
      <w:r>
        <w:rPr>
          <w:rFonts w:hint="eastAsia"/>
          <w:color w:val="000000" w:themeColor="text1"/>
          <w:szCs w:val="28"/>
          <w:lang w:val="en-US" w:eastAsia="zh-CN"/>
          <w14:textFill>
            <w14:solidFill>
              <w14:schemeClr w14:val="tx1"/>
            </w14:solidFill>
          </w14:textFill>
        </w:rPr>
        <w:t>规范要求。</w:t>
      </w:r>
    </w:p>
    <w:p>
      <w:pPr>
        <w:pStyle w:val="6"/>
        <w:rPr>
          <w:color w:val="000000" w:themeColor="text1"/>
          <w14:textFill>
            <w14:solidFill>
              <w14:schemeClr w14:val="tx1"/>
            </w14:solidFill>
          </w14:textFill>
        </w:rPr>
      </w:pPr>
      <w:bookmarkStart w:id="780" w:name="_Toc2490"/>
      <w:bookmarkStart w:id="781" w:name="_Toc103178332"/>
      <w:bookmarkStart w:id="782" w:name="_Toc51340721"/>
      <w:bookmarkStart w:id="783" w:name="_Toc54294487"/>
      <w:bookmarkStart w:id="784" w:name="_Toc458246015"/>
      <w:bookmarkStart w:id="785" w:name="_Toc129520670"/>
      <w:bookmarkStart w:id="786" w:name="_Toc20151"/>
      <w:r>
        <w:rPr>
          <w:color w:val="000000" w:themeColor="text1"/>
          <w14:textFill>
            <w14:solidFill>
              <w14:schemeClr w14:val="tx1"/>
            </w14:solidFill>
          </w14:textFill>
        </w:rPr>
        <w:t>单元小结</w:t>
      </w:r>
      <w:bookmarkEnd w:id="780"/>
      <w:bookmarkEnd w:id="781"/>
      <w:bookmarkEnd w:id="782"/>
      <w:bookmarkEnd w:id="783"/>
      <w:bookmarkEnd w:id="784"/>
      <w:bookmarkEnd w:id="785"/>
      <w:bookmarkEnd w:id="786"/>
    </w:p>
    <w:p>
      <w:pPr>
        <w:tabs>
          <w:tab w:val="left" w:pos="5355"/>
          <w:tab w:val="left" w:pos="5940"/>
        </w:tabs>
        <w:adjustRightInd w:val="0"/>
        <w:snapToGrid w:val="0"/>
        <w:ind w:firstLine="560"/>
        <w:rPr>
          <w:rFonts w:hint="default" w:eastAsia="宋体"/>
          <w:color w:val="000000" w:themeColor="text1"/>
          <w:szCs w:val="28"/>
          <w:lang w:val="en-US" w:eastAsia="zh-CN"/>
          <w14:textFill>
            <w14:solidFill>
              <w14:schemeClr w14:val="tx1"/>
            </w14:solidFill>
          </w14:textFill>
        </w:rPr>
      </w:pPr>
      <w:bookmarkStart w:id="787" w:name="_Toc201697639"/>
      <w:bookmarkStart w:id="788" w:name="_Toc129520671"/>
      <w:bookmarkStart w:id="789" w:name="_Toc458246016"/>
      <w:bookmarkStart w:id="790" w:name="_Toc103178333"/>
      <w:bookmarkStart w:id="791" w:name="_Toc54294488"/>
      <w:bookmarkStart w:id="792" w:name="_Toc51340722"/>
      <w:bookmarkStart w:id="793" w:name="_Toc599"/>
      <w:r>
        <w:rPr>
          <w:color w:val="000000" w:themeColor="text1"/>
          <w:szCs w:val="28"/>
          <w14:textFill>
            <w14:solidFill>
              <w14:schemeClr w14:val="tx1"/>
            </w14:solidFill>
          </w14:textFill>
        </w:rPr>
        <w:t>本项目总平面布置</w:t>
      </w:r>
      <w:r>
        <w:rPr>
          <w:rFonts w:hint="eastAsia"/>
          <w:color w:val="000000" w:themeColor="text1"/>
          <w:szCs w:val="28"/>
          <w:lang w:val="en-US" w:eastAsia="zh-CN"/>
          <w14:textFill>
            <w14:solidFill>
              <w14:schemeClr w14:val="tx1"/>
            </w14:solidFill>
          </w14:textFill>
        </w:rPr>
        <w:t>总体</w:t>
      </w:r>
      <w:r>
        <w:rPr>
          <w:color w:val="000000" w:themeColor="text1"/>
          <w:szCs w:val="28"/>
          <w14:textFill>
            <w14:solidFill>
              <w14:schemeClr w14:val="tx1"/>
            </w14:solidFill>
          </w14:textFill>
        </w:rPr>
        <w:t>符合</w:t>
      </w:r>
      <w:r>
        <w:rPr>
          <w:rFonts w:hint="eastAsia"/>
          <w:color w:val="000000" w:themeColor="text1"/>
          <w:szCs w:val="28"/>
          <w14:textFill>
            <w14:solidFill>
              <w14:schemeClr w14:val="tx1"/>
            </w14:solidFill>
          </w14:textFill>
        </w:rPr>
        <w:t>《工业企业总平面设计规范》（GB 50187-2012）《建筑设计防火规范（2018年版）》（GB 50016-2014）</w:t>
      </w:r>
      <w:r>
        <w:rPr>
          <w:color w:val="000000" w:themeColor="text1"/>
          <w:szCs w:val="28"/>
          <w14:textFill>
            <w14:solidFill>
              <w14:schemeClr w14:val="tx1"/>
            </w14:solidFill>
          </w14:textFill>
        </w:rPr>
        <w:t>等相关标准规范的要求。</w:t>
      </w:r>
      <w:r>
        <w:rPr>
          <w:rFonts w:hint="eastAsia"/>
          <w:color w:val="000000" w:themeColor="text1"/>
          <w:szCs w:val="28"/>
          <w:lang w:val="en-US" w:eastAsia="zh-CN"/>
          <w14:textFill>
            <w14:solidFill>
              <w14:schemeClr w14:val="tx1"/>
            </w14:solidFill>
          </w14:textFill>
        </w:rPr>
        <w:t>但由于历史原因，项目同周边企业的防火间距、项目办公楼与成品仓库的防火间距不符合</w:t>
      </w:r>
      <w:r>
        <w:rPr>
          <w:rFonts w:hint="eastAsia"/>
          <w:color w:val="000000" w:themeColor="text1"/>
          <w:szCs w:val="28"/>
          <w14:textFill>
            <w14:solidFill>
              <w14:schemeClr w14:val="tx1"/>
            </w14:solidFill>
          </w14:textFill>
        </w:rPr>
        <w:t>《建筑设计防火规范（2018年版）》（GB 50016-2014）</w:t>
      </w:r>
      <w:r>
        <w:rPr>
          <w:rFonts w:hint="eastAsia"/>
          <w:color w:val="000000" w:themeColor="text1"/>
          <w:szCs w:val="28"/>
          <w:lang w:val="en-US" w:eastAsia="zh-CN"/>
          <w14:textFill>
            <w14:solidFill>
              <w14:schemeClr w14:val="tx1"/>
            </w14:solidFill>
          </w14:textFill>
        </w:rPr>
        <w:t>规范要求。</w:t>
      </w:r>
    </w:p>
    <w:p>
      <w:pPr>
        <w:pStyle w:val="5"/>
        <w:rPr>
          <w:snapToGrid w:val="0"/>
          <w:color w:val="000000" w:themeColor="text1"/>
          <w14:textFill>
            <w14:solidFill>
              <w14:schemeClr w14:val="tx1"/>
            </w14:solidFill>
          </w14:textFill>
        </w:rPr>
      </w:pPr>
      <w:bookmarkStart w:id="794" w:name="_Toc405"/>
      <w:r>
        <w:rPr>
          <w:snapToGrid w:val="0"/>
          <w:color w:val="000000" w:themeColor="text1"/>
          <w14:textFill>
            <w14:solidFill>
              <w14:schemeClr w14:val="tx1"/>
            </w14:solidFill>
          </w14:textFill>
        </w:rPr>
        <w:t>生产工艺及设施评价</w:t>
      </w:r>
      <w:bookmarkEnd w:id="787"/>
      <w:r>
        <w:rPr>
          <w:snapToGrid w:val="0"/>
          <w:color w:val="000000" w:themeColor="text1"/>
          <w14:textFill>
            <w14:solidFill>
              <w14:schemeClr w14:val="tx1"/>
            </w14:solidFill>
          </w14:textFill>
        </w:rPr>
        <w:t>单元</w:t>
      </w:r>
      <w:bookmarkEnd w:id="788"/>
      <w:bookmarkEnd w:id="789"/>
      <w:bookmarkEnd w:id="790"/>
      <w:bookmarkEnd w:id="791"/>
      <w:bookmarkEnd w:id="792"/>
      <w:bookmarkEnd w:id="793"/>
      <w:bookmarkEnd w:id="794"/>
    </w:p>
    <w:p>
      <w:pPr>
        <w:pStyle w:val="6"/>
        <w:rPr>
          <w:color w:val="000000" w:themeColor="text1"/>
          <w14:textFill>
            <w14:solidFill>
              <w14:schemeClr w14:val="tx1"/>
            </w14:solidFill>
          </w14:textFill>
        </w:rPr>
      </w:pPr>
      <w:bookmarkStart w:id="795" w:name="_Toc458246018"/>
      <w:bookmarkStart w:id="796" w:name="_Toc54294490"/>
      <w:bookmarkStart w:id="797" w:name="_Toc129520672"/>
      <w:bookmarkStart w:id="798" w:name="_Toc103178335"/>
      <w:bookmarkStart w:id="799" w:name="_Toc51340724"/>
      <w:bookmarkStart w:id="800" w:name="_Toc16724"/>
      <w:bookmarkStart w:id="801" w:name="_Toc9862"/>
      <w:r>
        <w:rPr>
          <w:rFonts w:hint="eastAsia"/>
          <w:color w:val="000000" w:themeColor="text1"/>
          <w14:textFill>
            <w14:solidFill>
              <w14:schemeClr w14:val="tx1"/>
            </w14:solidFill>
          </w14:textFill>
        </w:rPr>
        <w:t>生产工艺及设施</w:t>
      </w:r>
      <w:r>
        <w:rPr>
          <w:color w:val="000000" w:themeColor="text1"/>
          <w14:textFill>
            <w14:solidFill>
              <w14:schemeClr w14:val="tx1"/>
            </w14:solidFill>
          </w14:textFill>
        </w:rPr>
        <w:t>安全检查</w:t>
      </w:r>
      <w:bookmarkEnd w:id="795"/>
      <w:bookmarkEnd w:id="796"/>
      <w:bookmarkEnd w:id="797"/>
      <w:bookmarkEnd w:id="798"/>
      <w:bookmarkEnd w:id="799"/>
      <w:bookmarkEnd w:id="800"/>
      <w:bookmarkEnd w:id="801"/>
    </w:p>
    <w:p>
      <w:pPr>
        <w:spacing w:before="120" w:beforeLines="50"/>
        <w:ind w:firstLine="560"/>
        <w:rPr>
          <w:color w:val="000000" w:themeColor="text1"/>
          <w:szCs w:val="24"/>
          <w14:textFill>
            <w14:solidFill>
              <w14:schemeClr w14:val="tx1"/>
            </w14:solidFill>
          </w14:textFill>
        </w:rPr>
      </w:pPr>
      <w:r>
        <w:rPr>
          <w:color w:val="000000" w:themeColor="text1"/>
          <w:szCs w:val="24"/>
          <w14:textFill>
            <w14:solidFill>
              <w14:schemeClr w14:val="tx1"/>
            </w14:solidFill>
          </w14:textFill>
        </w:rPr>
        <w:t>依据《生产设备安全卫生设计总则》（GB 5083-1999）、《生产过程安全卫生要求总则》（GB/T 12801-2008）等相关规范编制检查表，对该厂的生产工艺设备设施采用安全检查表法进行分析评价。</w:t>
      </w:r>
    </w:p>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生产工艺及设施安全检查表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4"/>
        <w:gridCol w:w="3278"/>
        <w:gridCol w:w="1838"/>
        <w:gridCol w:w="2136"/>
        <w:gridCol w:w="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0"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923" w:type="pct"/>
            <w:vAlign w:val="center"/>
          </w:tcPr>
          <w:p>
            <w:pPr>
              <w:suppressAutoHyphens/>
              <w:spacing w:line="240" w:lineRule="auto"/>
              <w:ind w:firstLine="0" w:firstLineChars="0"/>
              <w:jc w:val="center"/>
              <w:rPr>
                <w:b/>
                <w:snapToGrid w:val="0"/>
                <w:color w:val="000000" w:themeColor="text1"/>
                <w:kern w:val="0"/>
                <w:sz w:val="21"/>
                <w:szCs w:val="21"/>
                <w14:textFill>
                  <w14:solidFill>
                    <w14:schemeClr w14:val="tx1"/>
                  </w14:solidFill>
                </w14:textFill>
              </w:rPr>
            </w:pPr>
            <w:r>
              <w:rPr>
                <w:b/>
                <w:snapToGrid w:val="0"/>
                <w:color w:val="000000" w:themeColor="text1"/>
                <w:kern w:val="0"/>
                <w:sz w:val="21"/>
                <w:szCs w:val="21"/>
                <w14:textFill>
                  <w14:solidFill>
                    <w14:schemeClr w14:val="tx1"/>
                  </w14:solidFill>
                </w14:textFill>
              </w:rPr>
              <w:t>检查内容</w:t>
            </w:r>
          </w:p>
        </w:tc>
        <w:tc>
          <w:tcPr>
            <w:tcW w:w="1078" w:type="pct"/>
            <w:vAlign w:val="center"/>
          </w:tcPr>
          <w:p>
            <w:pPr>
              <w:suppressAutoHyphens/>
              <w:spacing w:line="240" w:lineRule="auto"/>
              <w:ind w:firstLine="0" w:firstLineChars="0"/>
              <w:jc w:val="center"/>
              <w:rPr>
                <w:b/>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检查依据</w:t>
            </w:r>
          </w:p>
        </w:tc>
        <w:tc>
          <w:tcPr>
            <w:tcW w:w="1253" w:type="pct"/>
            <w:vAlign w:val="center"/>
          </w:tcPr>
          <w:p>
            <w:pPr>
              <w:suppressAutoHyphens/>
              <w:spacing w:line="240" w:lineRule="auto"/>
              <w:ind w:firstLine="0" w:firstLineChars="0"/>
              <w:jc w:val="center"/>
              <w:rPr>
                <w:b/>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383" w:type="pct"/>
            <w:vAlign w:val="center"/>
          </w:tcPr>
          <w:p>
            <w:pPr>
              <w:suppressAutoHyphens/>
              <w:spacing w:line="240" w:lineRule="auto"/>
              <w:ind w:firstLine="0" w:firstLineChars="0"/>
              <w:jc w:val="center"/>
              <w:rPr>
                <w:b/>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42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生产设备及其零部件，必须有足够的强度刚度、稳定性和可靠性。在按规定条件制造、运输、贮存、安装和使用时，不得对人员造成危险。</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本项目所使用的设备及其零部件能满足使用要求。</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正常生产和使用过程中，不应向工作场所和大气排放超过国家标准规定的有害物质，不应产生超过国家标准规定的噪声、振动、辐射和其他污染。对可能产生的有害因素，必须在设计上采取有效措施加以防护。</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4.2</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本项目所使用的设备各项标准均符合国家规定，采取了相应的防护措施，完成了环境影响评价。</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在规定使用期限内，生产设备应满足使用环境要求，特别是满足防腐蚀、耐磨损、抗疲劳、抗老化和抵御失效的要求。</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本项目所选择的设备能满足环境使用要求。</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生产设备不应在振动、风载或其他可预见的外载荷作用下倾覆或产生允许范围外的运动。</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5.3.1</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本项目的生产设备均进行了良好的固定，能保证振动情况下的稳定性。</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信号和显示器应在安全、清晰、迅速的原则下，根据工艺流程、重要程度和使用频繁程度、配置在人员易看到和易听到的范围内。</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5.5.2</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本项目各工艺过程控制信号及显示器易于辨识。</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overflowPunct w:val="0"/>
              <w:spacing w:line="240" w:lineRule="auto"/>
              <w:ind w:firstLine="0" w:firstLineChars="0"/>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生产设备由紧急开关停车后，其残余能量可能引起危险时，必须设有与之联动的减缓运行或防逆转装置。必要时，应设有能迅速制动的安全装置。</w:t>
            </w:r>
          </w:p>
        </w:tc>
        <w:tc>
          <w:tcPr>
            <w:tcW w:w="1078" w:type="pct"/>
            <w:vAlign w:val="center"/>
          </w:tcPr>
          <w:p>
            <w:pPr>
              <w:overflowPunct w:val="0"/>
              <w:spacing w:line="240" w:lineRule="auto"/>
              <w:ind w:firstLine="0" w:firstLineChars="0"/>
              <w:jc w:val="center"/>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《生产设备安全卫生设计总则》（GB5083-1999）5.6.2.3</w:t>
            </w:r>
          </w:p>
        </w:tc>
        <w:tc>
          <w:tcPr>
            <w:tcW w:w="1253" w:type="pct"/>
            <w:vAlign w:val="center"/>
          </w:tcPr>
          <w:p>
            <w:pPr>
              <w:overflowPunct w:val="0"/>
              <w:adjustRightInd w:val="0"/>
              <w:spacing w:line="240" w:lineRule="auto"/>
              <w:ind w:firstLine="0" w:firstLineChars="0"/>
              <w:textAlignment w:val="baseline"/>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本项目生产设备已设置急停按钮</w:t>
            </w:r>
            <w:r>
              <w:rPr>
                <w:rFonts w:hint="eastAsia"/>
                <w:color w:val="000000" w:themeColor="text1"/>
                <w:kern w:val="0"/>
                <w:sz w:val="21"/>
                <w:szCs w:val="21"/>
                <w14:textFill>
                  <w14:solidFill>
                    <w14:schemeClr w14:val="tx1"/>
                  </w14:solidFill>
                </w14:textFill>
              </w:rPr>
              <w:t>及安全连锁。</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生产设备上供人员作业的工作位置应安全可靠。其工作空间应保证操作人员的头、臂、手、腿、足在正常作业中有充分的活动余地。</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本项目各生产设备供人员作业的工作位置安全可靠，能保证操作人员正常的作业</w:t>
            </w:r>
            <w:r>
              <w:rPr>
                <w:color w:val="000000" w:themeColor="text1"/>
                <w:kern w:val="0"/>
                <w:sz w:val="21"/>
                <w:szCs w:val="21"/>
                <w14:textFill>
                  <w14:solidFill>
                    <w14:schemeClr w14:val="tx1"/>
                  </w14:solidFill>
                </w14:textFill>
              </w:rPr>
              <w:t>。</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生产设备上的操作位置，宜能保证操作者交替采用坐姿和立姿。</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5.7.1</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本项目各生产车间根据实际的操作情况，设置操作位置，能满足操作者正常的操作姿势。</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操纵室必须保证人员操作的安全、方便和舒适。同时宜保证操作者在座位上能直接控制全部操作部位及操作件并使其具有良好的视野。</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5.7.3.1</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本项目生产车间各操作间能保证人员操作的安全、方便及舒适。</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若操作人员进行操作、维护、调节的工作位置在坠落基准面2m以上时，则必须在生产设备上配置供站立的平台和防坠落的护栏、护板或安全圈等。</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5.7.4</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本项目配备了带护栏的可移动登高梯在设备高处检维修作业时使用。</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生产设备必须保证操作点和操作区域有足够的照度，但要避免各种频闪效应和眩光现象。</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5.8.1</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本项目各作业场所均设置了照明设施，能保证操作的必须照度</w:t>
            </w:r>
            <w:r>
              <w:rPr>
                <w:color w:val="000000" w:themeColor="text1"/>
                <w:kern w:val="0"/>
                <w:sz w:val="21"/>
                <w:szCs w:val="21"/>
                <w14:textFill>
                  <w14:solidFill>
                    <w14:schemeClr w14:val="tx1"/>
                  </w14:solidFill>
                </w14:textFill>
              </w:rPr>
              <w:t>。</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设计生产设备，必须考虑检查和维修的安全性、方便性。必要时，应随设备配备专用检查、维修工具或装置。</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《生产设备安全卫生设计总则》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（GB5083-1999）</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5.10.1</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本项目设备的设计及安装均考虑了检查和维修的安全性、方便性，配备了专用的检查、维修工具。</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kern w:val="0"/>
                <w:sz w:val="21"/>
                <w:szCs w:val="21"/>
                <w14:textFill>
                  <w14:solidFill>
                    <w14:schemeClr w14:val="tx1"/>
                  </w14:solidFill>
                </w14:textFill>
              </w:rPr>
            </w:pPr>
            <w:r>
              <w:rPr>
                <w:color w:val="000000" w:themeColor="text1"/>
                <w:sz w:val="21"/>
                <w:szCs w:val="21"/>
                <w14:textFill>
                  <w14:solidFill>
                    <w14:schemeClr w14:val="tx1"/>
                  </w14:solidFill>
                </w14:textFill>
              </w:rPr>
              <w:t>危险性作业场所，应设置安全通道；应设应急照明、安全标志和疏散指示标志；门窗应向外开启；通道和出口应保持畅通；出入口的设置应符合有关规定。</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《生产过程安全卫生要求总则》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（GB/T 12801-2008）</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5.4.6</w:t>
            </w:r>
          </w:p>
        </w:tc>
        <w:tc>
          <w:tcPr>
            <w:tcW w:w="1253" w:type="pct"/>
            <w:vAlign w:val="center"/>
          </w:tcPr>
          <w:p>
            <w:pPr>
              <w:overflowPunct w:val="0"/>
              <w:spacing w:line="240" w:lineRule="auto"/>
              <w:ind w:firstLine="0" w:firstLineChars="0"/>
              <w:textAlignment w:val="baseline"/>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厂内安全出口标识，部分标识损坏。</w:t>
            </w:r>
          </w:p>
          <w:p>
            <w:pPr>
              <w:overflowPunct w:val="0"/>
              <w:spacing w:line="240" w:lineRule="auto"/>
              <w:ind w:firstLine="0" w:firstLineChars="0"/>
              <w:textAlignment w:val="baseline"/>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经整改，更换了损坏的安全出口标识。</w:t>
            </w:r>
          </w:p>
        </w:tc>
        <w:tc>
          <w:tcPr>
            <w:tcW w:w="383" w:type="pct"/>
            <w:vAlign w:val="center"/>
          </w:tcPr>
          <w:p>
            <w:pPr>
              <w:overflowPunct w:val="0"/>
              <w:spacing w:line="240" w:lineRule="auto"/>
              <w:ind w:firstLine="0" w:firstLineChars="0"/>
              <w:textAlignment w:val="baseline"/>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vAlign w:val="center"/>
          </w:tcPr>
          <w:p>
            <w:pPr>
              <w:numPr>
                <w:ilvl w:val="0"/>
                <w:numId w:val="41"/>
              </w:numPr>
              <w:tabs>
                <w:tab w:val="left" w:pos="630"/>
              </w:tabs>
              <w:spacing w:line="240" w:lineRule="auto"/>
              <w:ind w:firstLineChars="0"/>
              <w:jc w:val="center"/>
              <w:rPr>
                <w:color w:val="000000" w:themeColor="text1"/>
                <w:sz w:val="21"/>
                <w:szCs w:val="21"/>
                <w14:textFill>
                  <w14:solidFill>
                    <w14:schemeClr w14:val="tx1"/>
                  </w14:solidFill>
                </w14:textFill>
              </w:rPr>
            </w:pPr>
          </w:p>
        </w:tc>
        <w:tc>
          <w:tcPr>
            <w:tcW w:w="192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设备布置的原则：</w:t>
            </w:r>
          </w:p>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a. 便于操作和维护；</w:t>
            </w:r>
          </w:p>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b. 发生火灾或出现紧急情况时，便于人员撤离；</w:t>
            </w:r>
          </w:p>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 尽量避免生产装置之间危害因素的相互影响，减小对人员的综合作用；</w:t>
            </w:r>
          </w:p>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d. 布置具有潜在危险的设备时，应根据有关规定进行分散和隔离，并设置必要的提示、标志和警告信号；</w:t>
            </w:r>
          </w:p>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e. 对振动、爆炸敏感的设备，应进行隔离或设置屏蔽、防护墙、减振设施等；</w:t>
            </w:r>
          </w:p>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f. 设备的噪声超过有关标准规定时，应予以隔离；</w:t>
            </w:r>
          </w:p>
        </w:tc>
        <w:tc>
          <w:tcPr>
            <w:tcW w:w="107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《生产过程安全卫生要求总则》</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（GB/T 12801-2008）</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5.7.2</w:t>
            </w:r>
          </w:p>
        </w:tc>
        <w:tc>
          <w:tcPr>
            <w:tcW w:w="1253" w:type="pct"/>
            <w:vAlign w:val="center"/>
          </w:tcPr>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本项目周围没有对振动要求高的设备，均按相关要求规定进行布置，有足够的操作和检维修空间，便于操作和维护；</w:t>
            </w:r>
          </w:p>
          <w:p>
            <w:pPr>
              <w:spacing w:line="240" w:lineRule="auto"/>
              <w:ind w:firstLine="0" w:firstLineChars="0"/>
              <w:jc w:val="left"/>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本项目各生产厂房设有紧急出入口，发生火灾或出现紧急情况时人员能迅速撤离。</w:t>
            </w:r>
          </w:p>
        </w:tc>
        <w:tc>
          <w:tcPr>
            <w:tcW w:w="38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pPr>
        <w:pStyle w:val="6"/>
        <w:rPr>
          <w:color w:val="000000" w:themeColor="text1"/>
          <w14:textFill>
            <w14:solidFill>
              <w14:schemeClr w14:val="tx1"/>
            </w14:solidFill>
          </w14:textFill>
        </w:rPr>
      </w:pPr>
      <w:bookmarkStart w:id="802" w:name="_Toc51340723"/>
      <w:bookmarkStart w:id="803" w:name="_Toc458246017"/>
      <w:bookmarkStart w:id="804" w:name="_Toc129520673"/>
      <w:bookmarkStart w:id="805" w:name="_Toc103178334"/>
      <w:bookmarkStart w:id="806" w:name="_Toc21650"/>
      <w:bookmarkStart w:id="807" w:name="_Toc54294489"/>
      <w:bookmarkStart w:id="808" w:name="_Toc21380"/>
      <w:bookmarkStart w:id="809" w:name="_Toc103178336"/>
      <w:bookmarkStart w:id="810" w:name="_Toc54294491"/>
      <w:bookmarkStart w:id="811" w:name="_Toc458246019"/>
      <w:bookmarkStart w:id="812" w:name="_Toc51340725"/>
      <w:r>
        <w:rPr>
          <w:color w:val="000000" w:themeColor="text1"/>
          <w14:textFill>
            <w14:solidFill>
              <w14:schemeClr w14:val="tx1"/>
            </w14:solidFill>
          </w14:textFill>
        </w:rPr>
        <w:t>作业条件危险性分析</w:t>
      </w:r>
      <w:bookmarkEnd w:id="802"/>
      <w:bookmarkEnd w:id="803"/>
      <w:bookmarkEnd w:id="804"/>
      <w:bookmarkEnd w:id="805"/>
      <w:bookmarkEnd w:id="806"/>
      <w:bookmarkEnd w:id="807"/>
      <w:bookmarkEnd w:id="808"/>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本项目的生产工艺主要为</w:t>
      </w:r>
      <w:r>
        <w:rPr>
          <w:rFonts w:hint="eastAsia"/>
          <w:color w:val="000000" w:themeColor="text1"/>
          <w:szCs w:val="28"/>
          <w14:textFill>
            <w14:solidFill>
              <w14:schemeClr w14:val="tx1"/>
            </w14:solidFill>
          </w14:textFill>
        </w:rPr>
        <w:t>原辅料混合、吹塑、后处理、边角料破碎回收利用</w:t>
      </w:r>
      <w:r>
        <w:rPr>
          <w:color w:val="000000" w:themeColor="text1"/>
          <w:szCs w:val="28"/>
          <w14:textFill>
            <w14:solidFill>
              <w14:schemeClr w14:val="tx1"/>
            </w14:solidFill>
          </w14:textFill>
        </w:rPr>
        <w:t>等工序。由于生产中供配电、给排水</w:t>
      </w:r>
      <w:r>
        <w:rPr>
          <w:rFonts w:hint="eastAsia"/>
          <w:color w:val="000000" w:themeColor="text1"/>
          <w:szCs w:val="28"/>
          <w14:textFill>
            <w14:solidFill>
              <w14:schemeClr w14:val="tx1"/>
            </w14:solidFill>
          </w14:textFill>
        </w:rPr>
        <w:t>、供气系统</w:t>
      </w:r>
      <w:r>
        <w:rPr>
          <w:color w:val="000000" w:themeColor="text1"/>
          <w:szCs w:val="28"/>
          <w14:textFill>
            <w14:solidFill>
              <w14:schemeClr w14:val="tx1"/>
            </w14:solidFill>
          </w14:textFill>
        </w:rPr>
        <w:t>也具有一定</w:t>
      </w:r>
      <w:r>
        <w:rPr>
          <w:rFonts w:hint="eastAsia"/>
          <w:color w:val="000000" w:themeColor="text1"/>
          <w:szCs w:val="28"/>
          <w:lang w:eastAsia="zh-CN"/>
          <w14:textFill>
            <w14:solidFill>
              <w14:schemeClr w14:val="tx1"/>
            </w14:solidFill>
          </w14:textFill>
        </w:rPr>
        <w:t>的</w:t>
      </w:r>
      <w:r>
        <w:rPr>
          <w:color w:val="000000" w:themeColor="text1"/>
          <w:szCs w:val="28"/>
          <w14:textFill>
            <w14:solidFill>
              <w14:schemeClr w14:val="tx1"/>
            </w14:solidFill>
          </w14:textFill>
        </w:rPr>
        <w:t>危险性，因此也纳入此次生产工艺作业条件危险性分析。根据在生产过程中的操作条件及作业人员进入危险环境的频次，下面分别对各单元涉及的各参数进行取值计算。</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以</w:t>
      </w:r>
      <w:r>
        <w:rPr>
          <w:rFonts w:hint="eastAsia"/>
          <w:color w:val="000000" w:themeColor="text1"/>
          <w:szCs w:val="28"/>
          <w14:textFill>
            <w14:solidFill>
              <w14:schemeClr w14:val="tx1"/>
            </w14:solidFill>
          </w14:textFill>
        </w:rPr>
        <w:t>吹塑</w:t>
      </w:r>
      <w:r>
        <w:rPr>
          <w:color w:val="000000" w:themeColor="text1"/>
          <w:szCs w:val="28"/>
          <w14:textFill>
            <w14:solidFill>
              <w14:schemeClr w14:val="tx1"/>
            </w14:solidFill>
          </w14:textFill>
        </w:rPr>
        <w:t>工序为例，通过对该工序操作条件及危险性分析，可知该生产过程中有危险事件发生可能性L，由于是</w:t>
      </w:r>
      <w:r>
        <w:rPr>
          <w:rFonts w:hint="eastAsia"/>
          <w:color w:val="000000" w:themeColor="text1"/>
          <w:szCs w:val="28"/>
          <w14:textFill>
            <w14:solidFill>
              <w14:schemeClr w14:val="tx1"/>
            </w14:solidFill>
          </w14:textFill>
        </w:rPr>
        <w:t>不经常，但可能</w:t>
      </w:r>
      <w:r>
        <w:rPr>
          <w:color w:val="000000" w:themeColor="text1"/>
          <w:szCs w:val="28"/>
          <w14:textFill>
            <w14:solidFill>
              <w14:schemeClr w14:val="tx1"/>
            </w14:solidFill>
          </w14:textFill>
        </w:rPr>
        <w:t>，因此L值取3</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操作人员会</w:t>
      </w:r>
      <w:r>
        <w:rPr>
          <w:rFonts w:hint="eastAsia"/>
          <w:color w:val="000000" w:themeColor="text1"/>
          <w:szCs w:val="28"/>
          <w14:textFill>
            <w14:solidFill>
              <w14:schemeClr w14:val="tx1"/>
            </w14:solidFill>
          </w14:textFill>
        </w:rPr>
        <w:t>在工作时间</w:t>
      </w:r>
      <w:r>
        <w:rPr>
          <w:color w:val="000000" w:themeColor="text1"/>
          <w:szCs w:val="28"/>
          <w14:textFill>
            <w14:solidFill>
              <w14:schemeClr w14:val="tx1"/>
            </w14:solidFill>
          </w14:textFill>
        </w:rPr>
        <w:t>暴露在危险环境中，因此E值取6，根据该作业环境中产生的危害对人体的可能伤害程度为严重伤害，危险严重度C值取7。按照以上取值计算</w:t>
      </w:r>
      <w:r>
        <w:rPr>
          <w:rFonts w:hint="eastAsia"/>
          <w:color w:val="000000" w:themeColor="text1"/>
          <w:szCs w:val="28"/>
          <w14:textFill>
            <w14:solidFill>
              <w14:schemeClr w14:val="tx1"/>
            </w14:solidFill>
          </w14:textFill>
        </w:rPr>
        <w:t>：</w:t>
      </w:r>
    </w:p>
    <w:p>
      <w:pPr>
        <w:ind w:firstLine="2800" w:firstLineChars="1000"/>
        <w:rPr>
          <w:color w:val="000000" w:themeColor="text1"/>
          <w:szCs w:val="28"/>
          <w14:textFill>
            <w14:solidFill>
              <w14:schemeClr w14:val="tx1"/>
            </w14:solidFill>
          </w14:textFill>
        </w:rPr>
      </w:pPr>
      <w:r>
        <w:rPr>
          <w:color w:val="000000" w:themeColor="text1"/>
          <w:szCs w:val="28"/>
          <w14:textFill>
            <w14:solidFill>
              <w14:schemeClr w14:val="tx1"/>
            </w14:solidFill>
          </w14:textFill>
        </w:rPr>
        <w:t>危险性（D）=L×E×C</w:t>
      </w:r>
    </w:p>
    <w:p>
      <w:pPr>
        <w:ind w:firstLine="4480" w:firstLineChars="1600"/>
        <w:rPr>
          <w:color w:val="000000" w:themeColor="text1"/>
          <w:szCs w:val="28"/>
          <w14:textFill>
            <w14:solidFill>
              <w14:schemeClr w14:val="tx1"/>
            </w14:solidFill>
          </w14:textFill>
        </w:rPr>
      </w:pPr>
      <w:r>
        <w:rPr>
          <w:color w:val="000000" w:themeColor="text1"/>
          <w:szCs w:val="28"/>
          <w14:textFill>
            <w14:solidFill>
              <w14:schemeClr w14:val="tx1"/>
            </w14:solidFill>
          </w14:textFill>
        </w:rPr>
        <w:t>=3×6×7</w:t>
      </w:r>
    </w:p>
    <w:p>
      <w:pPr>
        <w:ind w:firstLine="4480" w:firstLineChars="1600"/>
        <w:rPr>
          <w:color w:val="000000" w:themeColor="text1"/>
          <w:szCs w:val="28"/>
          <w14:textFill>
            <w14:solidFill>
              <w14:schemeClr w14:val="tx1"/>
            </w14:solidFill>
          </w14:textFill>
        </w:rPr>
      </w:pPr>
      <w:r>
        <w:rPr>
          <w:color w:val="000000" w:themeColor="text1"/>
          <w:szCs w:val="28"/>
          <w14:textFill>
            <w14:solidFill>
              <w14:schemeClr w14:val="tx1"/>
            </w14:solidFill>
          </w14:textFill>
        </w:rPr>
        <w:t>=126</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对照危险性程度分级的分数值可以得出生产过程中的危险性程度为显著危险。按照以上方法取值，并计算D值。</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根据本项目生产过程中的操作条件及作业人员进入危险环境的频次，下面分别对其他各单元涉及的各参数进行取值计算，其结果列入下表。</w:t>
      </w:r>
    </w:p>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固有风险等级计算</w:t>
      </w:r>
      <w:r>
        <w:rPr>
          <w:rFonts w:ascii="宋体" w:hAnsi="宋体"/>
          <w:bCs/>
          <w:color w:val="000000" w:themeColor="text1"/>
          <w:sz w:val="24"/>
          <w14:textFill>
            <w14:solidFill>
              <w14:schemeClr w14:val="tx1"/>
            </w14:solidFill>
          </w14:textFill>
        </w:rPr>
        <w:t>结果</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7"/>
        <w:gridCol w:w="1276"/>
        <w:gridCol w:w="1157"/>
        <w:gridCol w:w="935"/>
        <w:gridCol w:w="1192"/>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tcBorders>
              <w:tl2br w:val="single" w:color="auto" w:sz="4" w:space="0"/>
            </w:tcBorders>
            <w:vAlign w:val="center"/>
          </w:tcPr>
          <w:p>
            <w:pPr>
              <w:adjustRightInd w:val="0"/>
              <w:spacing w:line="240" w:lineRule="auto"/>
              <w:ind w:firstLine="0" w:firstLineChars="0"/>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 xml:space="preserve">          项目工序</w:t>
            </w:r>
          </w:p>
        </w:tc>
        <w:tc>
          <w:tcPr>
            <w:tcW w:w="1276" w:type="dxa"/>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L</w:t>
            </w:r>
          </w:p>
        </w:tc>
        <w:tc>
          <w:tcPr>
            <w:tcW w:w="1157" w:type="dxa"/>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E</w:t>
            </w:r>
          </w:p>
        </w:tc>
        <w:tc>
          <w:tcPr>
            <w:tcW w:w="935" w:type="dxa"/>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C</w:t>
            </w:r>
          </w:p>
        </w:tc>
        <w:tc>
          <w:tcPr>
            <w:tcW w:w="1192" w:type="dxa"/>
            <w:vAlign w:val="center"/>
          </w:tcPr>
          <w:p>
            <w:pPr>
              <w:pStyle w:val="8"/>
              <w:spacing w:before="0" w:after="0" w:line="240" w:lineRule="auto"/>
              <w:ind w:firstLine="0" w:firstLineChars="0"/>
              <w:jc w:val="center"/>
              <w:rPr>
                <w:color w:val="000000" w:themeColor="text1"/>
                <w:kern w:val="2"/>
                <w:sz w:val="21"/>
                <w:szCs w:val="21"/>
                <w14:textFill>
                  <w14:solidFill>
                    <w14:schemeClr w14:val="tx1"/>
                  </w14:solidFill>
                </w14:textFill>
              </w:rPr>
            </w:pPr>
            <w:r>
              <w:rPr>
                <w:color w:val="000000" w:themeColor="text1"/>
                <w:kern w:val="2"/>
                <w:sz w:val="21"/>
                <w:szCs w:val="21"/>
                <w14:textFill>
                  <w14:solidFill>
                    <w14:schemeClr w14:val="tx1"/>
                  </w14:solidFill>
                </w14:textFill>
              </w:rPr>
              <w:t>D</w:t>
            </w:r>
          </w:p>
        </w:tc>
        <w:tc>
          <w:tcPr>
            <w:tcW w:w="1493" w:type="dxa"/>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危险程度分级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原辅料混合</w:t>
            </w:r>
          </w:p>
        </w:tc>
        <w:tc>
          <w:tcPr>
            <w:tcW w:w="127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5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3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192" w:type="dxa"/>
            <w:vAlign w:val="center"/>
          </w:tcPr>
          <w:p>
            <w:pPr>
              <w:adjustRightInd w:val="0"/>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54</w:t>
            </w:r>
          </w:p>
        </w:tc>
        <w:tc>
          <w:tcPr>
            <w:tcW w:w="1493"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吹塑</w:t>
            </w:r>
          </w:p>
        </w:tc>
        <w:tc>
          <w:tcPr>
            <w:tcW w:w="127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5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3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w:t>
            </w:r>
          </w:p>
        </w:tc>
        <w:tc>
          <w:tcPr>
            <w:tcW w:w="1192" w:type="dxa"/>
            <w:vAlign w:val="center"/>
          </w:tcPr>
          <w:p>
            <w:pPr>
              <w:adjustRightInd w:val="0"/>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126</w:t>
            </w:r>
          </w:p>
        </w:tc>
        <w:tc>
          <w:tcPr>
            <w:tcW w:w="1493" w:type="dxa"/>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显著危险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后处理</w:t>
            </w:r>
          </w:p>
        </w:tc>
        <w:tc>
          <w:tcPr>
            <w:tcW w:w="127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5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3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92" w:type="dxa"/>
            <w:vAlign w:val="center"/>
          </w:tcPr>
          <w:p>
            <w:pPr>
              <w:adjustRightInd w:val="0"/>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5</w:t>
            </w:r>
            <w:r>
              <w:rPr>
                <w:bCs/>
                <w:color w:val="000000" w:themeColor="text1"/>
                <w:sz w:val="21"/>
                <w:szCs w:val="21"/>
                <w14:textFill>
                  <w14:solidFill>
                    <w14:schemeClr w14:val="tx1"/>
                  </w14:solidFill>
                </w14:textFill>
              </w:rPr>
              <w:t>4</w:t>
            </w:r>
          </w:p>
        </w:tc>
        <w:tc>
          <w:tcPr>
            <w:tcW w:w="1493" w:type="dxa"/>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边角料破碎回收</w:t>
            </w:r>
          </w:p>
        </w:tc>
        <w:tc>
          <w:tcPr>
            <w:tcW w:w="127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5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3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192" w:type="dxa"/>
            <w:vAlign w:val="center"/>
          </w:tcPr>
          <w:p>
            <w:pPr>
              <w:adjustRightInd w:val="0"/>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54</w:t>
            </w:r>
          </w:p>
        </w:tc>
        <w:tc>
          <w:tcPr>
            <w:tcW w:w="1493" w:type="dxa"/>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供配电</w:t>
            </w:r>
          </w:p>
        </w:tc>
        <w:tc>
          <w:tcPr>
            <w:tcW w:w="127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57" w:type="dxa"/>
            <w:vAlign w:val="center"/>
          </w:tcPr>
          <w:p>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w:t>
            </w:r>
          </w:p>
        </w:tc>
        <w:tc>
          <w:tcPr>
            <w:tcW w:w="93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7</w:t>
            </w:r>
          </w:p>
        </w:tc>
        <w:tc>
          <w:tcPr>
            <w:tcW w:w="1192" w:type="dxa"/>
            <w:vAlign w:val="center"/>
          </w:tcPr>
          <w:p>
            <w:pPr>
              <w:adjustRightInd w:val="0"/>
              <w:spacing w:line="240" w:lineRule="auto"/>
              <w:ind w:firstLine="0" w:firstLineChars="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126</w:t>
            </w:r>
          </w:p>
        </w:tc>
        <w:tc>
          <w:tcPr>
            <w:tcW w:w="1493" w:type="dxa"/>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hAnsi="宋体"/>
                <w:color w:val="000000" w:themeColor="text1"/>
                <w:szCs w:val="28"/>
                <w14:textFill>
                  <w14:solidFill>
                    <w14:schemeClr w14:val="tx1"/>
                  </w14:solidFill>
                </w14:textFill>
              </w:rPr>
              <w:t>显著危险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给排水</w:t>
            </w:r>
          </w:p>
        </w:tc>
        <w:tc>
          <w:tcPr>
            <w:tcW w:w="127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5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93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92" w:type="dxa"/>
            <w:vAlign w:val="center"/>
          </w:tcPr>
          <w:p>
            <w:pPr>
              <w:adjustRightInd w:val="0"/>
              <w:spacing w:line="240" w:lineRule="auto"/>
              <w:ind w:firstLine="0" w:firstLineChars="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63</w:t>
            </w:r>
          </w:p>
        </w:tc>
        <w:tc>
          <w:tcPr>
            <w:tcW w:w="1493" w:type="dxa"/>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可能危险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2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供气系统</w:t>
            </w:r>
          </w:p>
        </w:tc>
        <w:tc>
          <w:tcPr>
            <w:tcW w:w="127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5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935" w:type="dxa"/>
            <w:vAlign w:val="center"/>
          </w:tcPr>
          <w:p>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1192" w:type="dxa"/>
            <w:vAlign w:val="center"/>
          </w:tcPr>
          <w:p>
            <w:pPr>
              <w:adjustRightInd w:val="0"/>
              <w:spacing w:line="240" w:lineRule="auto"/>
              <w:ind w:firstLine="0" w:firstLineChars="0"/>
              <w:jc w:val="center"/>
              <w:rPr>
                <w:rFonts w:hint="default" w:eastAsia="宋体"/>
                <w:bCs/>
                <w:color w:val="000000" w:themeColor="text1"/>
                <w:sz w:val="21"/>
                <w:szCs w:val="21"/>
                <w:lang w:val="en-US" w:eastAsia="zh-CN"/>
                <w14:textFill>
                  <w14:solidFill>
                    <w14:schemeClr w14:val="tx1"/>
                  </w14:solidFill>
                </w14:textFill>
              </w:rPr>
            </w:pPr>
            <w:r>
              <w:rPr>
                <w:rFonts w:hint="eastAsia"/>
                <w:bCs/>
                <w:color w:val="000000" w:themeColor="text1"/>
                <w:sz w:val="21"/>
                <w:szCs w:val="21"/>
                <w:lang w:val="en-US" w:eastAsia="zh-CN"/>
                <w14:textFill>
                  <w14:solidFill>
                    <w14:schemeClr w14:val="tx1"/>
                  </w14:solidFill>
                </w14:textFill>
              </w:rPr>
              <w:t>63</w:t>
            </w:r>
          </w:p>
        </w:tc>
        <w:tc>
          <w:tcPr>
            <w:tcW w:w="1493" w:type="dxa"/>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可能危险</w:t>
            </w:r>
          </w:p>
        </w:tc>
      </w:tr>
    </w:tbl>
    <w:p>
      <w:pPr>
        <w:ind w:firstLine="560"/>
        <w:rPr>
          <w:rFonts w:hAnsi="宋体"/>
          <w:color w:val="000000" w:themeColor="text1"/>
          <w:szCs w:val="28"/>
          <w14:textFill>
            <w14:solidFill>
              <w14:schemeClr w14:val="tx1"/>
            </w14:solidFill>
          </w14:textFill>
        </w:rPr>
      </w:pPr>
      <w:r>
        <w:rPr>
          <w:rFonts w:hint="eastAsia" w:hAnsi="宋体"/>
          <w:color w:val="000000" w:themeColor="text1"/>
          <w:szCs w:val="28"/>
          <w14:textFill>
            <w14:solidFill>
              <w14:schemeClr w14:val="tx1"/>
            </w14:solidFill>
          </w14:textFill>
        </w:rPr>
        <w:t>从上表可知，本项目吹塑系统</w:t>
      </w:r>
      <w:r>
        <w:rPr>
          <w:rFonts w:hint="eastAsia" w:hAnsi="宋体"/>
          <w:color w:val="000000" w:themeColor="text1"/>
          <w:szCs w:val="28"/>
          <w:lang w:eastAsia="zh-CN"/>
          <w14:textFill>
            <w14:solidFill>
              <w14:schemeClr w14:val="tx1"/>
            </w14:solidFill>
          </w14:textFill>
        </w:rPr>
        <w:t>、</w:t>
      </w:r>
      <w:r>
        <w:rPr>
          <w:rFonts w:hint="eastAsia"/>
          <w:color w:val="000000" w:themeColor="text1"/>
          <w:szCs w:val="28"/>
          <w14:textFill>
            <w14:solidFill>
              <w14:schemeClr w14:val="tx1"/>
            </w14:solidFill>
          </w14:textFill>
        </w:rPr>
        <w:t>供配电</w:t>
      </w:r>
      <w:r>
        <w:rPr>
          <w:rFonts w:hint="eastAsia" w:hAnsi="宋体"/>
          <w:color w:val="000000" w:themeColor="text1"/>
          <w:szCs w:val="28"/>
          <w14:textFill>
            <w14:solidFill>
              <w14:schemeClr w14:val="tx1"/>
            </w14:solidFill>
          </w14:textFill>
        </w:rPr>
        <w:t>为显著危险单元；原辅料混合、后处理、边角料破碎回收</w:t>
      </w:r>
      <w:r>
        <w:rPr>
          <w:rFonts w:hint="eastAsia"/>
          <w:color w:val="000000" w:themeColor="text1"/>
          <w:szCs w:val="28"/>
          <w14:textFill>
            <w14:solidFill>
              <w14:schemeClr w14:val="tx1"/>
            </w14:solidFill>
          </w14:textFill>
        </w:rPr>
        <w:t>、给排水、供气系统为</w:t>
      </w:r>
      <w:r>
        <w:rPr>
          <w:rFonts w:hint="eastAsia" w:hAnsi="宋体"/>
          <w:color w:val="000000" w:themeColor="text1"/>
          <w:szCs w:val="28"/>
          <w14:textFill>
            <w14:solidFill>
              <w14:schemeClr w14:val="tx1"/>
            </w14:solidFill>
          </w14:textFill>
        </w:rPr>
        <w:t>可能危险单元。</w:t>
      </w:r>
    </w:p>
    <w:p>
      <w:pPr>
        <w:ind w:firstLine="560"/>
        <w:rPr>
          <w:color w:val="000000" w:themeColor="text1"/>
          <w14:textFill>
            <w14:solidFill>
              <w14:schemeClr w14:val="tx1"/>
            </w14:solidFill>
          </w14:textFill>
        </w:rPr>
      </w:pPr>
      <w:r>
        <w:rPr>
          <w:rFonts w:hint="eastAsia" w:hAnsi="宋体"/>
          <w:color w:val="000000" w:themeColor="text1"/>
          <w:szCs w:val="28"/>
          <w14:textFill>
            <w14:solidFill>
              <w14:schemeClr w14:val="tx1"/>
            </w14:solidFill>
          </w14:textFill>
        </w:rPr>
        <w:t>在生产过程中应特别对显著危险单元生产的安全工作予以高度重视，并加强其它场所作业的安全管理，防微杜渐，严防事故的发生。日常还要加强设备维护管理、精心操作，杜绝违章作业；不断加强对操作人员的技术、技能培训，提高操作水平和危险自救互救能力。</w:t>
      </w:r>
    </w:p>
    <w:bookmarkEnd w:id="809"/>
    <w:p>
      <w:pPr>
        <w:pStyle w:val="6"/>
        <w:rPr>
          <w:color w:val="000000" w:themeColor="text1"/>
          <w14:textFill>
            <w14:solidFill>
              <w14:schemeClr w14:val="tx1"/>
            </w14:solidFill>
          </w14:textFill>
        </w:rPr>
      </w:pPr>
      <w:bookmarkStart w:id="813" w:name="_Toc103178337"/>
      <w:bookmarkStart w:id="814" w:name="_Toc129520674"/>
      <w:bookmarkStart w:id="815" w:name="_Toc2595"/>
      <w:bookmarkStart w:id="816" w:name="_Toc15304"/>
      <w:r>
        <w:rPr>
          <w:color w:val="000000" w:themeColor="text1"/>
          <w14:textFill>
            <w14:solidFill>
              <w14:schemeClr w14:val="tx1"/>
            </w14:solidFill>
          </w14:textFill>
        </w:rPr>
        <w:t>单元小结</w:t>
      </w:r>
      <w:bookmarkEnd w:id="810"/>
      <w:bookmarkEnd w:id="811"/>
      <w:bookmarkEnd w:id="812"/>
      <w:bookmarkEnd w:id="813"/>
      <w:bookmarkEnd w:id="814"/>
      <w:bookmarkEnd w:id="815"/>
      <w:bookmarkEnd w:id="816"/>
    </w:p>
    <w:p>
      <w:pPr>
        <w:numPr>
          <w:ilvl w:val="0"/>
          <w:numId w:val="42"/>
        </w:numPr>
        <w:adjustRightInd w:val="0"/>
        <w:snapToGrid w:val="0"/>
        <w:ind w:left="0" w:leftChars="0" w:firstLine="560" w:firstLineChars="200"/>
        <w:rPr>
          <w:color w:val="000000" w:themeColor="text1"/>
          <w:szCs w:val="28"/>
          <w14:textFill>
            <w14:solidFill>
              <w14:schemeClr w14:val="tx1"/>
            </w14:solidFill>
          </w14:textFill>
        </w:rPr>
      </w:pPr>
      <w:r>
        <w:rPr>
          <w:color w:val="000000" w:themeColor="text1"/>
          <w:szCs w:val="28"/>
          <w14:textFill>
            <w14:solidFill>
              <w14:schemeClr w14:val="tx1"/>
            </w14:solidFill>
          </w14:textFill>
        </w:rPr>
        <w:t>本项目生产工艺及设施评价单元符合</w:t>
      </w:r>
      <w:r>
        <w:rPr>
          <w:rFonts w:hint="eastAsia"/>
          <w:color w:val="000000" w:themeColor="text1"/>
          <w:szCs w:val="24"/>
          <w14:textFill>
            <w14:solidFill>
              <w14:schemeClr w14:val="tx1"/>
            </w14:solidFill>
          </w14:textFill>
        </w:rPr>
        <w:t>《生产设备安全卫生设计总则》（GB 5083-1999）、《生产过程安全卫生要求总则》（GB/T 12801-2008）</w:t>
      </w:r>
      <w:r>
        <w:rPr>
          <w:color w:val="000000" w:themeColor="text1"/>
          <w:szCs w:val="28"/>
          <w14:textFill>
            <w14:solidFill>
              <w14:schemeClr w14:val="tx1"/>
            </w14:solidFill>
          </w14:textFill>
        </w:rPr>
        <w:t>等国家相关标准、规范的规定和要求。</w:t>
      </w:r>
    </w:p>
    <w:p>
      <w:pPr>
        <w:numPr>
          <w:ilvl w:val="0"/>
          <w:numId w:val="42"/>
        </w:numPr>
        <w:adjustRightInd w:val="0"/>
        <w:snapToGrid w:val="0"/>
        <w:ind w:left="0" w:leftChars="0" w:firstLine="560" w:firstLineChars="200"/>
        <w:rPr>
          <w:color w:val="000000" w:themeColor="text1"/>
          <w:szCs w:val="28"/>
          <w14:textFill>
            <w14:solidFill>
              <w14:schemeClr w14:val="tx1"/>
            </w14:solidFill>
          </w14:textFill>
        </w:rPr>
      </w:pPr>
      <w:r>
        <w:rPr>
          <w:rFonts w:hint="eastAsia" w:hAnsi="宋体"/>
          <w:color w:val="000000" w:themeColor="text1"/>
          <w:szCs w:val="28"/>
          <w14:textFill>
            <w14:solidFill>
              <w14:schemeClr w14:val="tx1"/>
            </w14:solidFill>
          </w14:textFill>
        </w:rPr>
        <w:t>本项目吹塑系统</w:t>
      </w:r>
      <w:r>
        <w:rPr>
          <w:rFonts w:hint="eastAsia" w:hAnsi="宋体"/>
          <w:color w:val="000000" w:themeColor="text1"/>
          <w:szCs w:val="28"/>
          <w:lang w:eastAsia="zh-CN"/>
          <w14:textFill>
            <w14:solidFill>
              <w14:schemeClr w14:val="tx1"/>
            </w14:solidFill>
          </w14:textFill>
        </w:rPr>
        <w:t>、</w:t>
      </w:r>
      <w:r>
        <w:rPr>
          <w:rFonts w:hint="eastAsia"/>
          <w:color w:val="000000" w:themeColor="text1"/>
          <w:szCs w:val="28"/>
          <w14:textFill>
            <w14:solidFill>
              <w14:schemeClr w14:val="tx1"/>
            </w14:solidFill>
          </w14:textFill>
        </w:rPr>
        <w:t>供配电</w:t>
      </w:r>
      <w:r>
        <w:rPr>
          <w:rFonts w:hint="eastAsia" w:hAnsi="宋体"/>
          <w:color w:val="000000" w:themeColor="text1"/>
          <w:szCs w:val="28"/>
          <w14:textFill>
            <w14:solidFill>
              <w14:schemeClr w14:val="tx1"/>
            </w14:solidFill>
          </w14:textFill>
        </w:rPr>
        <w:t>为显著危险单元</w:t>
      </w:r>
      <w:r>
        <w:rPr>
          <w:rFonts w:hint="eastAsia"/>
          <w:color w:val="000000" w:themeColor="text1"/>
          <w:szCs w:val="28"/>
          <w14:textFill>
            <w14:solidFill>
              <w14:schemeClr w14:val="tx1"/>
            </w14:solidFill>
          </w14:textFill>
        </w:rPr>
        <w:t>；</w:t>
      </w:r>
      <w:r>
        <w:rPr>
          <w:rFonts w:hint="eastAsia" w:hAnsi="宋体"/>
          <w:color w:val="000000" w:themeColor="text1"/>
          <w:szCs w:val="28"/>
          <w14:textFill>
            <w14:solidFill>
              <w14:schemeClr w14:val="tx1"/>
            </w14:solidFill>
          </w14:textFill>
        </w:rPr>
        <w:t>原辅料混合、后处理、边角料破碎回收</w:t>
      </w:r>
      <w:r>
        <w:rPr>
          <w:rFonts w:hint="eastAsia"/>
          <w:color w:val="000000" w:themeColor="text1"/>
          <w:szCs w:val="28"/>
          <w14:textFill>
            <w14:solidFill>
              <w14:schemeClr w14:val="tx1"/>
            </w14:solidFill>
          </w14:textFill>
        </w:rPr>
        <w:t>、给排水、供气系统为</w:t>
      </w:r>
      <w:r>
        <w:rPr>
          <w:rFonts w:hint="eastAsia" w:hAnsi="宋体"/>
          <w:color w:val="000000" w:themeColor="text1"/>
          <w:szCs w:val="28"/>
          <w14:textFill>
            <w14:solidFill>
              <w14:schemeClr w14:val="tx1"/>
            </w14:solidFill>
          </w14:textFill>
        </w:rPr>
        <w:t>可能危险单元</w:t>
      </w:r>
      <w:r>
        <w:rPr>
          <w:color w:val="000000" w:themeColor="text1"/>
          <w:szCs w:val="28"/>
          <w14:textFill>
            <w14:solidFill>
              <w14:schemeClr w14:val="tx1"/>
            </w14:solidFill>
          </w14:textFill>
        </w:rPr>
        <w:t>。</w:t>
      </w:r>
    </w:p>
    <w:p>
      <w:pPr>
        <w:pStyle w:val="5"/>
        <w:rPr>
          <w:snapToGrid w:val="0"/>
          <w:color w:val="000000" w:themeColor="text1"/>
          <w14:textFill>
            <w14:solidFill>
              <w14:schemeClr w14:val="tx1"/>
            </w14:solidFill>
          </w14:textFill>
        </w:rPr>
      </w:pPr>
      <w:bookmarkStart w:id="817" w:name="_Toc51340726"/>
      <w:bookmarkStart w:id="818" w:name="_Toc129520675"/>
      <w:bookmarkStart w:id="819" w:name="_Toc103178338"/>
      <w:bookmarkStart w:id="820" w:name="_Toc15298"/>
      <w:bookmarkStart w:id="821" w:name="_Toc458246020"/>
      <w:bookmarkStart w:id="822" w:name="_Toc54294492"/>
      <w:bookmarkStart w:id="823" w:name="_Toc11573"/>
      <w:r>
        <w:rPr>
          <w:snapToGrid w:val="0"/>
          <w:color w:val="000000" w:themeColor="text1"/>
          <w14:textFill>
            <w14:solidFill>
              <w14:schemeClr w14:val="tx1"/>
            </w14:solidFill>
          </w14:textFill>
        </w:rPr>
        <w:t>常规防护设施评价单元</w:t>
      </w:r>
      <w:bookmarkEnd w:id="817"/>
      <w:bookmarkEnd w:id="818"/>
      <w:bookmarkEnd w:id="819"/>
      <w:bookmarkEnd w:id="820"/>
      <w:bookmarkEnd w:id="821"/>
      <w:bookmarkEnd w:id="822"/>
      <w:bookmarkEnd w:id="823"/>
    </w:p>
    <w:p>
      <w:pPr>
        <w:pStyle w:val="6"/>
        <w:rPr>
          <w:color w:val="000000" w:themeColor="text1"/>
          <w14:textFill>
            <w14:solidFill>
              <w14:schemeClr w14:val="tx1"/>
            </w14:solidFill>
          </w14:textFill>
        </w:rPr>
      </w:pPr>
      <w:bookmarkStart w:id="824" w:name="_Toc458246021"/>
      <w:bookmarkStart w:id="825" w:name="_Toc51340727"/>
      <w:bookmarkStart w:id="826" w:name="_Toc54294493"/>
      <w:bookmarkStart w:id="827" w:name="_Toc3938"/>
      <w:bookmarkStart w:id="828" w:name="_Toc103178339"/>
      <w:bookmarkStart w:id="829" w:name="_Toc129520676"/>
      <w:bookmarkStart w:id="830" w:name="_Toc12917"/>
      <w:r>
        <w:rPr>
          <w:rFonts w:hint="eastAsia"/>
          <w:color w:val="000000" w:themeColor="text1"/>
          <w14:textFill>
            <w14:solidFill>
              <w14:schemeClr w14:val="tx1"/>
            </w14:solidFill>
          </w14:textFill>
        </w:rPr>
        <w:t>常规防护设施</w:t>
      </w:r>
      <w:r>
        <w:rPr>
          <w:color w:val="000000" w:themeColor="text1"/>
          <w14:textFill>
            <w14:solidFill>
              <w14:schemeClr w14:val="tx1"/>
            </w14:solidFill>
          </w14:textFill>
        </w:rPr>
        <w:t>安全检查</w:t>
      </w:r>
      <w:bookmarkEnd w:id="824"/>
      <w:bookmarkEnd w:id="825"/>
      <w:bookmarkEnd w:id="826"/>
      <w:bookmarkEnd w:id="827"/>
      <w:bookmarkEnd w:id="828"/>
      <w:bookmarkEnd w:id="829"/>
      <w:bookmarkEnd w:id="830"/>
    </w:p>
    <w:p>
      <w:p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根据《安全色》（GB2893-2008）、《安全标志及其使用导则》（GB2894-2008）、</w:t>
      </w:r>
      <w:r>
        <w:rPr>
          <w:rFonts w:hint="eastAsia"/>
          <w:color w:val="000000" w:themeColor="text1"/>
          <w:szCs w:val="28"/>
          <w14:textFill>
            <w14:solidFill>
              <w14:schemeClr w14:val="tx1"/>
            </w14:solidFill>
          </w14:textFill>
        </w:rPr>
        <w:t>《</w:t>
      </w:r>
      <w:r>
        <w:rPr>
          <w:rFonts w:hint="eastAsia"/>
          <w:color w:val="000000" w:themeColor="text1"/>
          <w:szCs w:val="28"/>
          <w:lang w:eastAsia="zh-CN"/>
          <w14:textFill>
            <w14:solidFill>
              <w14:schemeClr w14:val="tx1"/>
            </w14:solidFill>
          </w14:textFill>
        </w:rPr>
        <w:t>工业管道的基本识别色、识别符号和安全标识</w:t>
      </w:r>
      <w:r>
        <w:rPr>
          <w:rFonts w:hint="eastAsia"/>
          <w:color w:val="000000" w:themeColor="text1"/>
          <w:szCs w:val="28"/>
          <w14:textFill>
            <w14:solidFill>
              <w14:schemeClr w14:val="tx1"/>
            </w14:solidFill>
          </w14:textFill>
        </w:rPr>
        <w:t>》（GB 7231-2003）</w:t>
      </w:r>
      <w:r>
        <w:rPr>
          <w:color w:val="000000" w:themeColor="text1"/>
          <w:szCs w:val="28"/>
          <w14:textFill>
            <w14:solidFill>
              <w14:schemeClr w14:val="tx1"/>
            </w14:solidFill>
          </w14:textFill>
        </w:rPr>
        <w:t>、《</w:t>
      </w:r>
      <w:r>
        <w:rPr>
          <w:rFonts w:hint="eastAsia"/>
          <w:color w:val="000000" w:themeColor="text1"/>
          <w:szCs w:val="28"/>
          <w:lang w:eastAsia="zh-CN"/>
          <w14:textFill>
            <w14:solidFill>
              <w14:schemeClr w14:val="tx1"/>
            </w14:solidFill>
          </w14:textFill>
        </w:rPr>
        <w:t>机械安全 防护装置 固定式和活动式防护装置的设计与制造一般要求</w:t>
      </w:r>
      <w:r>
        <w:rPr>
          <w:color w:val="000000" w:themeColor="text1"/>
          <w:szCs w:val="28"/>
          <w14:textFill>
            <w14:solidFill>
              <w14:schemeClr w14:val="tx1"/>
            </w14:solidFill>
          </w14:textFill>
        </w:rPr>
        <w:t>》（GB/T 8196-2018）</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梯子 第6部分：可移动式平台梯</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GB/T 17889.6-2019</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等规范的要求，对本项目的常规防护设施和措施进行检查，其检查结果见下表。</w:t>
      </w:r>
    </w:p>
    <w:p>
      <w:pPr>
        <w:numPr>
          <w:ilvl w:val="0"/>
          <w:numId w:val="34"/>
        </w:numPr>
        <w:adjustRightInd w:val="0"/>
        <w:snapToGrid w:val="0"/>
        <w:ind w:firstLine="48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常规防护设施和措施安全检查表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2981"/>
        <w:gridCol w:w="1838"/>
        <w:gridCol w:w="2297"/>
        <w:gridCol w:w="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9" w:type="pct"/>
            <w:vAlign w:val="center"/>
          </w:tcPr>
          <w:p>
            <w:pPr>
              <w:spacing w:line="240" w:lineRule="auto"/>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序号</w:t>
            </w:r>
          </w:p>
        </w:tc>
        <w:tc>
          <w:tcPr>
            <w:tcW w:w="1750" w:type="pct"/>
            <w:vAlign w:val="center"/>
          </w:tcPr>
          <w:p>
            <w:pPr>
              <w:suppressAutoHyphens/>
              <w:spacing w:line="240" w:lineRule="auto"/>
              <w:ind w:firstLine="0" w:firstLineChars="0"/>
              <w:jc w:val="center"/>
              <w:rPr>
                <w:b/>
                <w:bCs/>
                <w:snapToGrid w:val="0"/>
                <w:color w:val="000000" w:themeColor="text1"/>
                <w:kern w:val="0"/>
                <w:sz w:val="21"/>
                <w:szCs w:val="21"/>
                <w14:textFill>
                  <w14:solidFill>
                    <w14:schemeClr w14:val="tx1"/>
                  </w14:solidFill>
                </w14:textFill>
              </w:rPr>
            </w:pPr>
            <w:r>
              <w:rPr>
                <w:b/>
                <w:bCs/>
                <w:snapToGrid w:val="0"/>
                <w:color w:val="000000" w:themeColor="text1"/>
                <w:kern w:val="0"/>
                <w:sz w:val="21"/>
                <w:szCs w:val="21"/>
                <w14:textFill>
                  <w14:solidFill>
                    <w14:schemeClr w14:val="tx1"/>
                  </w14:solidFill>
                </w14:textFill>
              </w:rPr>
              <w:t>检查内容</w:t>
            </w:r>
          </w:p>
        </w:tc>
        <w:tc>
          <w:tcPr>
            <w:tcW w:w="1078" w:type="pct"/>
            <w:vAlign w:val="center"/>
          </w:tcPr>
          <w:p>
            <w:pPr>
              <w:suppressAutoHyphens/>
              <w:spacing w:line="240" w:lineRule="auto"/>
              <w:ind w:firstLine="0" w:firstLineChars="0"/>
              <w:jc w:val="center"/>
              <w:rPr>
                <w:b/>
                <w:bCs/>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检查依据</w:t>
            </w:r>
          </w:p>
        </w:tc>
        <w:tc>
          <w:tcPr>
            <w:tcW w:w="1348" w:type="pct"/>
            <w:vAlign w:val="center"/>
          </w:tcPr>
          <w:p>
            <w:pPr>
              <w:suppressAutoHyphens/>
              <w:spacing w:line="240" w:lineRule="auto"/>
              <w:ind w:firstLine="0" w:firstLineChars="0"/>
              <w:jc w:val="center"/>
              <w:rPr>
                <w:b/>
                <w:bCs/>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453" w:type="pct"/>
            <w:vAlign w:val="center"/>
          </w:tcPr>
          <w:p>
            <w:pPr>
              <w:suppressAutoHyphens/>
              <w:spacing w:line="240" w:lineRule="auto"/>
              <w:ind w:firstLine="0" w:firstLineChars="0"/>
              <w:jc w:val="center"/>
              <w:rPr>
                <w:b/>
                <w:bCs/>
                <w:snapToGrid w:val="0"/>
                <w:color w:val="000000" w:themeColor="text1"/>
                <w:kern w:val="0"/>
                <w:sz w:val="21"/>
                <w:szCs w:val="21"/>
                <w14:textFill>
                  <w14:solidFill>
                    <w14:schemeClr w14:val="tx1"/>
                  </w14:solidFill>
                </w14:textFill>
              </w:rPr>
            </w:pPr>
            <w:r>
              <w:rPr>
                <w:b/>
                <w:color w:val="000000" w:themeColor="text1"/>
                <w:sz w:val="21"/>
                <w:szCs w:val="21"/>
                <w14:textFill>
                  <w14:solidFill>
                    <w14:schemeClr w14:val="tx1"/>
                  </w14:solidFill>
                </w14:textFill>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安全色与安全标识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numPr>
                <w:ilvl w:val="0"/>
                <w:numId w:val="43"/>
              </w:numPr>
              <w:adjustRightInd w:val="0"/>
              <w:snapToGrid w:val="0"/>
              <w:spacing w:line="240" w:lineRule="auto"/>
              <w:ind w:firstLineChars="0"/>
              <w:jc w:val="center"/>
              <w:rPr>
                <w:color w:val="000000" w:themeColor="text1"/>
                <w:sz w:val="21"/>
                <w:szCs w:val="21"/>
                <w14:textFill>
                  <w14:solidFill>
                    <w14:schemeClr w14:val="tx1"/>
                  </w14:solidFill>
                </w14:textFill>
              </w:rPr>
            </w:pPr>
          </w:p>
        </w:tc>
        <w:tc>
          <w:tcPr>
            <w:tcW w:w="1750"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厂内设置的安全标识应符合标准《安全色》GB2893-2008和《安全标志及其使用导则》GB2894-2008的相关要求。</w:t>
            </w:r>
          </w:p>
        </w:tc>
        <w:tc>
          <w:tcPr>
            <w:tcW w:w="1078" w:type="pct"/>
            <w:vAlign w:val="center"/>
          </w:tcPr>
          <w:p>
            <w:pPr>
              <w:tabs>
                <w:tab w:val="left" w:pos="2898"/>
              </w:tabs>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《安全色》（GB2893-2008）</w:t>
            </w:r>
          </w:p>
          <w:p>
            <w:pPr>
              <w:tabs>
                <w:tab w:val="left" w:pos="2898"/>
              </w:tabs>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《安全标志及其使用导则》</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（GB2894-2008）</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现场安全警示标志不完善。</w:t>
            </w:r>
          </w:p>
          <w:p>
            <w:pPr>
              <w:tabs>
                <w:tab w:val="left" w:pos="2898"/>
              </w:tabs>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经整改，增设了</w:t>
            </w:r>
            <w:r>
              <w:rPr>
                <w:color w:val="000000" w:themeColor="text1"/>
                <w:sz w:val="21"/>
                <w:szCs w:val="21"/>
                <w14:textFill>
                  <w14:solidFill>
                    <w14:schemeClr w14:val="tx1"/>
                  </w14:solidFill>
                </w14:textFill>
              </w:rPr>
              <w:t>安全警示标志</w:t>
            </w:r>
            <w:r>
              <w:rPr>
                <w:rFonts w:hint="eastAsia"/>
                <w:color w:val="000000" w:themeColor="text1"/>
                <w:sz w:val="21"/>
                <w:szCs w:val="21"/>
                <w14:textFill>
                  <w14:solidFill>
                    <w14:schemeClr w14:val="tx1"/>
                  </w14:solidFill>
                </w14:textFill>
              </w:rPr>
              <w:t>。</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GB/T 17889.6-2019 梯子 第6部分：可移动式平台梯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平台在水平面上的投影不应超出梯子与地面的接触区域，但由于轮脚旋转或平台梯的其他设计因素而产生偏心时，平台在水平面上的投影超出梯子与地面接触区域的距离不应大于1</w:t>
            </w:r>
            <w:r>
              <w:rPr>
                <w:color w:val="000000" w:themeColor="text1"/>
                <w:kern w:val="0"/>
                <w:sz w:val="21"/>
                <w:szCs w:val="21"/>
                <w14:textFill>
                  <w14:solidFill>
                    <w14:schemeClr w14:val="tx1"/>
                  </w14:solidFill>
                </w14:textFill>
              </w:rPr>
              <w:t>00</w:t>
            </w:r>
            <w:r>
              <w:rPr>
                <w:rFonts w:hint="eastAsia"/>
                <w:color w:val="000000" w:themeColor="text1"/>
                <w:kern w:val="0"/>
                <w:sz w:val="21"/>
                <w:szCs w:val="21"/>
                <w14:textFill>
                  <w14:solidFill>
                    <w14:schemeClr w14:val="tx1"/>
                  </w14:solidFill>
                </w14:textFill>
              </w:rPr>
              <w:t>mm。</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梯子 第6部分：可移动式平台梯</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GB/T 17889.6-2019</w:t>
            </w:r>
            <w:r>
              <w:rPr>
                <w:rFonts w:hint="eastAsia"/>
                <w:color w:val="000000" w:themeColor="text1"/>
                <w:sz w:val="21"/>
                <w:szCs w:val="21"/>
                <w14:textFill>
                  <w14:solidFill>
                    <w14:schemeClr w14:val="tx1"/>
                  </w14:solidFill>
                </w14:textFill>
              </w:rPr>
              <w:t>）</w:t>
            </w:r>
          </w:p>
          <w:p>
            <w:pPr>
              <w:tabs>
                <w:tab w:val="left" w:pos="2898"/>
              </w:tabs>
              <w:spacing w:line="240" w:lineRule="auto"/>
              <w:ind w:firstLine="0" w:firstLineChars="0"/>
              <w:jc w:val="center"/>
            </w:pPr>
            <w:r>
              <w:rPr>
                <w:rFonts w:hint="eastAsia"/>
                <w:color w:val="000000" w:themeColor="text1"/>
                <w:kern w:val="0"/>
                <w:sz w:val="21"/>
                <w:szCs w:val="21"/>
                <w14:textFill>
                  <w14:solidFill>
                    <w14:schemeClr w14:val="tx1"/>
                  </w14:solidFill>
                </w14:textFill>
              </w:rPr>
              <w:t>5</w:t>
            </w:r>
            <w:r>
              <w:rPr>
                <w:color w:val="000000" w:themeColor="text1"/>
                <w:kern w:val="0"/>
                <w:sz w:val="21"/>
                <w:szCs w:val="21"/>
                <w14:textFill>
                  <w14:solidFill>
                    <w14:schemeClr w14:val="tx1"/>
                  </w14:solidFill>
                </w14:textFill>
              </w:rPr>
              <w:t>.3</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本项目可移动式平台梯平台水平面上投影未超出梯子与地面的接触区域。</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平台应牢固固定到梯子上，除了攀爬的一侧，在其他侧面都应该安装踢脚板；平台尺寸应在</w:t>
            </w:r>
            <w:r>
              <w:rPr>
                <w:color w:val="000000" w:themeColor="text1"/>
                <w:kern w:val="0"/>
                <w:sz w:val="21"/>
                <w:szCs w:val="21"/>
                <w14:textFill>
                  <w14:solidFill>
                    <w14:schemeClr w14:val="tx1"/>
                  </w14:solidFill>
                </w14:textFill>
              </w:rPr>
              <w:t>400</w:t>
            </w:r>
            <w:r>
              <w:rPr>
                <w:rFonts w:hint="eastAsia"/>
                <w:color w:val="000000" w:themeColor="text1"/>
                <w:kern w:val="0"/>
                <w:sz w:val="21"/>
                <w:szCs w:val="21"/>
                <w14:textFill>
                  <w14:solidFill>
                    <w14:schemeClr w14:val="tx1"/>
                  </w14:solidFill>
                </w14:textFill>
              </w:rPr>
              <w:t>mm</w:t>
            </w:r>
            <w:r>
              <w:rPr>
                <w:rFonts w:hint="eastAsia"/>
                <w:color w:val="000000" w:themeColor="text1"/>
                <w:kern w:val="0"/>
                <w:sz w:val="21"/>
                <w:szCs w:val="21"/>
                <w:lang w:eastAsia="zh-CN"/>
                <w14:textFill>
                  <w14:solidFill>
                    <w14:schemeClr w14:val="tx1"/>
                  </w14:solidFill>
                </w14:textFill>
              </w:rPr>
              <w:t>～</w:t>
            </w:r>
            <w:r>
              <w:rPr>
                <w:color w:val="000000" w:themeColor="text1"/>
                <w:kern w:val="0"/>
                <w:sz w:val="21"/>
                <w:szCs w:val="21"/>
                <w14:textFill>
                  <w14:solidFill>
                    <w14:schemeClr w14:val="tx1"/>
                  </w14:solidFill>
                </w14:textFill>
              </w:rPr>
              <w:t>1000</w:t>
            </w:r>
            <w:r>
              <w:rPr>
                <w:rFonts w:hint="eastAsia"/>
                <w:color w:val="000000" w:themeColor="text1"/>
                <w:kern w:val="0"/>
                <w:sz w:val="21"/>
                <w:szCs w:val="21"/>
                <w14:textFill>
                  <w14:solidFill>
                    <w14:schemeClr w14:val="tx1"/>
                  </w14:solidFill>
                </w14:textFill>
              </w:rPr>
              <w:t>mm之间；踢脚板上应至少高出平台50mm，除非</w:t>
            </w:r>
            <w:r>
              <w:rPr>
                <w:rFonts w:hint="eastAsia"/>
                <w:color w:val="000000" w:themeColor="text1"/>
                <w:kern w:val="0"/>
                <w:sz w:val="21"/>
                <w:szCs w:val="21"/>
                <w:lang w:eastAsia="zh-CN"/>
                <w14:textFill>
                  <w14:solidFill>
                    <w14:schemeClr w14:val="tx1"/>
                  </w14:solidFill>
                </w14:textFill>
              </w:rPr>
              <w:t>在进入</w:t>
            </w:r>
            <w:r>
              <w:rPr>
                <w:rFonts w:hint="eastAsia"/>
                <w:color w:val="000000" w:themeColor="text1"/>
                <w:kern w:val="0"/>
                <w:sz w:val="21"/>
                <w:szCs w:val="21"/>
                <w14:textFill>
                  <w14:solidFill>
                    <w14:schemeClr w14:val="tx1"/>
                  </w14:solidFill>
                </w14:textFill>
              </w:rPr>
              <w:t>或离开平台时踢脚板可以拆卸，否则</w:t>
            </w:r>
            <w:r>
              <w:rPr>
                <w:rFonts w:hint="eastAsia"/>
                <w:color w:val="000000" w:themeColor="text1"/>
                <w:kern w:val="0"/>
                <w:sz w:val="21"/>
                <w:szCs w:val="21"/>
                <w:lang w:eastAsia="zh-CN"/>
                <w14:textFill>
                  <w14:solidFill>
                    <w14:schemeClr w14:val="tx1"/>
                  </w14:solidFill>
                </w14:textFill>
              </w:rPr>
              <w:t>在进入</w:t>
            </w:r>
            <w:r>
              <w:rPr>
                <w:rFonts w:hint="eastAsia"/>
                <w:color w:val="000000" w:themeColor="text1"/>
                <w:kern w:val="0"/>
                <w:sz w:val="21"/>
                <w:szCs w:val="21"/>
                <w14:textFill>
                  <w14:solidFill>
                    <w14:schemeClr w14:val="tx1"/>
                  </w14:solidFill>
                </w14:textFill>
              </w:rPr>
              <w:t>侧不准许安装踢脚板。</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梯子 第6部分：可移动式平台梯</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GB/T 17889.6-2019</w:t>
            </w:r>
            <w:r>
              <w:rPr>
                <w:rFonts w:hint="eastAsia"/>
                <w:color w:val="000000" w:themeColor="text1"/>
                <w:sz w:val="21"/>
                <w:szCs w:val="21"/>
                <w14:textFill>
                  <w14:solidFill>
                    <w14:schemeClr w14:val="tx1"/>
                  </w14:solidFill>
                </w14:textFill>
              </w:rPr>
              <w:t>）</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r>
              <w:rPr>
                <w:color w:val="000000" w:themeColor="text1"/>
                <w:kern w:val="0"/>
                <w:sz w:val="21"/>
                <w:szCs w:val="21"/>
                <w14:textFill>
                  <w14:solidFill>
                    <w14:schemeClr w14:val="tx1"/>
                  </w14:solidFill>
                </w14:textFill>
              </w:rPr>
              <w:t>.4</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本项目可移动式平台梯平台踢脚板安装规范。</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所有轮脚都应安装脚轮制动装置以便在使用时制动。</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梯子 第6部分：可移动式平台梯</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GB/T 17889.6-2019</w:t>
            </w:r>
            <w:r>
              <w:rPr>
                <w:rFonts w:hint="eastAsia"/>
                <w:color w:val="000000" w:themeColor="text1"/>
                <w:sz w:val="21"/>
                <w:szCs w:val="21"/>
                <w14:textFill>
                  <w14:solidFill>
                    <w14:schemeClr w14:val="tx1"/>
                  </w14:solidFill>
                </w14:textFill>
              </w:rPr>
              <w:t>）</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r>
              <w:rPr>
                <w:color w:val="000000" w:themeColor="text1"/>
                <w:kern w:val="0"/>
                <w:sz w:val="21"/>
                <w:szCs w:val="21"/>
                <w14:textFill>
                  <w14:solidFill>
                    <w14:schemeClr w14:val="tx1"/>
                  </w14:solidFill>
                </w14:textFill>
              </w:rPr>
              <w:t>.6</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本项目可移动式平台梯轮脚均安装有制动器，并完好有效。</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从平台到护栏顶部的高度w应满足9</w:t>
            </w:r>
            <w:r>
              <w:rPr>
                <w:color w:val="000000" w:themeColor="text1"/>
                <w:kern w:val="0"/>
                <w:sz w:val="21"/>
                <w:szCs w:val="21"/>
                <w14:textFill>
                  <w14:solidFill>
                    <w14:schemeClr w14:val="tx1"/>
                  </w14:solidFill>
                </w14:textFill>
              </w:rPr>
              <w:t>50</w:t>
            </w:r>
            <w:r>
              <w:rPr>
                <w:rFonts w:hint="eastAsia"/>
                <w:color w:val="000000" w:themeColor="text1"/>
                <w:kern w:val="0"/>
                <w:sz w:val="21"/>
                <w:szCs w:val="21"/>
                <w14:textFill>
                  <w14:solidFill>
                    <w14:schemeClr w14:val="tx1"/>
                  </w14:solidFill>
                </w14:textFill>
              </w:rPr>
              <w:t>mm≤</w:t>
            </w:r>
            <w:r>
              <w:rPr>
                <w:color w:val="000000" w:themeColor="text1"/>
                <w:kern w:val="0"/>
                <w:sz w:val="21"/>
                <w:szCs w:val="21"/>
                <w14:textFill>
                  <w14:solidFill>
                    <w14:schemeClr w14:val="tx1"/>
                  </w14:solidFill>
                </w14:textFill>
              </w:rPr>
              <w:t>w</w:t>
            </w:r>
            <w:r>
              <w:rPr>
                <w:rFonts w:hint="eastAsia"/>
                <w:color w:val="000000" w:themeColor="text1"/>
                <w:kern w:val="0"/>
                <w:sz w:val="21"/>
                <w:szCs w:val="21"/>
                <w14:textFill>
                  <w14:solidFill>
                    <w14:schemeClr w14:val="tx1"/>
                  </w14:solidFill>
                </w14:textFill>
              </w:rPr>
              <w:t>≤1</w:t>
            </w:r>
            <w:r>
              <w:rPr>
                <w:color w:val="000000" w:themeColor="text1"/>
                <w:kern w:val="0"/>
                <w:sz w:val="21"/>
                <w:szCs w:val="21"/>
                <w14:textFill>
                  <w14:solidFill>
                    <w14:schemeClr w14:val="tx1"/>
                  </w14:solidFill>
                </w14:textFill>
              </w:rPr>
              <w:t>100</w:t>
            </w:r>
            <w:r>
              <w:rPr>
                <w:rFonts w:hint="eastAsia"/>
                <w:color w:val="000000" w:themeColor="text1"/>
                <w:kern w:val="0"/>
                <w:sz w:val="21"/>
                <w:szCs w:val="21"/>
                <w14:textFill>
                  <w14:solidFill>
                    <w14:schemeClr w14:val="tx1"/>
                  </w14:solidFill>
                </w14:textFill>
              </w:rPr>
              <w:t>mm，直径4</w:t>
            </w:r>
            <w:r>
              <w:rPr>
                <w:color w:val="000000" w:themeColor="text1"/>
                <w:kern w:val="0"/>
                <w:sz w:val="21"/>
                <w:szCs w:val="21"/>
                <w14:textFill>
                  <w14:solidFill>
                    <w14:schemeClr w14:val="tx1"/>
                  </w14:solidFill>
                </w14:textFill>
              </w:rPr>
              <w:t>70</w:t>
            </w:r>
            <w:r>
              <w:rPr>
                <w:rFonts w:hint="eastAsia"/>
                <w:color w:val="000000" w:themeColor="text1"/>
                <w:kern w:val="0"/>
                <w:sz w:val="21"/>
                <w:szCs w:val="21"/>
                <w14:textFill>
                  <w14:solidFill>
                    <w14:schemeClr w14:val="tx1"/>
                  </w14:solidFill>
                </w14:textFill>
              </w:rPr>
              <w:t>mm的球体应不能从护栏的任何空隙通过。</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梯子 第6部分：可移动式平台梯</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GB/T 17889.6-2019</w:t>
            </w:r>
            <w:r>
              <w:rPr>
                <w:rFonts w:hint="eastAsia"/>
                <w:color w:val="000000" w:themeColor="text1"/>
                <w:sz w:val="21"/>
                <w:szCs w:val="21"/>
                <w14:textFill>
                  <w14:solidFill>
                    <w14:schemeClr w14:val="tx1"/>
                  </w14:solidFill>
                </w14:textFill>
              </w:rPr>
              <w:t>）</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r>
              <w:rPr>
                <w:color w:val="000000" w:themeColor="text1"/>
                <w:kern w:val="0"/>
                <w:sz w:val="21"/>
                <w:szCs w:val="21"/>
                <w14:textFill>
                  <w14:solidFill>
                    <w14:schemeClr w14:val="tx1"/>
                  </w14:solidFill>
                </w14:textFill>
              </w:rPr>
              <w:t>.7</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本项目可移动式平台梯护栏高度及空隙均满足使用要求。</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在平台梯的攀爬侧，应安装刚性或柔性的门，如挂链、绳子等，且直径4</w:t>
            </w:r>
            <w:r>
              <w:rPr>
                <w:color w:val="000000" w:themeColor="text1"/>
                <w:kern w:val="0"/>
                <w:sz w:val="21"/>
                <w:szCs w:val="21"/>
                <w14:textFill>
                  <w14:solidFill>
                    <w14:schemeClr w14:val="tx1"/>
                  </w14:solidFill>
                </w14:textFill>
              </w:rPr>
              <w:t>70</w:t>
            </w:r>
            <w:r>
              <w:rPr>
                <w:rFonts w:hint="eastAsia"/>
                <w:color w:val="000000" w:themeColor="text1"/>
                <w:kern w:val="0"/>
                <w:sz w:val="21"/>
                <w:szCs w:val="21"/>
                <w14:textFill>
                  <w14:solidFill>
                    <w14:schemeClr w14:val="tx1"/>
                  </w14:solidFill>
                </w14:textFill>
              </w:rPr>
              <w:t>mm的球体应不能从门的任何空隙通过。</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梯子 第6部分：可移动式平台梯</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GB/T 17889.6-2019</w:t>
            </w:r>
            <w:r>
              <w:rPr>
                <w:rFonts w:hint="eastAsia"/>
                <w:color w:val="000000" w:themeColor="text1"/>
                <w:sz w:val="21"/>
                <w:szCs w:val="21"/>
                <w14:textFill>
                  <w14:solidFill>
                    <w14:schemeClr w14:val="tx1"/>
                  </w14:solidFill>
                </w14:textFill>
              </w:rPr>
              <w:t>）</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r>
              <w:rPr>
                <w:color w:val="000000" w:themeColor="text1"/>
                <w:kern w:val="0"/>
                <w:sz w:val="21"/>
                <w:szCs w:val="21"/>
                <w14:textFill>
                  <w14:solidFill>
                    <w14:schemeClr w14:val="tx1"/>
                  </w14:solidFill>
                </w14:textFill>
              </w:rPr>
              <w:t>.8</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本项目可移动式平台梯安装有挂链。</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当攀爬倾角为4</w:t>
            </w:r>
            <w:r>
              <w:rPr>
                <w:color w:val="000000" w:themeColor="text1"/>
                <w:kern w:val="0"/>
                <w:sz w:val="21"/>
                <w:szCs w:val="21"/>
                <w14:textFill>
                  <w14:solidFill>
                    <w14:schemeClr w14:val="tx1"/>
                  </w14:solidFill>
                </w14:textFill>
              </w:rPr>
              <w:t>5</w:t>
            </w:r>
            <w:r>
              <w:rPr>
                <w:rFonts w:hint="eastAsia"/>
                <w:color w:val="000000" w:themeColor="text1"/>
                <w:kern w:val="0"/>
                <w:sz w:val="21"/>
                <w:szCs w:val="21"/>
                <w14:textFill>
                  <w14:solidFill>
                    <w14:schemeClr w14:val="tx1"/>
                  </w14:solidFill>
                </w14:textFill>
              </w:rPr>
              <w:t>°≤α＜6</w:t>
            </w:r>
            <w:r>
              <w:rPr>
                <w:color w:val="000000" w:themeColor="text1"/>
                <w:kern w:val="0"/>
                <w:sz w:val="21"/>
                <w:szCs w:val="21"/>
                <w14:textFill>
                  <w14:solidFill>
                    <w14:schemeClr w14:val="tx1"/>
                  </w14:solidFill>
                </w14:textFill>
              </w:rPr>
              <w:t>0</w:t>
            </w:r>
            <w:r>
              <w:rPr>
                <w:rFonts w:hint="eastAsia"/>
                <w:color w:val="000000" w:themeColor="text1"/>
                <w:kern w:val="0"/>
                <w:sz w:val="21"/>
                <w:szCs w:val="21"/>
                <w14:textFill>
                  <w14:solidFill>
                    <w14:schemeClr w14:val="tx1"/>
                  </w14:solidFill>
                </w14:textFill>
              </w:rPr>
              <w:t>°时，应安装侧面扶手。</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梯子 第6部分：可移动式平台梯</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GB/T 17889.6-2019</w:t>
            </w:r>
            <w:r>
              <w:rPr>
                <w:rFonts w:hint="eastAsia"/>
                <w:color w:val="000000" w:themeColor="text1"/>
                <w:sz w:val="21"/>
                <w:szCs w:val="21"/>
                <w14:textFill>
                  <w14:solidFill>
                    <w14:schemeClr w14:val="tx1"/>
                  </w14:solidFill>
                </w14:textFill>
              </w:rPr>
              <w:t>）</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5</w:t>
            </w:r>
            <w:r>
              <w:rPr>
                <w:color w:val="000000" w:themeColor="text1"/>
                <w:kern w:val="0"/>
                <w:sz w:val="21"/>
                <w:szCs w:val="21"/>
                <w14:textFill>
                  <w14:solidFill>
                    <w14:schemeClr w14:val="tx1"/>
                  </w14:solidFill>
                </w14:textFill>
              </w:rPr>
              <w:t>.9</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本项目可移动式平台梯安装有侧面扶手。</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5"/>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防护装置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adjustRightInd w:val="0"/>
              <w:snapToGri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对于用于防止进入危险区的防护装置，其设计，制造和定位应满足要求，以防止人体的各部位触及危险区。</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机械安全 防护装置 固定式和活动式防护装置的设计与制造一般要求</w:t>
            </w:r>
            <w:r>
              <w:rPr>
                <w:color w:val="000000" w:themeColor="text1"/>
                <w:sz w:val="21"/>
                <w:szCs w:val="21"/>
                <w14:textFill>
                  <w14:solidFill>
                    <w14:schemeClr w14:val="tx1"/>
                  </w14:solidFill>
                </w14:textFill>
              </w:rPr>
              <w:t>》（GB/T 8196-2018）</w:t>
            </w:r>
          </w:p>
          <w:p>
            <w:pPr>
              <w:tabs>
                <w:tab w:val="left" w:pos="2898"/>
              </w:tabs>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5.2.2</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本项目在存在</w:t>
            </w:r>
            <w:r>
              <w:rPr>
                <w:color w:val="000000" w:themeColor="text1"/>
                <w:kern w:val="0"/>
                <w:sz w:val="21"/>
                <w:szCs w:val="21"/>
                <w14:textFill>
                  <w14:solidFill>
                    <w14:schemeClr w14:val="tx1"/>
                  </w14:solidFill>
                </w14:textFill>
              </w:rPr>
              <w:t>进入危险区的区域设有防护装置</w:t>
            </w:r>
            <w:r>
              <w:rPr>
                <w:color w:val="000000" w:themeColor="text1"/>
                <w:sz w:val="21"/>
                <w:szCs w:val="21"/>
                <w14:textFill>
                  <w14:solidFill>
                    <w14:schemeClr w14:val="tx1"/>
                  </w14:solidFill>
                </w14:textFill>
              </w:rPr>
              <w:t>。</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numPr>
                <w:ilvl w:val="0"/>
                <w:numId w:val="43"/>
              </w:numPr>
              <w:adjustRightInd w:val="0"/>
              <w:snapToGrid w:val="0"/>
              <w:spacing w:line="240" w:lineRule="auto"/>
              <w:ind w:firstLineChars="0"/>
              <w:jc w:val="center"/>
              <w:rPr>
                <w:color w:val="000000" w:themeColor="text1"/>
                <w:sz w:val="21"/>
                <w:szCs w:val="21"/>
                <w14:textFill>
                  <w14:solidFill>
                    <w14:schemeClr w14:val="tx1"/>
                  </w14:solidFill>
                </w14:textFill>
              </w:rPr>
            </w:pP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防护装置的设计应保证在机器的整个可预见的使用寿命期内能正确执行其功能，如果不可行，则应能更换性能下降的部件。</w:t>
            </w:r>
          </w:p>
        </w:tc>
        <w:tc>
          <w:tcPr>
            <w:tcW w:w="1078" w:type="pct"/>
            <w:vAlign w:val="center"/>
          </w:tcPr>
          <w:p>
            <w:pPr>
              <w:tabs>
                <w:tab w:val="left" w:pos="2898"/>
              </w:tabs>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机械安全 防护装置 固定式和活动式防护装置的设计与制造一般要求</w:t>
            </w:r>
            <w:r>
              <w:rPr>
                <w:color w:val="000000" w:themeColor="text1"/>
                <w:sz w:val="21"/>
                <w:szCs w:val="21"/>
                <w14:textFill>
                  <w14:solidFill>
                    <w14:schemeClr w14:val="tx1"/>
                  </w14:solidFill>
                </w14:textFill>
              </w:rPr>
              <w:t>》（GB/T 8196-2018）</w:t>
            </w:r>
            <w:r>
              <w:rPr>
                <w:color w:val="000000" w:themeColor="text1"/>
                <w:kern w:val="0"/>
                <w:sz w:val="21"/>
                <w:szCs w:val="21"/>
                <w14:textFill>
                  <w14:solidFill>
                    <w14:schemeClr w14:val="tx1"/>
                  </w14:solidFill>
                </w14:textFill>
              </w:rPr>
              <w:t>5.3.3</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本项目设置的防护装置牢固可靠。</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numPr>
                <w:ilvl w:val="0"/>
                <w:numId w:val="43"/>
              </w:numPr>
              <w:adjustRightInd w:val="0"/>
              <w:snapToGrid w:val="0"/>
              <w:spacing w:line="240" w:lineRule="auto"/>
              <w:ind w:firstLineChars="0"/>
              <w:jc w:val="center"/>
              <w:rPr>
                <w:color w:val="000000" w:themeColor="text1"/>
                <w:sz w:val="21"/>
                <w:szCs w:val="21"/>
                <w14:textFill>
                  <w14:solidFill>
                    <w14:schemeClr w14:val="tx1"/>
                  </w14:solidFill>
                </w14:textFill>
              </w:rPr>
            </w:pP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防护装置或其部件应</w:t>
            </w:r>
            <w:r>
              <w:rPr>
                <w:rFonts w:hint="eastAsia"/>
                <w:color w:val="000000" w:themeColor="text1"/>
                <w:kern w:val="0"/>
                <w:sz w:val="21"/>
                <w:szCs w:val="21"/>
                <w14:textFill>
                  <w14:solidFill>
                    <w14:schemeClr w14:val="tx1"/>
                  </w14:solidFill>
                </w14:textFill>
              </w:rPr>
              <w:t>通过</w:t>
            </w:r>
            <w:r>
              <w:rPr>
                <w:color w:val="000000" w:themeColor="text1"/>
                <w:kern w:val="0"/>
                <w:sz w:val="21"/>
                <w:szCs w:val="21"/>
                <w14:textFill>
                  <w14:solidFill>
                    <w14:schemeClr w14:val="tx1"/>
                  </w14:solidFill>
                </w14:textFill>
              </w:rPr>
              <w:t>具备适当强度、间隔及数量的安装点固定，以使其在可预见的载荷下保持可靠的定位。安装固定可借助于机械紧固件或夹紧件，焊接件、粘接件或其他适用的方法。</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机械安全 防护装置 固定式和活动式防护装置的设计与制造一般要求</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GB/T 8196-2018</w:t>
            </w:r>
            <w:r>
              <w:rPr>
                <w:color w:val="000000" w:themeColor="text1"/>
                <w:sz w:val="21"/>
                <w:szCs w:val="21"/>
                <w14:textFill>
                  <w14:solidFill>
                    <w14:schemeClr w14:val="tx1"/>
                  </w14:solidFill>
                </w14:textFill>
              </w:rPr>
              <w:t>）</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5.4.4</w:t>
            </w:r>
          </w:p>
        </w:tc>
        <w:tc>
          <w:tcPr>
            <w:tcW w:w="1348" w:type="pct"/>
            <w:vAlign w:val="center"/>
          </w:tcPr>
          <w:p>
            <w:pPr>
              <w:tabs>
                <w:tab w:val="left" w:pos="2898"/>
              </w:tabs>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本项目防护装置强度、间隔固定可靠。</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9" w:type="pct"/>
            <w:vAlign w:val="center"/>
          </w:tcPr>
          <w:p>
            <w:pPr>
              <w:widowControl/>
              <w:numPr>
                <w:ilvl w:val="0"/>
                <w:numId w:val="43"/>
              </w:numPr>
              <w:adjustRightInd w:val="0"/>
              <w:snapToGrid w:val="0"/>
              <w:spacing w:line="240" w:lineRule="auto"/>
              <w:ind w:firstLineChars="0"/>
              <w:jc w:val="center"/>
              <w:rPr>
                <w:color w:val="000000" w:themeColor="text1"/>
                <w:sz w:val="21"/>
                <w:szCs w:val="21"/>
                <w14:textFill>
                  <w14:solidFill>
                    <w14:schemeClr w14:val="tx1"/>
                  </w14:solidFill>
                </w14:textFill>
              </w:rPr>
            </w:pPr>
          </w:p>
        </w:tc>
        <w:tc>
          <w:tcPr>
            <w:tcW w:w="1750" w:type="pct"/>
            <w:vAlign w:val="center"/>
          </w:tcPr>
          <w:p>
            <w:pPr>
              <w:tabs>
                <w:tab w:val="left" w:pos="2898"/>
              </w:tabs>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运动传递部件：</w:t>
            </w:r>
          </w:p>
          <w:p>
            <w:pPr>
              <w:tabs>
                <w:tab w:val="left" w:pos="2898"/>
              </w:tabs>
              <w:spacing w:line="240" w:lineRule="auto"/>
              <w:ind w:firstLine="0" w:firstLineChars="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对运动传递部件，如皮带轮、皮带、齿轮、导轨、齿杆、传动轴产生的危险的防护，应采用固定式防护装置或活动式联锁防护装置。</w:t>
            </w:r>
          </w:p>
        </w:tc>
        <w:tc>
          <w:tcPr>
            <w:tcW w:w="1078"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机械安全 防护装置 固定式和活动式防护装置的设计与制造一般要求</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GB/T 8196-2018</w:t>
            </w:r>
            <w:r>
              <w:rPr>
                <w:color w:val="000000" w:themeColor="text1"/>
                <w:sz w:val="21"/>
                <w:szCs w:val="21"/>
                <w14:textFill>
                  <w14:solidFill>
                    <w14:schemeClr w14:val="tx1"/>
                  </w14:solidFill>
                </w14:textFill>
              </w:rPr>
              <w:t>）</w:t>
            </w:r>
          </w:p>
          <w:p>
            <w:pPr>
              <w:tabs>
                <w:tab w:val="left" w:pos="2898"/>
              </w:tabs>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6.4.2</w:t>
            </w:r>
          </w:p>
        </w:tc>
        <w:tc>
          <w:tcPr>
            <w:tcW w:w="1348" w:type="pct"/>
            <w:vAlign w:val="center"/>
          </w:tcPr>
          <w:p>
            <w:pPr>
              <w:overflowPunct w:val="0"/>
              <w:adjustRightInd w:val="0"/>
              <w:spacing w:line="240" w:lineRule="auto"/>
              <w:ind w:firstLine="0" w:firstLineChars="0"/>
              <w:textAlignment w:val="baseline"/>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部分设备转动部位防护罩设置不足。</w:t>
            </w:r>
          </w:p>
          <w:p>
            <w:pPr>
              <w:overflowPunct w:val="0"/>
              <w:adjustRightInd w:val="0"/>
              <w:spacing w:line="240" w:lineRule="auto"/>
              <w:ind w:firstLine="0" w:firstLineChars="0"/>
              <w:textAlignment w:val="baseline"/>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经整改，</w:t>
            </w:r>
            <w:r>
              <w:rPr>
                <w:color w:val="000000" w:themeColor="text1"/>
                <w:kern w:val="0"/>
                <w:sz w:val="21"/>
                <w:szCs w:val="21"/>
                <w14:textFill>
                  <w14:solidFill>
                    <w14:schemeClr w14:val="tx1"/>
                  </w14:solidFill>
                </w14:textFill>
              </w:rPr>
              <w:t>设备转动部位</w:t>
            </w:r>
            <w:r>
              <w:rPr>
                <w:rFonts w:hint="eastAsia"/>
                <w:color w:val="000000" w:themeColor="text1"/>
                <w:kern w:val="0"/>
                <w:sz w:val="21"/>
                <w:szCs w:val="21"/>
                <w14:textFill>
                  <w14:solidFill>
                    <w14:schemeClr w14:val="tx1"/>
                  </w14:solidFill>
                </w14:textFill>
              </w:rPr>
              <w:t>设置了</w:t>
            </w:r>
            <w:r>
              <w:rPr>
                <w:color w:val="000000" w:themeColor="text1"/>
                <w:kern w:val="0"/>
                <w:sz w:val="21"/>
                <w:szCs w:val="21"/>
                <w14:textFill>
                  <w14:solidFill>
                    <w14:schemeClr w14:val="tx1"/>
                  </w14:solidFill>
                </w14:textFill>
              </w:rPr>
              <w:t>防护罩。</w:t>
            </w:r>
          </w:p>
        </w:tc>
        <w:tc>
          <w:tcPr>
            <w:tcW w:w="453"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pPr>
        <w:pStyle w:val="6"/>
        <w:rPr>
          <w:color w:val="000000" w:themeColor="text1"/>
          <w14:textFill>
            <w14:solidFill>
              <w14:schemeClr w14:val="tx1"/>
            </w14:solidFill>
          </w14:textFill>
        </w:rPr>
      </w:pPr>
      <w:bookmarkStart w:id="831" w:name="_Toc31931"/>
      <w:bookmarkStart w:id="832" w:name="_Toc51340728"/>
      <w:bookmarkStart w:id="833" w:name="_Toc54294494"/>
      <w:bookmarkStart w:id="834" w:name="_Toc129520677"/>
      <w:bookmarkStart w:id="835" w:name="_Toc103178340"/>
      <w:bookmarkStart w:id="836" w:name="_Toc458246022"/>
      <w:bookmarkStart w:id="837" w:name="_Toc19856"/>
      <w:r>
        <w:rPr>
          <w:color w:val="000000" w:themeColor="text1"/>
          <w14:textFill>
            <w14:solidFill>
              <w14:schemeClr w14:val="tx1"/>
            </w14:solidFill>
          </w14:textFill>
        </w:rPr>
        <w:t>单元小结</w:t>
      </w:r>
      <w:bookmarkEnd w:id="831"/>
      <w:bookmarkEnd w:id="832"/>
      <w:bookmarkEnd w:id="833"/>
      <w:bookmarkEnd w:id="834"/>
      <w:bookmarkEnd w:id="835"/>
      <w:bookmarkEnd w:id="836"/>
      <w:bookmarkEnd w:id="837"/>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本项目</w:t>
      </w:r>
      <w:r>
        <w:rPr>
          <w:color w:val="000000" w:themeColor="text1"/>
          <w:szCs w:val="28"/>
          <w14:textFill>
            <w14:solidFill>
              <w14:schemeClr w14:val="tx1"/>
            </w14:solidFill>
          </w14:textFill>
        </w:rPr>
        <w:t>常规防护设施</w:t>
      </w:r>
      <w:r>
        <w:rPr>
          <w:rFonts w:hint="eastAsia"/>
          <w:color w:val="000000" w:themeColor="text1"/>
          <w:szCs w:val="28"/>
          <w14:textFill>
            <w14:solidFill>
              <w14:schemeClr w14:val="tx1"/>
            </w14:solidFill>
          </w14:textFill>
        </w:rPr>
        <w:t>符合《安全色》（GB2893-2008）、《安全标志及其使用导则》（GB2894-2008）、《</w:t>
      </w:r>
      <w:r>
        <w:rPr>
          <w:rFonts w:hint="eastAsia"/>
          <w:color w:val="000000" w:themeColor="text1"/>
          <w:szCs w:val="28"/>
          <w:lang w:eastAsia="zh-CN"/>
          <w14:textFill>
            <w14:solidFill>
              <w14:schemeClr w14:val="tx1"/>
            </w14:solidFill>
          </w14:textFill>
        </w:rPr>
        <w:t>工业管道的基本识别色、识别符号和安全标识</w:t>
      </w:r>
      <w:r>
        <w:rPr>
          <w:rFonts w:hint="eastAsia"/>
          <w:color w:val="000000" w:themeColor="text1"/>
          <w:szCs w:val="28"/>
          <w14:textFill>
            <w14:solidFill>
              <w14:schemeClr w14:val="tx1"/>
            </w14:solidFill>
          </w14:textFill>
        </w:rPr>
        <w:t>》（GB 7231-2003）、《</w:t>
      </w:r>
      <w:r>
        <w:rPr>
          <w:color w:val="000000" w:themeColor="text1"/>
          <w:szCs w:val="28"/>
          <w14:textFill>
            <w14:solidFill>
              <w14:schemeClr w14:val="tx1"/>
            </w14:solidFill>
          </w14:textFill>
        </w:rPr>
        <w:t>梯子 第6部分：可移动式平台梯</w:t>
      </w:r>
      <w:r>
        <w:rPr>
          <w:rFonts w:hint="eastAsia"/>
          <w:color w:val="000000" w:themeColor="text1"/>
          <w:szCs w:val="28"/>
          <w14:textFill>
            <w14:solidFill>
              <w14:schemeClr w14:val="tx1"/>
            </w14:solidFill>
          </w14:textFill>
        </w:rPr>
        <w:t>》（</w:t>
      </w:r>
      <w:r>
        <w:rPr>
          <w:color w:val="000000" w:themeColor="text1"/>
          <w:szCs w:val="28"/>
          <w14:textFill>
            <w14:solidFill>
              <w14:schemeClr w14:val="tx1"/>
            </w14:solidFill>
          </w14:textFill>
        </w:rPr>
        <w:t>GB/T 17889.6-2019</w:t>
      </w:r>
      <w:r>
        <w:rPr>
          <w:rFonts w:hint="eastAsia"/>
          <w:color w:val="000000" w:themeColor="text1"/>
          <w:szCs w:val="28"/>
          <w14:textFill>
            <w14:solidFill>
              <w14:schemeClr w14:val="tx1"/>
            </w14:solidFill>
          </w14:textFill>
        </w:rPr>
        <w:t>）、《</w:t>
      </w:r>
      <w:r>
        <w:rPr>
          <w:rFonts w:hint="eastAsia"/>
          <w:color w:val="000000" w:themeColor="text1"/>
          <w:szCs w:val="28"/>
          <w:lang w:eastAsia="zh-CN"/>
          <w14:textFill>
            <w14:solidFill>
              <w14:schemeClr w14:val="tx1"/>
            </w14:solidFill>
          </w14:textFill>
        </w:rPr>
        <w:t>机械安全 防护装置 固定式和活动式防护装置的设计与制造一般要求</w:t>
      </w:r>
      <w:r>
        <w:rPr>
          <w:rFonts w:hint="eastAsia"/>
          <w:color w:val="000000" w:themeColor="text1"/>
          <w:szCs w:val="28"/>
          <w14:textFill>
            <w14:solidFill>
              <w14:schemeClr w14:val="tx1"/>
            </w14:solidFill>
          </w14:textFill>
        </w:rPr>
        <w:t>》（GB/T 8196-2018）等规范的要求。</w:t>
      </w:r>
    </w:p>
    <w:p>
      <w:pPr>
        <w:pStyle w:val="5"/>
        <w:rPr>
          <w:snapToGrid w:val="0"/>
          <w:color w:val="000000" w:themeColor="text1"/>
          <w14:textFill>
            <w14:solidFill>
              <w14:schemeClr w14:val="tx1"/>
            </w14:solidFill>
          </w14:textFill>
        </w:rPr>
      </w:pPr>
      <w:bookmarkStart w:id="838" w:name="_Toc22259"/>
      <w:bookmarkStart w:id="839" w:name="_Toc129520678"/>
      <w:bookmarkStart w:id="840" w:name="_Toc458246023"/>
      <w:bookmarkStart w:id="841" w:name="_Toc51340729"/>
      <w:bookmarkStart w:id="842" w:name="_Toc103178341"/>
      <w:bookmarkStart w:id="843" w:name="_Toc54294495"/>
      <w:bookmarkStart w:id="844" w:name="_Toc5470"/>
      <w:r>
        <w:rPr>
          <w:snapToGrid w:val="0"/>
          <w:color w:val="000000" w:themeColor="text1"/>
          <w14:textFill>
            <w14:solidFill>
              <w14:schemeClr w14:val="tx1"/>
            </w14:solidFill>
          </w14:textFill>
        </w:rPr>
        <w:t>公用工程和辅助设施单元评价</w:t>
      </w:r>
      <w:bookmarkEnd w:id="838"/>
      <w:bookmarkEnd w:id="839"/>
      <w:bookmarkEnd w:id="840"/>
      <w:bookmarkEnd w:id="841"/>
      <w:bookmarkEnd w:id="842"/>
      <w:bookmarkEnd w:id="843"/>
      <w:bookmarkEnd w:id="844"/>
    </w:p>
    <w:p>
      <w:pPr>
        <w:pStyle w:val="6"/>
        <w:rPr>
          <w:color w:val="000000" w:themeColor="text1"/>
          <w14:textFill>
            <w14:solidFill>
              <w14:schemeClr w14:val="tx1"/>
            </w14:solidFill>
          </w14:textFill>
        </w:rPr>
      </w:pPr>
      <w:bookmarkStart w:id="845" w:name="_Toc458246024"/>
      <w:bookmarkStart w:id="846" w:name="_Toc129520679"/>
      <w:bookmarkStart w:id="847" w:name="_Toc54294496"/>
      <w:bookmarkStart w:id="848" w:name="_Toc4277"/>
      <w:bookmarkStart w:id="849" w:name="_Toc103178342"/>
      <w:bookmarkStart w:id="850" w:name="_Toc51340730"/>
      <w:bookmarkStart w:id="851" w:name="_Toc25989"/>
      <w:r>
        <w:rPr>
          <w:color w:val="000000" w:themeColor="text1"/>
          <w14:textFill>
            <w14:solidFill>
              <w14:schemeClr w14:val="tx1"/>
            </w14:solidFill>
          </w14:textFill>
        </w:rPr>
        <w:t>供配电系统</w:t>
      </w:r>
      <w:bookmarkEnd w:id="845"/>
      <w:r>
        <w:rPr>
          <w:rFonts w:hint="eastAsia"/>
          <w:color w:val="000000" w:themeColor="text1"/>
          <w14:textFill>
            <w14:solidFill>
              <w14:schemeClr w14:val="tx1"/>
            </w14:solidFill>
          </w14:textFill>
        </w:rPr>
        <w:t>评价子单元</w:t>
      </w:r>
      <w:bookmarkEnd w:id="846"/>
      <w:bookmarkEnd w:id="847"/>
      <w:bookmarkEnd w:id="848"/>
      <w:bookmarkEnd w:id="849"/>
      <w:bookmarkEnd w:id="850"/>
      <w:bookmarkEnd w:id="851"/>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依据</w:t>
      </w:r>
      <w:r>
        <w:rPr>
          <w:color w:val="000000" w:themeColor="text1"/>
          <w14:textFill>
            <w14:solidFill>
              <w14:schemeClr w14:val="tx1"/>
            </w14:solidFill>
          </w14:textFill>
        </w:rPr>
        <w:t>《用电安全导则》（GB/T 13869-2017）</w:t>
      </w:r>
      <w:r>
        <w:rPr>
          <w:color w:val="000000" w:themeColor="text1"/>
          <w:szCs w:val="28"/>
          <w14:textFill>
            <w14:solidFill>
              <w14:schemeClr w14:val="tx1"/>
            </w14:solidFill>
          </w14:textFill>
        </w:rPr>
        <w:t>、《低压配电设计规范》（GB 50054-2011）等标准规范的规定，对本项目的供配电采用安全检查表法进行分析评价。检查结果见下表。</w:t>
      </w:r>
    </w:p>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供配电安全检查表</w:t>
      </w:r>
    </w:p>
    <w:tbl>
      <w:tblPr>
        <w:tblStyle w:val="34"/>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343"/>
        <w:gridCol w:w="2126"/>
        <w:gridCol w:w="2539"/>
        <w:gridCol w:w="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50"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3343"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2126"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依据标准</w:t>
            </w:r>
          </w:p>
        </w:tc>
        <w:tc>
          <w:tcPr>
            <w:tcW w:w="2539"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700" w:type="dxa"/>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pPr>
              <w:numPr>
                <w:ilvl w:val="0"/>
                <w:numId w:val="44"/>
              </w:numPr>
              <w:spacing w:line="240" w:lineRule="auto"/>
              <w:ind w:firstLineChars="0"/>
              <w:jc w:val="center"/>
              <w:rPr>
                <w:color w:val="000000" w:themeColor="text1"/>
                <w:sz w:val="21"/>
                <w:szCs w:val="21"/>
                <w14:textFill>
                  <w14:solidFill>
                    <w14:schemeClr w14:val="tx1"/>
                  </w14:solidFill>
                </w14:textFill>
              </w:rPr>
            </w:pPr>
          </w:p>
        </w:tc>
        <w:tc>
          <w:tcPr>
            <w:tcW w:w="3343" w:type="dxa"/>
            <w:vAlign w:val="center"/>
          </w:tcPr>
          <w:p>
            <w:pPr>
              <w:spacing w:line="240" w:lineRule="auto"/>
              <w:ind w:firstLine="0" w:firstLineChars="0"/>
              <w:rPr>
                <w:bCs/>
                <w:color w:val="auto"/>
                <w:sz w:val="21"/>
                <w:szCs w:val="21"/>
              </w:rPr>
            </w:pPr>
            <w:r>
              <w:rPr>
                <w:bCs/>
                <w:color w:val="auto"/>
                <w:sz w:val="21"/>
                <w:szCs w:val="21"/>
              </w:rPr>
              <w:t>配电室的门、窗关闭应密合；与室外相通的洞、通风孔应设防止鼠、蛇类等小动物进入网罩，其防护等级不宜低于现行国家标准《外壳防护等级（IP代码）</w:t>
            </w:r>
            <w:r>
              <w:rPr>
                <w:rFonts w:hint="eastAsia"/>
                <w:bCs/>
                <w:color w:val="auto"/>
                <w:sz w:val="21"/>
                <w:szCs w:val="21"/>
                <w:lang w:eastAsia="zh-CN"/>
              </w:rPr>
              <w:t>》</w:t>
            </w:r>
            <w:r>
              <w:rPr>
                <w:bCs/>
                <w:color w:val="auto"/>
                <w:sz w:val="21"/>
                <w:szCs w:val="21"/>
              </w:rPr>
              <w:t>GB4208规定的IP3X级。直接与室外露天相通的通风孔尚应采取防止雨＼雪飘入的措施。</w:t>
            </w:r>
          </w:p>
        </w:tc>
        <w:tc>
          <w:tcPr>
            <w:tcW w:w="2126" w:type="dxa"/>
            <w:vAlign w:val="center"/>
          </w:tcPr>
          <w:p>
            <w:pPr>
              <w:spacing w:line="240" w:lineRule="auto"/>
              <w:ind w:firstLine="0" w:firstLineChars="0"/>
              <w:rPr>
                <w:bCs/>
                <w:color w:val="auto"/>
                <w:sz w:val="21"/>
                <w:szCs w:val="21"/>
              </w:rPr>
            </w:pPr>
            <w:r>
              <w:rPr>
                <w:bCs/>
                <w:color w:val="auto"/>
                <w:sz w:val="21"/>
                <w:szCs w:val="21"/>
              </w:rPr>
              <w:t>《低压配电设计规范》（GB 50054-2011）</w:t>
            </w:r>
          </w:p>
          <w:p>
            <w:pPr>
              <w:spacing w:line="240" w:lineRule="auto"/>
              <w:ind w:firstLine="0" w:firstLineChars="0"/>
              <w:rPr>
                <w:bCs/>
                <w:color w:val="auto"/>
                <w:sz w:val="21"/>
                <w:szCs w:val="21"/>
              </w:rPr>
            </w:pPr>
            <w:r>
              <w:rPr>
                <w:bCs/>
                <w:color w:val="auto"/>
                <w:sz w:val="21"/>
                <w:szCs w:val="21"/>
              </w:rPr>
              <w:t>4.3.7</w:t>
            </w:r>
          </w:p>
        </w:tc>
        <w:tc>
          <w:tcPr>
            <w:tcW w:w="2539" w:type="dxa"/>
            <w:vAlign w:val="center"/>
          </w:tcPr>
          <w:p>
            <w:pPr>
              <w:spacing w:line="240" w:lineRule="auto"/>
              <w:ind w:firstLine="0" w:firstLineChars="0"/>
              <w:rPr>
                <w:bCs/>
                <w:color w:val="auto"/>
                <w:sz w:val="21"/>
                <w:szCs w:val="21"/>
              </w:rPr>
            </w:pPr>
            <w:r>
              <w:rPr>
                <w:bCs/>
                <w:color w:val="auto"/>
                <w:sz w:val="21"/>
                <w:szCs w:val="21"/>
              </w:rPr>
              <w:t>配电室门口未设置挡鼠板，电缆孔洞未封堵。</w:t>
            </w:r>
          </w:p>
          <w:p>
            <w:pPr>
              <w:spacing w:line="240" w:lineRule="auto"/>
              <w:ind w:firstLine="0" w:firstLineChars="0"/>
              <w:rPr>
                <w:bCs/>
                <w:color w:val="auto"/>
                <w:sz w:val="21"/>
                <w:szCs w:val="21"/>
              </w:rPr>
            </w:pPr>
            <w:r>
              <w:rPr>
                <w:rFonts w:hint="eastAsia"/>
                <w:bCs/>
                <w:color w:val="auto"/>
                <w:sz w:val="21"/>
                <w:szCs w:val="21"/>
              </w:rPr>
              <w:t>经整改，</w:t>
            </w:r>
            <w:r>
              <w:rPr>
                <w:bCs/>
                <w:color w:val="auto"/>
                <w:sz w:val="21"/>
                <w:szCs w:val="21"/>
              </w:rPr>
              <w:t>配电室门口设置</w:t>
            </w:r>
            <w:r>
              <w:rPr>
                <w:rFonts w:hint="eastAsia"/>
                <w:bCs/>
                <w:color w:val="auto"/>
                <w:sz w:val="21"/>
                <w:szCs w:val="21"/>
              </w:rPr>
              <w:t>了</w:t>
            </w:r>
            <w:r>
              <w:rPr>
                <w:bCs/>
                <w:color w:val="auto"/>
                <w:sz w:val="21"/>
                <w:szCs w:val="21"/>
              </w:rPr>
              <w:t>挡鼠板，电缆孔洞</w:t>
            </w:r>
            <w:r>
              <w:rPr>
                <w:rFonts w:hint="eastAsia"/>
                <w:bCs/>
                <w:color w:val="auto"/>
                <w:sz w:val="21"/>
                <w:szCs w:val="21"/>
              </w:rPr>
              <w:t>采取了</w:t>
            </w:r>
            <w:r>
              <w:rPr>
                <w:bCs/>
                <w:color w:val="auto"/>
                <w:sz w:val="21"/>
                <w:szCs w:val="21"/>
              </w:rPr>
              <w:t>封堵</w:t>
            </w:r>
            <w:r>
              <w:rPr>
                <w:rFonts w:hint="eastAsia"/>
                <w:bCs/>
                <w:color w:val="auto"/>
                <w:sz w:val="21"/>
                <w:szCs w:val="21"/>
              </w:rPr>
              <w:t>措施。</w:t>
            </w:r>
          </w:p>
        </w:tc>
        <w:tc>
          <w:tcPr>
            <w:tcW w:w="700"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pPr>
              <w:numPr>
                <w:ilvl w:val="0"/>
                <w:numId w:val="44"/>
              </w:numPr>
              <w:spacing w:line="240" w:lineRule="auto"/>
              <w:ind w:firstLineChars="0"/>
              <w:jc w:val="center"/>
              <w:rPr>
                <w:color w:val="000000" w:themeColor="text1"/>
                <w:sz w:val="21"/>
                <w:szCs w:val="21"/>
                <w14:textFill>
                  <w14:solidFill>
                    <w14:schemeClr w14:val="tx1"/>
                  </w14:solidFill>
                </w14:textFill>
              </w:rPr>
            </w:pPr>
          </w:p>
        </w:tc>
        <w:tc>
          <w:tcPr>
            <w:tcW w:w="3343" w:type="dxa"/>
            <w:vAlign w:val="center"/>
          </w:tcPr>
          <w:p>
            <w:pPr>
              <w:spacing w:line="240" w:lineRule="auto"/>
              <w:ind w:firstLine="0" w:firstLineChars="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配电室内的电缆沟，应采取防水</w:t>
            </w:r>
            <w:r>
              <w:rPr>
                <w:rFonts w:hint="eastAsia"/>
                <w:bCs/>
                <w:color w:val="000000" w:themeColor="text1"/>
                <w:sz w:val="21"/>
                <w:szCs w:val="21"/>
                <w:lang w:eastAsia="zh-CN"/>
                <w14:textFill>
                  <w14:solidFill>
                    <w14:schemeClr w14:val="tx1"/>
                  </w14:solidFill>
                </w14:textFill>
              </w:rPr>
              <w:t>和</w:t>
            </w:r>
            <w:r>
              <w:rPr>
                <w:bCs/>
                <w:color w:val="000000" w:themeColor="text1"/>
                <w:sz w:val="21"/>
                <w:szCs w:val="21"/>
                <w14:textFill>
                  <w14:solidFill>
                    <w14:schemeClr w14:val="tx1"/>
                  </w14:solidFill>
                </w14:textFill>
              </w:rPr>
              <w:t>排水措施。配电室的地面宜高出本层地面50mm或设置防水门槛。</w:t>
            </w:r>
          </w:p>
        </w:tc>
        <w:tc>
          <w:tcPr>
            <w:tcW w:w="2126"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《低压配电设计规范》（GB 50054-2011）</w:t>
            </w:r>
          </w:p>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4.3.4</w:t>
            </w:r>
          </w:p>
        </w:tc>
        <w:tc>
          <w:tcPr>
            <w:tcW w:w="2539" w:type="dxa"/>
            <w:vAlign w:val="center"/>
          </w:tcPr>
          <w:p>
            <w:pPr>
              <w:spacing w:line="240" w:lineRule="auto"/>
              <w:ind w:firstLine="0" w:firstLineChars="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配电室电缆沟干燥。</w:t>
            </w:r>
          </w:p>
        </w:tc>
        <w:tc>
          <w:tcPr>
            <w:tcW w:w="700"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pPr>
              <w:numPr>
                <w:ilvl w:val="0"/>
                <w:numId w:val="44"/>
              </w:numPr>
              <w:spacing w:line="240" w:lineRule="auto"/>
              <w:ind w:firstLineChars="0"/>
              <w:jc w:val="center"/>
              <w:rPr>
                <w:color w:val="000000" w:themeColor="text1"/>
                <w:sz w:val="21"/>
                <w:szCs w:val="21"/>
                <w14:textFill>
                  <w14:solidFill>
                    <w14:schemeClr w14:val="tx1"/>
                  </w14:solidFill>
                </w14:textFill>
              </w:rPr>
            </w:pPr>
          </w:p>
        </w:tc>
        <w:tc>
          <w:tcPr>
            <w:tcW w:w="3343" w:type="dxa"/>
            <w:vAlign w:val="center"/>
          </w:tcPr>
          <w:p>
            <w:pPr>
              <w:spacing w:line="240" w:lineRule="auto"/>
              <w:ind w:firstLine="0" w:firstLineChars="0"/>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电缆敷设的防火封堵</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应符合下列规定</w:t>
            </w:r>
            <w:r>
              <w:rPr>
                <w:rFonts w:hint="eastAsia" w:ascii="宋体" w:hAnsi="宋体" w:cs="宋体"/>
                <w:bCs/>
                <w:color w:val="000000" w:themeColor="text1"/>
                <w:sz w:val="21"/>
                <w:szCs w:val="21"/>
                <w14:textFill>
                  <w14:solidFill>
                    <w14:schemeClr w14:val="tx1"/>
                  </w14:solidFill>
                </w14:textFill>
              </w:rPr>
              <w:t>：</w:t>
            </w:r>
          </w:p>
          <w:p>
            <w:pPr>
              <w:spacing w:line="240" w:lineRule="auto"/>
              <w:ind w:firstLine="0" w:firstLineChars="0"/>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1 布线系统通过地板、墙壁、屋顶、天花板、隔墙等建筑构件时</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其孔隙应按等同建筑构件耐火等级的规定封堵</w:t>
            </w:r>
            <w:r>
              <w:rPr>
                <w:rFonts w:hint="eastAsia" w:ascii="宋体" w:hAnsi="宋体" w:cs="宋体"/>
                <w:bCs/>
                <w:color w:val="000000" w:themeColor="text1"/>
                <w:sz w:val="21"/>
                <w:szCs w:val="21"/>
                <w14:textFill>
                  <w14:solidFill>
                    <w14:schemeClr w14:val="tx1"/>
                  </w14:solidFill>
                </w14:textFill>
              </w:rPr>
              <w:t>；</w:t>
            </w:r>
          </w:p>
          <w:p>
            <w:pPr>
              <w:spacing w:line="240" w:lineRule="auto"/>
              <w:ind w:firstLine="0" w:firstLineChars="0"/>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2 电缆敷设采用的导管和槽盒材料</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应符合现行国家标准《电气安装用电缆槽管系统 第1 部分</w:t>
            </w:r>
            <w:r>
              <w:rPr>
                <w:rFonts w:hint="eastAsia" w:eastAsia="Times New Roman"/>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通用要求》GB/T 19215.1、《</w:t>
            </w:r>
            <w:r>
              <w:rPr>
                <w:rFonts w:hint="eastAsia"/>
                <w:bCs/>
                <w:color w:val="000000" w:themeColor="text1"/>
                <w:sz w:val="21"/>
                <w:szCs w:val="21"/>
                <w:lang w:eastAsia="zh-CN"/>
                <w14:textFill>
                  <w14:solidFill>
                    <w14:schemeClr w14:val="tx1"/>
                  </w14:solidFill>
                </w14:textFill>
              </w:rPr>
              <w:t>电气安装用电缆槽管系统 第2部分：特殊要求 第1节：用于安装在墙上或天花板上的电缆槽管系统</w:t>
            </w:r>
            <w:r>
              <w:rPr>
                <w:rFonts w:hint="eastAsia"/>
                <w:bCs/>
                <w:color w:val="000000" w:themeColor="text1"/>
                <w:sz w:val="21"/>
                <w:szCs w:val="21"/>
                <w14:textFill>
                  <w14:solidFill>
                    <w14:schemeClr w14:val="tx1"/>
                  </w14:solidFill>
                </w14:textFill>
              </w:rPr>
              <w:t>》</w:t>
            </w:r>
            <w:r>
              <w:rPr>
                <w:rFonts w:hint="eastAsia"/>
                <w:bCs/>
                <w:color w:val="000000" w:themeColor="text1"/>
                <w:sz w:val="21"/>
                <w:szCs w:val="21"/>
                <w:lang w:eastAsia="zh-CN"/>
                <w14:textFill>
                  <w14:solidFill>
                    <w14:schemeClr w14:val="tx1"/>
                  </w14:solidFill>
                </w14:textFill>
              </w:rPr>
              <w:t>GB/T 19215.2</w:t>
            </w:r>
            <w:r>
              <w:rPr>
                <w:rFonts w:hint="eastAsia"/>
                <w:bCs/>
                <w:color w:val="000000" w:themeColor="text1"/>
                <w:sz w:val="21"/>
                <w:szCs w:val="21"/>
                <w14:textFill>
                  <w14:solidFill>
                    <w14:schemeClr w14:val="tx1"/>
                  </w14:solidFill>
                </w14:textFill>
              </w:rPr>
              <w:t>和《电气安装用导管系统 第1 部分</w:t>
            </w:r>
            <w:r>
              <w:rPr>
                <w:rFonts w:hint="eastAsia" w:eastAsia="Times New Roman"/>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通用要求》GB/T 20041.1 规定的耐燃试验要求</w:t>
            </w:r>
            <w:r>
              <w:rPr>
                <w:rFonts w:hint="eastAsia" w:eastAsia="Times New Roman"/>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当导管和槽盒内部截面积等于大于710mm</w:t>
            </w:r>
            <w:r>
              <w:rPr>
                <w:rFonts w:hint="eastAsia"/>
                <w:bCs/>
                <w:color w:val="000000" w:themeColor="text1"/>
                <w:sz w:val="21"/>
                <w:szCs w:val="21"/>
                <w:vertAlign w:val="superscript"/>
                <w14:textFill>
                  <w14:solidFill>
                    <w14:schemeClr w14:val="tx1"/>
                  </w14:solidFill>
                </w14:textFill>
              </w:rPr>
              <w:t>2</w:t>
            </w:r>
            <w:r>
              <w:rPr>
                <w:rFonts w:hint="eastAsia"/>
                <w:bCs/>
                <w:color w:val="000000" w:themeColor="text1"/>
                <w:sz w:val="21"/>
                <w:szCs w:val="21"/>
                <w14:textFill>
                  <w14:solidFill>
                    <w14:schemeClr w14:val="tx1"/>
                  </w14:solidFill>
                </w14:textFill>
              </w:rPr>
              <w:t>时</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应从内部封堵</w:t>
            </w:r>
            <w:r>
              <w:rPr>
                <w:rFonts w:hint="eastAsia" w:ascii="宋体" w:hAnsi="宋体" w:cs="宋体"/>
                <w:bCs/>
                <w:color w:val="000000" w:themeColor="text1"/>
                <w:sz w:val="21"/>
                <w:szCs w:val="21"/>
                <w14:textFill>
                  <w14:solidFill>
                    <w14:schemeClr w14:val="tx1"/>
                  </w14:solidFill>
                </w14:textFill>
              </w:rPr>
              <w:t>；</w:t>
            </w:r>
          </w:p>
          <w:p>
            <w:pPr>
              <w:spacing w:line="240" w:lineRule="auto"/>
              <w:ind w:firstLine="0" w:firstLineChars="0"/>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3 电缆防火封堵的材料</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应按耐火等级要求</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采用防火胶泥、耐火隔板、填料阻火包或防火帽</w:t>
            </w:r>
            <w:r>
              <w:rPr>
                <w:rFonts w:hint="eastAsia" w:ascii="宋体" w:hAnsi="宋体" w:cs="宋体"/>
                <w:bCs/>
                <w:color w:val="000000" w:themeColor="text1"/>
                <w:sz w:val="21"/>
                <w:szCs w:val="21"/>
                <w14:textFill>
                  <w14:solidFill>
                    <w14:schemeClr w14:val="tx1"/>
                  </w14:solidFill>
                </w14:textFill>
              </w:rPr>
              <w:t>；</w:t>
            </w:r>
          </w:p>
          <w:p>
            <w:pPr>
              <w:spacing w:line="240" w:lineRule="auto"/>
              <w:ind w:firstLine="0" w:firstLineChars="0"/>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4 电缆防火封堵的结构</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应满足按等效工程条件下标准试验的耐火极限。</w:t>
            </w:r>
          </w:p>
        </w:tc>
        <w:tc>
          <w:tcPr>
            <w:tcW w:w="2126"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《低压配电设计规范》（GB 50054-2011）</w:t>
            </w:r>
          </w:p>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7.1.5</w:t>
            </w:r>
          </w:p>
        </w:tc>
        <w:tc>
          <w:tcPr>
            <w:tcW w:w="2539" w:type="dxa"/>
            <w:vAlign w:val="center"/>
          </w:tcPr>
          <w:p>
            <w:pPr>
              <w:spacing w:line="240" w:lineRule="auto"/>
              <w:ind w:firstLine="0" w:firstLineChars="0"/>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布线系统通过地板、墙壁、屋顶、天花板、隔墙等建筑构件时</w:t>
            </w:r>
            <w:r>
              <w:rPr>
                <w:rFonts w:hint="eastAsia" w:ascii="宋体" w:hAnsi="宋体" w:cs="宋体"/>
                <w:bCs/>
                <w:color w:val="000000" w:themeColor="text1"/>
                <w:sz w:val="21"/>
                <w:szCs w:val="21"/>
                <w14:textFill>
                  <w14:solidFill>
                    <w14:schemeClr w14:val="tx1"/>
                  </w14:solidFill>
                </w14:textFill>
              </w:rPr>
              <w:t>，</w:t>
            </w:r>
            <w:r>
              <w:rPr>
                <w:rFonts w:hint="eastAsia"/>
                <w:bCs/>
                <w:color w:val="000000" w:themeColor="text1"/>
                <w:sz w:val="21"/>
                <w:szCs w:val="21"/>
                <w14:textFill>
                  <w14:solidFill>
                    <w14:schemeClr w14:val="tx1"/>
                  </w14:solidFill>
                </w14:textFill>
              </w:rPr>
              <w:t>其孔隙进行了封堵。</w:t>
            </w:r>
          </w:p>
        </w:tc>
        <w:tc>
          <w:tcPr>
            <w:tcW w:w="700"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pPr>
              <w:numPr>
                <w:ilvl w:val="0"/>
                <w:numId w:val="44"/>
              </w:numPr>
              <w:spacing w:line="240" w:lineRule="auto"/>
              <w:ind w:firstLineChars="0"/>
              <w:jc w:val="center"/>
              <w:rPr>
                <w:color w:val="000000" w:themeColor="text1"/>
                <w:sz w:val="21"/>
                <w:szCs w:val="21"/>
                <w14:textFill>
                  <w14:solidFill>
                    <w14:schemeClr w14:val="tx1"/>
                  </w14:solidFill>
                </w14:textFill>
              </w:rPr>
            </w:pPr>
          </w:p>
        </w:tc>
        <w:tc>
          <w:tcPr>
            <w:tcW w:w="3343" w:type="dxa"/>
            <w:vAlign w:val="center"/>
          </w:tcPr>
          <w:p>
            <w:pPr>
              <w:spacing w:line="240" w:lineRule="auto"/>
              <w:ind w:firstLine="0" w:firstLineChars="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配电线路应装设短路保护和过负荷保护</w:t>
            </w:r>
          </w:p>
        </w:tc>
        <w:tc>
          <w:tcPr>
            <w:tcW w:w="2126"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《低压配电设计规范》（GB 50054-2011）6.1.1</w:t>
            </w:r>
          </w:p>
        </w:tc>
        <w:tc>
          <w:tcPr>
            <w:tcW w:w="2539" w:type="dxa"/>
            <w:vAlign w:val="center"/>
          </w:tcPr>
          <w:p>
            <w:pPr>
              <w:spacing w:line="240" w:lineRule="auto"/>
              <w:ind w:firstLine="0" w:firstLineChars="0"/>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配电线路装设短路保护，过载保护和接地保护。</w:t>
            </w:r>
          </w:p>
        </w:tc>
        <w:tc>
          <w:tcPr>
            <w:tcW w:w="700"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50" w:type="dxa"/>
            <w:vAlign w:val="center"/>
          </w:tcPr>
          <w:p>
            <w:pPr>
              <w:numPr>
                <w:ilvl w:val="0"/>
                <w:numId w:val="44"/>
              </w:numPr>
              <w:spacing w:line="240" w:lineRule="auto"/>
              <w:ind w:firstLineChars="0"/>
              <w:jc w:val="center"/>
              <w:rPr>
                <w:color w:val="000000" w:themeColor="text1"/>
                <w:sz w:val="21"/>
                <w:szCs w:val="21"/>
                <w14:textFill>
                  <w14:solidFill>
                    <w14:schemeClr w14:val="tx1"/>
                  </w14:solidFill>
                </w14:textFill>
              </w:rPr>
            </w:pPr>
          </w:p>
        </w:tc>
        <w:tc>
          <w:tcPr>
            <w:tcW w:w="3343"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电气作业人员应无妨碍其正常工作的生理缺陷及疾病，并应具备与其作业活动相适应的用电安全、电击救援等专业技术知识及实践经验。</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电气作业人员在进行电气作业前应熟悉作业环境，并根据作业的类型和性质采取相应的防护措施；进行电气作业时，所使用的电工个体防护用品应保证合格并与作业活动相适应。</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从事电气</w:t>
            </w:r>
            <w:r>
              <w:rPr>
                <w:rFonts w:hint="eastAsia"/>
                <w:color w:val="000000" w:themeColor="text1"/>
                <w:sz w:val="21"/>
                <w:szCs w:val="21"/>
                <w:lang w:eastAsia="zh-CN"/>
                <w14:textFill>
                  <w14:solidFill>
                    <w14:schemeClr w14:val="tx1"/>
                  </w14:solidFill>
                </w14:textFill>
              </w:rPr>
              <w:t>作业</w:t>
            </w:r>
            <w:r>
              <w:rPr>
                <w:color w:val="000000" w:themeColor="text1"/>
                <w:sz w:val="21"/>
                <w:szCs w:val="21"/>
                <w14:textFill>
                  <w14:solidFill>
                    <w14:schemeClr w14:val="tx1"/>
                  </w14:solidFill>
                </w14:textFill>
              </w:rPr>
              <w:t>的特种作业人员应经专门的安全作业培训，在取得相应特种作业操作资格证书后，方可上岗。</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当非电气作业人员有需要从事接近带电用电产品的辅助性工作时，应先主动了解或由电气作业人员介绍现场相关电气安全知识、注意事项或要求，由具有相应资格的人员带领和指导下参与工作，并对</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其安全负责。</w:t>
            </w:r>
          </w:p>
        </w:tc>
        <w:tc>
          <w:tcPr>
            <w:tcW w:w="2126"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《用电安全导则》(GB/T 13869-2017)</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9</w:t>
            </w:r>
          </w:p>
        </w:tc>
        <w:tc>
          <w:tcPr>
            <w:tcW w:w="2539"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本项目电气作业</w:t>
            </w:r>
            <w:r>
              <w:rPr>
                <w:rFonts w:hint="eastAsia"/>
                <w:color w:val="000000" w:themeColor="text1"/>
                <w:sz w:val="21"/>
                <w:szCs w:val="21"/>
                <w14:textFill>
                  <w14:solidFill>
                    <w14:schemeClr w14:val="tx1"/>
                  </w14:solidFill>
                </w14:textFill>
              </w:rPr>
              <w:t>请外部持证</w:t>
            </w:r>
            <w:r>
              <w:rPr>
                <w:color w:val="000000" w:themeColor="text1"/>
                <w:sz w:val="21"/>
                <w:szCs w:val="21"/>
                <w14:textFill>
                  <w14:solidFill>
                    <w14:schemeClr w14:val="tx1"/>
                  </w14:solidFill>
                </w14:textFill>
              </w:rPr>
              <w:t>人员</w:t>
            </w:r>
            <w:r>
              <w:rPr>
                <w:rFonts w:hint="eastAsia"/>
                <w:color w:val="000000" w:themeColor="text1"/>
                <w:sz w:val="21"/>
                <w:szCs w:val="21"/>
                <w14:textFill>
                  <w14:solidFill>
                    <w14:schemeClr w14:val="tx1"/>
                  </w14:solidFill>
                </w14:textFill>
              </w:rPr>
              <w:t>进行</w:t>
            </w:r>
            <w:r>
              <w:rPr>
                <w:color w:val="000000" w:themeColor="text1"/>
                <w:sz w:val="21"/>
                <w:szCs w:val="21"/>
                <w14:textFill>
                  <w14:solidFill>
                    <w14:schemeClr w14:val="tx1"/>
                  </w14:solidFill>
                </w14:textFill>
              </w:rPr>
              <w:t>。</w:t>
            </w:r>
          </w:p>
        </w:tc>
        <w:tc>
          <w:tcPr>
            <w:tcW w:w="700"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由上述安全检查表的结果可知，</w:t>
      </w:r>
      <w:bookmarkStart w:id="852" w:name="_Hlk51319922"/>
      <w:r>
        <w:rPr>
          <w:color w:val="000000" w:themeColor="text1"/>
          <w:szCs w:val="28"/>
          <w14:textFill>
            <w14:solidFill>
              <w14:schemeClr w14:val="tx1"/>
            </w14:solidFill>
          </w14:textFill>
        </w:rPr>
        <w:t>本项目的供配电系统</w:t>
      </w:r>
      <w:bookmarkEnd w:id="852"/>
      <w:r>
        <w:rPr>
          <w:rFonts w:hint="eastAsia"/>
          <w:color w:val="000000" w:themeColor="text1"/>
          <w:szCs w:val="28"/>
          <w14:textFill>
            <w14:solidFill>
              <w14:schemeClr w14:val="tx1"/>
            </w14:solidFill>
          </w14:textFill>
        </w:rPr>
        <w:t>符合《用电安全导则》（GB/T 13869-2017）、《低压配电设计规范》（GB 50054-2011）等标准规范的要求。</w:t>
      </w:r>
    </w:p>
    <w:p>
      <w:pPr>
        <w:pStyle w:val="6"/>
        <w:rPr>
          <w:color w:val="000000" w:themeColor="text1"/>
          <w14:textFill>
            <w14:solidFill>
              <w14:schemeClr w14:val="tx1"/>
            </w14:solidFill>
          </w14:textFill>
        </w:rPr>
      </w:pPr>
      <w:bookmarkStart w:id="853" w:name="_Hlt142040532"/>
      <w:bookmarkEnd w:id="853"/>
      <w:bookmarkStart w:id="854" w:name="_Toc54294497"/>
      <w:bookmarkStart w:id="855" w:name="_Toc129520680"/>
      <w:bookmarkStart w:id="856" w:name="_Toc51340731"/>
      <w:bookmarkStart w:id="857" w:name="_Toc15521"/>
      <w:bookmarkStart w:id="858" w:name="_Toc103178343"/>
      <w:bookmarkStart w:id="859" w:name="_Toc26000"/>
      <w:r>
        <w:rPr>
          <w:rFonts w:hint="eastAsia"/>
          <w:color w:val="000000" w:themeColor="text1"/>
          <w14:textFill>
            <w14:solidFill>
              <w14:schemeClr w14:val="tx1"/>
            </w14:solidFill>
          </w14:textFill>
        </w:rPr>
        <w:t>给排水评价子单元</w:t>
      </w:r>
      <w:bookmarkEnd w:id="854"/>
      <w:bookmarkEnd w:id="855"/>
      <w:bookmarkEnd w:id="856"/>
      <w:bookmarkEnd w:id="857"/>
      <w:bookmarkEnd w:id="858"/>
      <w:bookmarkEnd w:id="859"/>
    </w:p>
    <w:p>
      <w:pPr>
        <w:adjustRightInd w:val="0"/>
        <w:snapToGrid w:val="0"/>
        <w:ind w:firstLine="560"/>
        <w:rPr>
          <w:color w:val="000000" w:themeColor="text1"/>
          <w:szCs w:val="28"/>
          <w14:textFill>
            <w14:solidFill>
              <w14:schemeClr w14:val="tx1"/>
            </w14:solidFill>
          </w14:textFill>
        </w:rPr>
      </w:pPr>
      <w:bookmarkStart w:id="860" w:name="_Hlt142509943"/>
      <w:r>
        <w:rPr>
          <w:color w:val="000000" w:themeColor="text1"/>
          <w:szCs w:val="28"/>
          <w14:textFill>
            <w14:solidFill>
              <w14:schemeClr w14:val="tx1"/>
            </w14:solidFill>
          </w14:textFill>
        </w:rPr>
        <w:t>依据《工业企业总平面设计规范》（GB50187-2012）</w:t>
      </w:r>
      <w:r>
        <w:rPr>
          <w:rFonts w:hint="eastAsia"/>
          <w:color w:val="000000" w:themeColor="text1"/>
          <w:szCs w:val="28"/>
          <w14:textFill>
            <w14:solidFill>
              <w14:schemeClr w14:val="tx1"/>
            </w14:solidFill>
          </w14:textFill>
        </w:rPr>
        <w:t>、《室外排水设计标准》（GB 50014-2021）、《建筑给水排水设计标准》（GB 50015-2019）、《建筑与工业给水排水系统安全评价标准》（GB/T 51188-2016）</w:t>
      </w:r>
      <w:r>
        <w:rPr>
          <w:color w:val="000000" w:themeColor="text1"/>
          <w:szCs w:val="28"/>
          <w14:textFill>
            <w14:solidFill>
              <w14:schemeClr w14:val="tx1"/>
            </w14:solidFill>
          </w14:textFill>
        </w:rPr>
        <w:t>等标准规范的要求，对该厂的给排水进行安全检查，其检查结果见下表。</w:t>
      </w:r>
    </w:p>
    <w:bookmarkEnd w:id="860"/>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给排水</w:t>
      </w:r>
      <w:r>
        <w:rPr>
          <w:rFonts w:ascii="宋体" w:hAnsi="宋体"/>
          <w:bCs/>
          <w:color w:val="000000" w:themeColor="text1"/>
          <w:sz w:val="24"/>
          <w14:textFill>
            <w14:solidFill>
              <w14:schemeClr w14:val="tx1"/>
            </w14:solidFill>
          </w14:textFill>
        </w:rPr>
        <w:t>安全检查表</w:t>
      </w:r>
    </w:p>
    <w:tbl>
      <w:tblPr>
        <w:tblStyle w:val="34"/>
        <w:tblW w:w="54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3639"/>
        <w:gridCol w:w="1992"/>
        <w:gridCol w:w="2159"/>
        <w:gridCol w:w="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56"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975"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1081"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检查依据</w:t>
            </w:r>
          </w:p>
        </w:tc>
        <w:tc>
          <w:tcPr>
            <w:tcW w:w="1172"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416"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场地应有完整、有效的雨水排水系统。场地雨水的排除方式，应结合工业企业所在地区的雨水排除方式、建筑密度、环境卫生要求、地质条件等因素，合理选择暗管、明沟或地面自然排渗等方式。厂区宜采用暗管排水。</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7.4.1</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场地有完整、有效的雨水排水系统。厂区采用暗管排水</w:t>
            </w:r>
            <w:r>
              <w:rPr>
                <w:color w:val="000000" w:themeColor="text1"/>
                <w:sz w:val="21"/>
                <w:szCs w:val="21"/>
                <w14:textFill>
                  <w14:solidFill>
                    <w14:schemeClr w14:val="tx1"/>
                  </w14:solidFill>
                </w14:textFill>
              </w:rPr>
              <w:t>。</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场地雨水排水设计流量计算，应符合现行国家标准《</w:t>
            </w:r>
            <w:r>
              <w:rPr>
                <w:rFonts w:hint="eastAsia"/>
                <w:color w:val="000000" w:themeColor="text1"/>
                <w:sz w:val="21"/>
                <w:szCs w:val="21"/>
                <w:lang w:eastAsia="zh-CN"/>
                <w14:textFill>
                  <w14:solidFill>
                    <w14:schemeClr w14:val="tx1"/>
                  </w14:solidFill>
                </w14:textFill>
              </w:rPr>
              <w:t>室外排水设计标准</w:t>
            </w:r>
            <w:r>
              <w:rPr>
                <w:color w:val="000000" w:themeColor="text1"/>
                <w:sz w:val="21"/>
                <w:szCs w:val="21"/>
                <w14:textFill>
                  <w14:solidFill>
                    <w14:schemeClr w14:val="tx1"/>
                  </w14:solidFill>
                </w14:textFill>
              </w:rPr>
              <w:t>》</w:t>
            </w:r>
            <w:r>
              <w:rPr>
                <w:rFonts w:hint="eastAsia"/>
                <w:color w:val="000000" w:themeColor="text1"/>
                <w:sz w:val="21"/>
                <w:szCs w:val="21"/>
                <w:lang w:eastAsia="zh-CN"/>
                <w14:textFill>
                  <w14:solidFill>
                    <w14:schemeClr w14:val="tx1"/>
                  </w14:solidFill>
                </w14:textFill>
              </w:rPr>
              <w:t>GB 50014-2021</w:t>
            </w:r>
            <w:r>
              <w:rPr>
                <w:color w:val="000000" w:themeColor="text1"/>
                <w:sz w:val="21"/>
                <w:szCs w:val="21"/>
                <w14:textFill>
                  <w14:solidFill>
                    <w14:schemeClr w14:val="tx1"/>
                  </w14:solidFill>
                </w14:textFill>
              </w:rPr>
              <w:t>规定。</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7.4.2</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场地雨水排量符合相关要求。</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当采用明沟排水时，排水沟宜沿铁路、道路布置，并宜避免与其交叉。排出厂外的雨水，应避免对其它工程设施或农田造成危害。</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7.4.3</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排水设施均沿道路和厂房设置，不会对其他设施造成危害。</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排水明沟的铺砌方式，应根据所处地段的土质和流速等情况确定。厂区明沟宜加铺砌；对厂容、卫生和安全要求较高的地段， 尚应铺设盖板。矿山及厂区的边缘地段，可采用土明沟。</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7.4.4</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排水设施均按要求进行了布置。</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场地的排水明沟，宜采用矩形或梯形断面。明沟起点的深度，不宜小于0.2m，矩形明沟的沟底宽度，不应小于0.4m；梯形明沟的沟底宽度，不应小于0.3m。明沟的纵坡，不应小于0.3%；在地形平坦的困难地段，不应小于0.2%。按流量计算的明沟，沟顶应高于计算水位0.2m以上。</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《工业企业总平面设计规范》（GB50187-2012）</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7.4.5</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排水沟按要求设置。</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排水工程包括雨水系统和污水系统，应遵循从源头到末端的全过程管理和控制。雨水系统和污水系统应相互配合、有效衔接。</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《室外排水设计标准》（GB 50014-2021）</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3.1.1</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本项目排水工程包括雨水系统和污水系统，雨水系统和污水系统相互配合、有效衔接。</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排水体制（分流制或合流制）的选择应根据城镇的总体规划，结合当地的气候特征、地形特点、水文条件、水体状况、原有排水设施、污水处理程度和处理后再生利用等因地制宜地确定，并应符合下列规定：</w:t>
            </w:r>
          </w:p>
          <w:p>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同一城镇的不同地区可采用不同的排水体制。</w:t>
            </w:r>
          </w:p>
          <w:p>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除降雨量少的干旱地区外，新建地区的排水系统应采用分流制。</w:t>
            </w:r>
          </w:p>
          <w:p>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分流制排水系统禁止污水接入雨水管网，并应采取截流、调蓄和处理等措施控制径流污染。</w:t>
            </w:r>
          </w:p>
          <w:p>
            <w:pPr>
              <w:keepNext w:val="0"/>
              <w:keepLines w:val="0"/>
              <w:pageBreakBefore w:val="0"/>
              <w:widowControl w:val="0"/>
              <w:numPr>
                <w:ilvl w:val="0"/>
                <w:numId w:val="46"/>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现有合流制排水系统应通过截流、调蓄和处理等措施，控制溢流污染，还应按城镇排水规划的要求，经方案比较后实施雨污分流改造。</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《室外排水设计标准》（GB 50014-2021）</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3.1.2</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本项目排水采取分流制。</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雨水系统应包括源头减排、排水管渠、排涝除险等工程性措施和应急管理的非工程性措施，并应与防洪设施相衔接。</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《室外排水设计标准》（GB 50014-2021）</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3.2.1</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本项目雨水系统包括源头减排、排水管渠</w:t>
            </w:r>
            <w:r>
              <w:rPr>
                <w:rFonts w:hint="eastAsia"/>
                <w:color w:val="000000" w:themeColor="text1"/>
                <w:sz w:val="21"/>
                <w:szCs w:val="21"/>
                <w:lang w:eastAsia="zh-CN"/>
                <w14:textFill>
                  <w14:solidFill>
                    <w14:schemeClr w14:val="tx1"/>
                  </w14:solidFill>
                </w14:textFill>
              </w:rPr>
              <w:t>等</w:t>
            </w:r>
            <w:r>
              <w:rPr>
                <w:color w:val="000000" w:themeColor="text1"/>
                <w:sz w:val="21"/>
                <w:szCs w:val="21"/>
                <w14:textFill>
                  <w14:solidFill>
                    <w14:schemeClr w14:val="tx1"/>
                  </w14:solidFill>
                </w14:textFill>
              </w:rPr>
              <w:t>工程性措施和应急管理的非工程性措施。</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排水管渠设施应确保雨水管渠设计重现期下雨水的转输、调蓄和排放，并应考虑受纳水体水位的影响。</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《室外排水设计标准》（GB 50014-2021）</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3.2.3</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本项目排水管渠设施满足雨水管渠设计重现期下雨水的转输、调蓄和排放。</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污水系统应包括收集管网、污水处理、深度和再生处理与污泥处理处置设施。</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《室外排水设计标准》（GB 50014-2021）</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3.3.1</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本项目污水系统包括收集管网、污水处理设施。</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建筑给水系统的设计应满足生活用水对水质、水压、安全供水，以及消防给水的要求。</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《建筑给水排水设计标准》（GB 50015-2019）</w:t>
            </w:r>
          </w:p>
          <w:p>
            <w:pPr>
              <w:pStyle w:val="33"/>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.1.1</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14:textFill>
                  <w14:solidFill>
                    <w14:schemeClr w14:val="tx1"/>
                  </w14:solidFill>
                </w14:textFill>
              </w:rPr>
              <w:t>给水由城市供水管网供给，给水系统满足生活用水对水质、水压、安全供水，以及消防给水的要求。</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中水、回用雨水等非生活饮用水管道严禁与生活饮用水管道连接。</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《建筑给水排水设计标准》（GB 50015-2019）</w:t>
            </w:r>
          </w:p>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.1.3</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本项目非生活饮用水管道未与生活饮用水管道连接。</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建筑物内的给水系统应符合下列规定：</w:t>
            </w:r>
          </w:p>
          <w:p>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应充分利用城镇给水管网的水压直接供水；</w:t>
            </w:r>
          </w:p>
          <w:p>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当城镇给水管网的水压和（或）水量不足时，应根据卫生安全、经济节能的原则选用贮水调节和加压供水方式；</w:t>
            </w:r>
          </w:p>
          <w:p>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当城镇给水管网水压不足，采用叠压供水系统时，应经当地供水行政主管部门及供水部门批准认可；</w:t>
            </w:r>
          </w:p>
          <w:p>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给水系统的分区应根据建筑物用途、层数、使用要求、材料设备性能、维护管理、节约供水、能耗等因素综合确定；</w:t>
            </w:r>
          </w:p>
          <w:p>
            <w:pPr>
              <w:keepNext w:val="0"/>
              <w:keepLines w:val="0"/>
              <w:pageBreakBefore w:val="0"/>
              <w:widowControl w:val="0"/>
              <w:numPr>
                <w:ilvl w:val="0"/>
                <w:numId w:val="47"/>
              </w:numPr>
              <w:kinsoku/>
              <w:wordWrap/>
              <w:overflowPunct/>
              <w:topLinePunct w:val="0"/>
              <w:autoSpaceDE/>
              <w:autoSpaceDN/>
              <w:bidi w:val="0"/>
              <w:adjustRightInd/>
              <w:snapToGrid/>
              <w:spacing w:line="240" w:lineRule="auto"/>
              <w:ind w:left="0" w:leftChars="0" w:firstLine="0" w:firstLineChars="0"/>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不同使用性质或计费的给水系统，应在引入管后分成各自独立的给水管网。</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《建筑给水排水设计标准》（GB 50015-2019）</w:t>
            </w:r>
          </w:p>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.4.1</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w:t>
            </w:r>
            <w:r>
              <w:rPr>
                <w:color w:val="000000" w:themeColor="text1"/>
                <w:sz w:val="21"/>
                <w:szCs w:val="21"/>
                <w14:textFill>
                  <w14:solidFill>
                    <w14:schemeClr w14:val="tx1"/>
                  </w14:solidFill>
                </w14:textFill>
              </w:rPr>
              <w:t>给水系统充分利用城镇给水管网的水压直接供水</w:t>
            </w:r>
            <w:r>
              <w:rPr>
                <w:rFonts w:hint="eastAsia"/>
                <w:color w:val="000000" w:themeColor="text1"/>
                <w:sz w:val="21"/>
                <w:szCs w:val="21"/>
                <w14:textFill>
                  <w14:solidFill>
                    <w14:schemeClr w14:val="tx1"/>
                  </w14:solidFill>
                </w14:textFill>
              </w:rPr>
              <w:t>.</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工业给水水源应安全可靠，其供水保证率应符合生产工艺的要求。当开采地下水和地表水水源时，应进行水资源论证。</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《建筑与工业给水排水系统安全评价标准》（GB/T 51188-2016）</w:t>
            </w:r>
          </w:p>
          <w:p>
            <w:pPr>
              <w:pStyle w:val="33"/>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.1.1</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本项目供水符合生产工艺的要求.</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工业给水系统的工艺单元、设备和管道应能运行正常，且应满足系统所服务的功能要求。</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《建筑与工业给水排水系统安全评价标准》（GB/T 51188-2016）</w:t>
            </w:r>
          </w:p>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r>
              <w:rPr>
                <w:color w:val="000000" w:themeColor="text1"/>
                <w:sz w:val="21"/>
                <w:szCs w:val="21"/>
                <w14:textFill>
                  <w14:solidFill>
                    <w14:schemeClr w14:val="tx1"/>
                  </w14:solidFill>
                </w14:textFill>
              </w:rPr>
              <w:t>.1.3</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本项目给水系统满足系统所服务的功能要求。</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工业企业的生活饮用水管道、给食品生产供水的给水管道，不得与非饮用水管道连接。</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《建筑与工业给水排水系统安全评价标准》（GB/T 51188-2016）</w:t>
            </w:r>
          </w:p>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r>
              <w:rPr>
                <w:color w:val="000000" w:themeColor="text1"/>
                <w:sz w:val="21"/>
                <w:szCs w:val="21"/>
                <w14:textFill>
                  <w14:solidFill>
                    <w14:schemeClr w14:val="tx1"/>
                  </w14:solidFill>
                </w14:textFill>
              </w:rPr>
              <w:t>.1.5</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本项目生活饮用水管道未与非饮用水管道连接。</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工业给水应符合下列规定：</w:t>
            </w:r>
          </w:p>
          <w:p>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当采用市政给水作为水源直接供水，且生产需要必须不间断供水时，应采用市政可靠的两路供水或其他能保证连续供水的措施。</w:t>
            </w:r>
          </w:p>
          <w:p>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工业企业自备给水系统应为独立系统，不得与市政给水系统直接连接。当必须以生活饮用水作为生产备用水源时，应采取空气隔断等可靠的措施防止生产水回流污染。</w:t>
            </w:r>
          </w:p>
          <w:p>
            <w:pPr>
              <w:keepNext w:val="0"/>
              <w:keepLines w:val="0"/>
              <w:pageBreakBefore w:val="0"/>
              <w:widowControl w:val="0"/>
              <w:numPr>
                <w:ilvl w:val="0"/>
                <w:numId w:val="48"/>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生产用水和生活饮用水向有毒有害生产设备供水时，应采取可靠的防污染措施，防止有毒有害物质进入给水管道。</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《建筑与工业给水排水系统安全评价标准》（GB/T 51188-2016）</w:t>
            </w:r>
          </w:p>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r>
              <w:rPr>
                <w:color w:val="000000" w:themeColor="text1"/>
                <w:sz w:val="21"/>
                <w:szCs w:val="21"/>
                <w14:textFill>
                  <w14:solidFill>
                    <w14:schemeClr w14:val="tx1"/>
                  </w14:solidFill>
                </w14:textFill>
              </w:rPr>
              <w:t>.1.6</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本项目采用市政给水作为水源直接供水。</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6" w:type="pct"/>
            <w:vAlign w:val="center"/>
          </w:tcPr>
          <w:p>
            <w:pPr>
              <w:numPr>
                <w:ilvl w:val="0"/>
                <w:numId w:val="45"/>
              </w:numPr>
              <w:spacing w:line="240" w:lineRule="auto"/>
              <w:ind w:firstLineChars="0"/>
              <w:jc w:val="center"/>
              <w:rPr>
                <w:color w:val="000000" w:themeColor="text1"/>
                <w:sz w:val="21"/>
                <w:szCs w:val="21"/>
                <w14:textFill>
                  <w14:solidFill>
                    <w14:schemeClr w14:val="tx1"/>
                  </w14:solidFill>
                </w14:textFill>
              </w:rPr>
            </w:pPr>
          </w:p>
        </w:tc>
        <w:tc>
          <w:tcPr>
            <w:tcW w:w="1975"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工业建筑物内给水管道和蓄水设施不得布置在下列场所和部位：</w:t>
            </w:r>
          </w:p>
          <w:p>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遇水会引起燃烧、爆炸的原料、产品的上方；</w:t>
            </w:r>
          </w:p>
          <w:p>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遇水发生剧烈化学反应或产生有毒有害的原料、产品的上方；</w:t>
            </w:r>
          </w:p>
          <w:p>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工艺设备的上方；</w:t>
            </w:r>
          </w:p>
          <w:p>
            <w:pPr>
              <w:keepNext w:val="0"/>
              <w:keepLines w:val="0"/>
              <w:pageBreakBefore w:val="0"/>
              <w:widowControl w:val="0"/>
              <w:numPr>
                <w:ilvl w:val="0"/>
                <w:numId w:val="49"/>
              </w:numPr>
              <w:kinsoku/>
              <w:wordWrap/>
              <w:overflowPunct/>
              <w:topLinePunct w:val="0"/>
              <w:autoSpaceDE/>
              <w:autoSpaceDN/>
              <w:bidi w:val="0"/>
              <w:adjustRightInd/>
              <w:snapToGrid/>
              <w:spacing w:line="240" w:lineRule="auto"/>
              <w:ind w:left="0" w:leftChars="0" w:firstLine="0" w:firstLineChars="0"/>
              <w:jc w:val="left"/>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工业建筑物内给水管道不得敷设在有特殊要求的洁净车间，以及变配电室、控制室或机柜间内等。</w:t>
            </w:r>
          </w:p>
        </w:tc>
        <w:tc>
          <w:tcPr>
            <w:tcW w:w="1081"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《建筑与工业给水排水系统安全评价标准》（GB/T 51188-2016）</w:t>
            </w:r>
          </w:p>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r>
              <w:rPr>
                <w:color w:val="000000" w:themeColor="text1"/>
                <w:sz w:val="21"/>
                <w:szCs w:val="21"/>
                <w14:textFill>
                  <w14:solidFill>
                    <w14:schemeClr w14:val="tx1"/>
                  </w14:solidFill>
                </w14:textFill>
              </w:rPr>
              <w:t>.1.15</w:t>
            </w:r>
          </w:p>
        </w:tc>
        <w:tc>
          <w:tcPr>
            <w:tcW w:w="1172"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本项目给水管道未布置在本条要求的场所。</w:t>
            </w:r>
          </w:p>
        </w:tc>
        <w:tc>
          <w:tcPr>
            <w:tcW w:w="416"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由上表的检查结果可知，本项目的给排水符合</w:t>
      </w:r>
      <w:r>
        <w:rPr>
          <w:color w:val="000000" w:themeColor="text1"/>
          <w:szCs w:val="28"/>
          <w14:textFill>
            <w14:solidFill>
              <w14:schemeClr w14:val="tx1"/>
            </w14:solidFill>
          </w14:textFill>
        </w:rPr>
        <w:t>《工业企业总平面设计规范》（GB50187-2012）</w:t>
      </w:r>
      <w:r>
        <w:rPr>
          <w:rFonts w:hint="eastAsia"/>
          <w:color w:val="000000" w:themeColor="text1"/>
          <w:szCs w:val="28"/>
          <w14:textFill>
            <w14:solidFill>
              <w14:schemeClr w14:val="tx1"/>
            </w14:solidFill>
          </w14:textFill>
        </w:rPr>
        <w:t>、《室外排水设计标准》（GB 50014-2021）、《建筑给水排水设计标准》（GB 50015-2019）、《建筑与工业给水排水系统安全评价标准》（GB/T 51188-2016）</w:t>
      </w:r>
      <w:r>
        <w:rPr>
          <w:color w:val="000000" w:themeColor="text1"/>
          <w:szCs w:val="28"/>
          <w14:textFill>
            <w14:solidFill>
              <w14:schemeClr w14:val="tx1"/>
            </w14:solidFill>
          </w14:textFill>
        </w:rPr>
        <w:t>等标准规范的要求</w:t>
      </w:r>
      <w:r>
        <w:rPr>
          <w:rFonts w:hint="eastAsia"/>
          <w:color w:val="000000" w:themeColor="text1"/>
          <w:szCs w:val="28"/>
          <w14:textFill>
            <w14:solidFill>
              <w14:schemeClr w14:val="tx1"/>
            </w14:solidFill>
          </w14:textFill>
        </w:rPr>
        <w:t>。</w:t>
      </w:r>
    </w:p>
    <w:p>
      <w:pPr>
        <w:pStyle w:val="6"/>
        <w:rPr>
          <w:color w:val="000000" w:themeColor="text1"/>
          <w14:textFill>
            <w14:solidFill>
              <w14:schemeClr w14:val="tx1"/>
            </w14:solidFill>
          </w14:textFill>
        </w:rPr>
      </w:pPr>
      <w:bookmarkStart w:id="861" w:name="_Toc7776"/>
      <w:bookmarkStart w:id="862" w:name="_Toc533000215"/>
      <w:bookmarkStart w:id="863" w:name="_Toc514245661"/>
      <w:bookmarkStart w:id="864" w:name="_Toc119761091"/>
      <w:bookmarkStart w:id="865" w:name="_Toc51340733"/>
      <w:bookmarkStart w:id="866" w:name="_Toc103178344"/>
      <w:bookmarkStart w:id="867" w:name="_Toc503967071"/>
      <w:bookmarkStart w:id="868" w:name="_Toc278282330"/>
      <w:bookmarkStart w:id="869" w:name="_Toc490127372"/>
      <w:bookmarkStart w:id="870" w:name="_Toc458246028"/>
      <w:bookmarkStart w:id="871" w:name="_Toc430388188"/>
      <w:bookmarkStart w:id="872" w:name="_Toc515869865"/>
      <w:bookmarkStart w:id="873" w:name="_Toc54294499"/>
      <w:bookmarkStart w:id="874" w:name="_Toc129520681"/>
      <w:bookmarkStart w:id="875" w:name="_Toc22004"/>
      <w:bookmarkStart w:id="876" w:name="_Toc503966925"/>
      <w:r>
        <w:rPr>
          <w:rFonts w:hint="eastAsia"/>
          <w:color w:val="000000" w:themeColor="text1"/>
          <w14:textFill>
            <w14:solidFill>
              <w14:schemeClr w14:val="tx1"/>
            </w14:solidFill>
          </w14:textFill>
        </w:rPr>
        <w:t>消防</w:t>
      </w:r>
      <w:r>
        <w:rPr>
          <w:rFonts w:hint="eastAsia"/>
          <w:color w:val="000000" w:themeColor="text1"/>
          <w:lang w:val="en-US" w:eastAsia="zh-CN"/>
          <w14:textFill>
            <w14:solidFill>
              <w14:schemeClr w14:val="tx1"/>
            </w14:solidFill>
          </w14:textFill>
        </w:rPr>
        <w:t>设施</w:t>
      </w:r>
      <w:r>
        <w:rPr>
          <w:color w:val="000000" w:themeColor="text1"/>
          <w14:textFill>
            <w14:solidFill>
              <w14:schemeClr w14:val="tx1"/>
            </w14:solidFill>
          </w14:textFill>
        </w:rPr>
        <w:t>评价子单元</w:t>
      </w:r>
      <w:bookmarkEnd w:id="861"/>
    </w:p>
    <w:p>
      <w:pPr>
        <w:ind w:firstLine="560"/>
        <w:rPr>
          <w:rFonts w:hint="eastAsia" w:ascii="Times New Roman" w:hAnsi="Times New Roman" w:eastAsia="宋体" w:cs="Times New Roman"/>
          <w:color w:val="000000" w:themeColor="text1"/>
          <w:szCs w:val="28"/>
          <w14:textFill>
            <w14:solidFill>
              <w14:schemeClr w14:val="tx1"/>
            </w14:solidFill>
          </w14:textFill>
        </w:rPr>
      </w:pPr>
      <w:r>
        <w:rPr>
          <w:color w:val="000000" w:themeColor="text1"/>
          <w:szCs w:val="28"/>
          <w14:textFill>
            <w14:solidFill>
              <w14:schemeClr w14:val="tx1"/>
            </w14:solidFill>
          </w14:textFill>
        </w:rPr>
        <w:t>根据《中华人民共和国消防法》</w:t>
      </w:r>
      <w:r>
        <w:rPr>
          <w:rFonts w:hint="eastAsia" w:ascii="Times New Roman" w:hAnsi="Times New Roman" w:eastAsia="宋体" w:cs="Times New Roman"/>
          <w:color w:val="000000" w:themeColor="text1"/>
          <w:szCs w:val="28"/>
          <w14:textFill>
            <w14:solidFill>
              <w14:schemeClr w14:val="tx1"/>
            </w14:solidFill>
          </w14:textFill>
        </w:rPr>
        <w:t>《消防设施通用规范》（GB 55036-2022）</w:t>
      </w:r>
      <w:r>
        <w:rPr>
          <w:rFonts w:hint="eastAsia" w:ascii="Times New Roman" w:hAnsi="Times New Roman" w:eastAsia="宋体" w:cs="Times New Roman"/>
          <w:color w:val="000000" w:themeColor="text1"/>
          <w:szCs w:val="28"/>
          <w:lang w:eastAsia="zh-CN"/>
          <w14:textFill>
            <w14:solidFill>
              <w14:schemeClr w14:val="tx1"/>
            </w14:solidFill>
          </w14:textFill>
        </w:rPr>
        <w:t>、</w:t>
      </w:r>
      <w:r>
        <w:rPr>
          <w:rFonts w:hint="eastAsia" w:ascii="Times New Roman" w:hAnsi="Times New Roman" w:eastAsia="宋体" w:cs="Times New Roman"/>
          <w:color w:val="000000" w:themeColor="text1"/>
          <w:szCs w:val="28"/>
          <w14:textFill>
            <w14:solidFill>
              <w14:schemeClr w14:val="tx1"/>
            </w14:solidFill>
          </w14:textFill>
        </w:rPr>
        <w:t>《建筑防火通用规范》（GB55037-2022）《建筑设计防火规范（2018年版）》（GB 50016-214）、《建筑灭火器配置设计规范》（GB50140-2005）等标准规范的相关要求对本项目消防系统的情况进行检查。检查结果见下表。</w:t>
      </w:r>
    </w:p>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消防安全检查表</w:t>
      </w:r>
    </w:p>
    <w:tbl>
      <w:tblPr>
        <w:tblStyle w:val="34"/>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51"/>
        <w:gridCol w:w="2990"/>
        <w:gridCol w:w="1943"/>
        <w:gridCol w:w="2137"/>
        <w:gridCol w:w="79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82"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754"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1140"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依据标准</w:t>
            </w:r>
          </w:p>
        </w:tc>
        <w:tc>
          <w:tcPr>
            <w:tcW w:w="1254"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468"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生产、储存、经营易燃易爆危险品的场所不得与居住场所设置在同一建筑物内，并应当与居住场所保持安全距离。</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生产、储存、经营其他物品的场所与居住场所设置在同一建筑物内的，应当符合国家工程建设消防技术标准。</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第十九条</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本项目储存</w:t>
            </w:r>
            <w:r>
              <w:rPr>
                <w:rFonts w:hint="eastAsia"/>
                <w:color w:val="000000" w:themeColor="text1"/>
                <w:sz w:val="21"/>
                <w:szCs w:val="21"/>
                <w14:textFill>
                  <w14:solidFill>
                    <w14:schemeClr w14:val="tx1"/>
                  </w14:solidFill>
                </w14:textFill>
              </w:rPr>
              <w:t>其它物</w:t>
            </w:r>
            <w:r>
              <w:rPr>
                <w:color w:val="000000" w:themeColor="text1"/>
                <w:sz w:val="21"/>
                <w:szCs w:val="21"/>
                <w14:textFill>
                  <w14:solidFill>
                    <w14:schemeClr w14:val="tx1"/>
                  </w14:solidFill>
                </w14:textFill>
              </w:rPr>
              <w:t>品</w:t>
            </w:r>
            <w:r>
              <w:rPr>
                <w:rFonts w:hint="eastAsia"/>
                <w:color w:val="000000" w:themeColor="text1"/>
                <w:sz w:val="21"/>
                <w:szCs w:val="21"/>
                <w14:textFill>
                  <w14:solidFill>
                    <w14:schemeClr w14:val="tx1"/>
                  </w14:solidFill>
                </w14:textFill>
              </w:rPr>
              <w:t>，其</w:t>
            </w:r>
            <w:r>
              <w:rPr>
                <w:color w:val="000000" w:themeColor="text1"/>
                <w:sz w:val="21"/>
                <w:szCs w:val="21"/>
                <w14:textFill>
                  <w14:solidFill>
                    <w14:schemeClr w14:val="tx1"/>
                  </w14:solidFill>
                </w14:textFill>
              </w:rPr>
              <w:t>场所与居住场所不在同一建筑物内。</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禁止在具有火灾、爆炸危险的场所吸烟、使用明火。因施工等特殊情况需要使用明火作业的，应当按照规定事先办理审批手续，采取相应的消防安全措施；作业人员应当遵守消防安全规定。</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进行电焊、气焊等具有火灾危险作业的人员和自动消防系统的操作人员，必须持证上岗，并遵守消防安全操作规程。</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第二十一条</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本项目火灾危险的场所禁止吸烟、使用明火，制定有动火作业管理制度，电焊、气焊等具有火灾危险作业的人员持证上岗。</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消防产品必须符合国家标准；没有国家标准的，必须符合行业标准。禁止生产、销售或者使用不合格的消防产品以及国家明令淘汰的消防产品。</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新研制的尚未制定国家标准、行业标准的消防产品，应当按照国务院产品质量监督部门会同国务院应急管理部门规定的办法，经技术鉴定符合消防安全要求的，方可生产、销售、使用。</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依照本条规定经强制性产品认证合格或者技术鉴定合格的消防产品，国务院应急管理部门应当予以公布。</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第二十四条</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本项目使用的消防产品符合国家标准。</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第二十八条</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本项目消防设施、器材符合要求。</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生产、储存、经营易燃易爆危险品的场所不得与居住场所设置在同一建筑物内，并应当与居住场所保持安全距离。</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生产、储存、经营其他物品的场所与居住场所设置在同一建筑物内的，应当符合国家工程建设消防技术标准。</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第十九条</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14:textFill>
                  <w14:solidFill>
                    <w14:schemeClr w14:val="tx1"/>
                  </w14:solidFill>
                </w14:textFill>
              </w:rPr>
              <w:t>易燃易爆危险品场所</w:t>
            </w:r>
            <w:r>
              <w:rPr>
                <w:color w:val="000000" w:themeColor="text1"/>
                <w:sz w:val="21"/>
                <w:szCs w:val="21"/>
                <w14:textFill>
                  <w14:solidFill>
                    <w14:schemeClr w14:val="tx1"/>
                  </w14:solidFill>
                </w14:textFill>
              </w:rPr>
              <w:t>不与居住场所设置在同一建筑物内。</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消防产品必须符合国家标准；没有国家标准的，必须符合行业标准。禁止生产、销售或者使用不合格的消防产品以及国家明令淘汰的消防产品。</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依法实行强制性产品认证的消防产品，由具有法定资质的认证机构按照国家标准、行业标准的强制性要求认证合格后，方可生产、销售、使用。实行强制性产品认证的消防产品目录，由国务院产品质量监督部门会同国务院应急管理部门制定并公布。</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新研制的尚未制定国家标准、行业标准的消防产品，应当按照国务院产品质量监督部门会同国务院应急管理部门规定的办法，经技术鉴定符合消防安全要求的，方可生产、销售、使用。依照本条规定经强制性产品认证合格或者技术鉴定合格的消防产品，国务院应急管理部门应当予以公布。</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第二十四条</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企业使用符合国家标准的消防产品。</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第二十八条</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企业消防设施、器材完好，疏散通道、安全出口、消防车通道畅通。</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ascii="宋体" w:hAnsi="宋体" w:cs="宋体"/>
                <w:sz w:val="21"/>
                <w:szCs w:val="21"/>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1140" w:type="pct"/>
            <w:vAlign w:val="center"/>
          </w:tcPr>
          <w:p>
            <w:pPr>
              <w:spacing w:line="300" w:lineRule="exact"/>
              <w:ind w:left="0" w:leftChars="0" w:right="0" w:rightChars="0" w:firstLine="0" w:firstLineChars="0"/>
              <w:jc w:val="center"/>
              <w:rPr>
                <w:rFonts w:hint="eastAsia" w:ascii="Times New Roman" w:hAnsi="Times New Roman" w:eastAsia="宋体" w:cs="Times New Roman"/>
                <w:sz w:val="20"/>
                <w:szCs w:val="20"/>
              </w:rPr>
            </w:pPr>
            <w:r>
              <w:rPr>
                <w:rFonts w:hint="eastAsia" w:ascii="Times New Roman" w:hAnsi="Times New Roman" w:eastAsia="宋体" w:cs="Times New Roman"/>
                <w:sz w:val="20"/>
                <w:szCs w:val="20"/>
              </w:rPr>
              <w:t>《消防设施通用规范》（GB 55036-2022）2.0.9</w:t>
            </w:r>
          </w:p>
        </w:tc>
        <w:tc>
          <w:tcPr>
            <w:tcW w:w="1254" w:type="pct"/>
            <w:vAlign w:val="center"/>
          </w:tcPr>
          <w:p>
            <w:pPr>
              <w:spacing w:line="240" w:lineRule="auto"/>
              <w:ind w:firstLine="0" w:firstLineChars="0"/>
              <w:jc w:val="both"/>
              <w:rPr>
                <w:sz w:val="21"/>
                <w:szCs w:val="21"/>
              </w:rPr>
            </w:pPr>
            <w:r>
              <w:rPr>
                <w:rFonts w:hint="eastAsia" w:ascii="宋体" w:hAnsi="宋体" w:cs="宋体"/>
                <w:sz w:val="21"/>
                <w:szCs w:val="21"/>
              </w:rPr>
              <w:t>消防设施投入使用后定期进行巡查、检查和维护。</w:t>
            </w:r>
          </w:p>
        </w:tc>
        <w:tc>
          <w:tcPr>
            <w:tcW w:w="468" w:type="pct"/>
            <w:vAlign w:val="center"/>
          </w:tcPr>
          <w:p>
            <w:pPr>
              <w:ind w:firstLine="0" w:firstLineChars="0"/>
              <w:jc w:val="center"/>
              <w:rPr>
                <w:color w:val="000000" w:themeColor="text1"/>
                <w:sz w:val="21"/>
                <w:szCs w:val="21"/>
                <w14:textFill>
                  <w14:solidFill>
                    <w14:schemeClr w14:val="tx1"/>
                  </w14:solidFill>
                </w14:textFill>
              </w:rPr>
            </w:pPr>
            <w:r>
              <w:rPr>
                <w:rFonts w:hint="eastAsia"/>
                <w:bCs/>
                <w:sz w:val="20"/>
                <w:szCs w:val="20"/>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jc w:val="both"/>
              <w:rPr>
                <w:color w:val="000000" w:themeColor="text1"/>
                <w:sz w:val="21"/>
                <w:szCs w:val="21"/>
                <w14:textFill>
                  <w14:solidFill>
                    <w14:schemeClr w14:val="tx1"/>
                  </w14:solidFill>
                </w14:textFill>
              </w:rPr>
            </w:pPr>
            <w:r>
              <w:rPr>
                <w:rFonts w:hint="eastAsia" w:ascii="宋体" w:hAnsi="宋体" w:cs="宋体"/>
                <w:sz w:val="21"/>
                <w:szCs w:val="21"/>
              </w:rPr>
              <w:t>消防设施上或附近应设置区别于环境的明显标识，说明文字应准确、清楚且易于识别，颜色、符号或标志应规范。手动操作按钮等装置处应采取防止误操作或被损坏的防护措施。</w:t>
            </w:r>
          </w:p>
        </w:tc>
        <w:tc>
          <w:tcPr>
            <w:tcW w:w="1140" w:type="pct"/>
            <w:vAlign w:val="center"/>
          </w:tcPr>
          <w:p>
            <w:pPr>
              <w:spacing w:line="300" w:lineRule="exact"/>
              <w:ind w:left="0" w:leftChars="0" w:right="0" w:rightChars="0" w:firstLine="0" w:firstLineChars="0"/>
              <w:jc w:val="center"/>
              <w:rPr>
                <w:rFonts w:hint="eastAsia" w:ascii="Times New Roman" w:hAnsi="Times New Roman" w:eastAsia="宋体" w:cs="Times New Roman"/>
                <w:sz w:val="20"/>
                <w:szCs w:val="20"/>
              </w:rPr>
            </w:pPr>
            <w:r>
              <w:rPr>
                <w:rFonts w:hint="eastAsia" w:ascii="Times New Roman" w:hAnsi="Times New Roman" w:eastAsia="宋体" w:cs="Times New Roman"/>
                <w:sz w:val="20"/>
                <w:szCs w:val="20"/>
              </w:rPr>
              <w:t>《消防设施通用规范》（GB 55036-2022）2.0.10</w:t>
            </w:r>
          </w:p>
        </w:tc>
        <w:tc>
          <w:tcPr>
            <w:tcW w:w="1254" w:type="pct"/>
            <w:vAlign w:val="center"/>
          </w:tcPr>
          <w:p>
            <w:pPr>
              <w:spacing w:line="240" w:lineRule="auto"/>
              <w:ind w:firstLine="0" w:firstLineChars="0"/>
              <w:jc w:val="both"/>
              <w:rPr>
                <w:sz w:val="21"/>
                <w:szCs w:val="21"/>
              </w:rPr>
            </w:pPr>
            <w:r>
              <w:rPr>
                <w:rFonts w:hint="eastAsia" w:ascii="宋体" w:hAnsi="宋体" w:cs="宋体"/>
                <w:sz w:val="21"/>
                <w:szCs w:val="21"/>
              </w:rPr>
              <w:t>消防设施上或附近设置了区别于环境的明显标识。</w:t>
            </w:r>
          </w:p>
        </w:tc>
        <w:tc>
          <w:tcPr>
            <w:tcW w:w="468" w:type="pct"/>
            <w:vAlign w:val="center"/>
          </w:tcPr>
          <w:p>
            <w:pPr>
              <w:ind w:firstLine="0" w:firstLineChars="0"/>
              <w:jc w:val="center"/>
              <w:rPr>
                <w:color w:val="000000" w:themeColor="text1"/>
                <w:sz w:val="21"/>
                <w:szCs w:val="21"/>
                <w14:textFill>
                  <w14:solidFill>
                    <w14:schemeClr w14:val="tx1"/>
                  </w14:solidFill>
                </w14:textFill>
              </w:rPr>
            </w:pPr>
            <w:r>
              <w:rPr>
                <w:rFonts w:hint="eastAsia"/>
                <w:bCs/>
                <w:sz w:val="20"/>
                <w:szCs w:val="20"/>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建筑的疏散出口数量、位置和宽度，疏散楼梯（间）的形式</w:t>
            </w:r>
          </w:p>
          <w:p>
            <w:pPr>
              <w:spacing w:line="240" w:lineRule="auto"/>
              <w:ind w:firstLine="0" w:firstLineChars="0"/>
              <w:jc w:val="both"/>
              <w:rPr>
                <w:color w:val="000000" w:themeColor="text1"/>
                <w:sz w:val="21"/>
                <w:szCs w:val="21"/>
                <w14:textFill>
                  <w14:solidFill>
                    <w14:schemeClr w14:val="tx1"/>
                  </w14:solidFill>
                </w14:textFill>
              </w:rPr>
            </w:pPr>
            <w:r>
              <w:rPr>
                <w:rFonts w:hint="eastAsia" w:ascii="宋体" w:hAnsi="宋体" w:cs="宋体"/>
                <w:sz w:val="21"/>
                <w:szCs w:val="21"/>
              </w:rPr>
              <w:t>和宽度，避难设施的位置和面积等，应与建筑的使用功能、火灾危险性、耐火等级、建筑高度或层数、埋深、建筑面积、人员密度、人员特性等相适应。</w:t>
            </w:r>
          </w:p>
        </w:tc>
        <w:tc>
          <w:tcPr>
            <w:tcW w:w="1140" w:type="pct"/>
            <w:vAlign w:val="center"/>
          </w:tcPr>
          <w:p>
            <w:pPr>
              <w:spacing w:line="300" w:lineRule="exact"/>
              <w:ind w:left="0" w:leftChars="0" w:right="0" w:rightChars="0" w:firstLine="0" w:firstLineChars="0"/>
              <w:jc w:val="center"/>
              <w:rPr>
                <w:sz w:val="21"/>
                <w:szCs w:val="21"/>
              </w:rPr>
            </w:pPr>
            <w:r>
              <w:rPr>
                <w:rFonts w:hint="eastAsia" w:cs="Times New Roman"/>
                <w:sz w:val="20"/>
                <w:szCs w:val="20"/>
              </w:rPr>
              <w:t>《建筑防火通用规范》（GB55037-2022）7.1.1</w:t>
            </w:r>
          </w:p>
        </w:tc>
        <w:tc>
          <w:tcPr>
            <w:tcW w:w="1254" w:type="pct"/>
            <w:vAlign w:val="center"/>
          </w:tcPr>
          <w:p>
            <w:pPr>
              <w:spacing w:line="240" w:lineRule="auto"/>
              <w:ind w:firstLine="0" w:firstLineChars="0"/>
              <w:jc w:val="both"/>
              <w:rPr>
                <w:sz w:val="21"/>
                <w:szCs w:val="21"/>
              </w:rPr>
            </w:pPr>
            <w:r>
              <w:rPr>
                <w:rFonts w:hint="eastAsia" w:ascii="宋体" w:hAnsi="宋体" w:cs="宋体"/>
                <w:sz w:val="21"/>
                <w:szCs w:val="21"/>
              </w:rPr>
              <w:t>项目建（构）筑物的安全疏散和避难设施与建筑的使用功能、火灾危险性、耐火等级、建筑高度或层数、埋深、建筑面积、人员密度、人员特性等相适应。</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bCs/>
                <w:sz w:val="20"/>
                <w:szCs w:val="20"/>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jc w:val="both"/>
              <w:rPr>
                <w:rFonts w:ascii="宋体" w:hAnsi="宋体" w:cs="宋体"/>
                <w:sz w:val="21"/>
                <w:szCs w:val="21"/>
              </w:rPr>
            </w:pPr>
            <w:r>
              <w:rPr>
                <w:rFonts w:hint="eastAsia" w:ascii="宋体" w:hAnsi="宋体" w:cs="宋体"/>
                <w:sz w:val="21"/>
                <w:szCs w:val="21"/>
              </w:rPr>
              <w:t>厂房中符合下列条件的每个防火分区或一个防火分区的</w:t>
            </w:r>
          </w:p>
          <w:p>
            <w:pPr>
              <w:spacing w:line="240" w:lineRule="auto"/>
              <w:ind w:firstLine="0" w:firstLineChars="0"/>
              <w:jc w:val="both"/>
              <w:rPr>
                <w:rFonts w:hint="eastAsia" w:ascii="宋体" w:hAnsi="宋体" w:cs="宋体"/>
                <w:sz w:val="21"/>
                <w:szCs w:val="21"/>
              </w:rPr>
            </w:pPr>
            <w:r>
              <w:rPr>
                <w:rFonts w:hint="eastAsia" w:ascii="宋体" w:hAnsi="宋体" w:cs="宋体"/>
                <w:sz w:val="21"/>
                <w:szCs w:val="21"/>
              </w:rPr>
              <w:t>每个楼层，安全出口不应少于2个：</w:t>
            </w:r>
          </w:p>
          <w:p>
            <w:pPr>
              <w:pStyle w:val="2"/>
              <w:keepNext w:val="0"/>
              <w:keepLines w:val="0"/>
              <w:pageBreakBefore w:val="0"/>
              <w:widowControl w:val="0"/>
              <w:kinsoku/>
              <w:wordWrap/>
              <w:overflowPunct/>
              <w:topLinePunct w:val="0"/>
              <w:autoSpaceDE/>
              <w:autoSpaceDN/>
              <w:bidi w:val="0"/>
              <w:adjustRightInd/>
              <w:snapToGrid w:val="0"/>
              <w:spacing w:after="0" w:line="240" w:lineRule="auto"/>
              <w:ind w:firstLine="0" w:firstLineChars="0"/>
              <w:textAlignment w:val="auto"/>
              <w:rPr>
                <w:rFonts w:hint="eastAsia" w:ascii="宋体" w:hAnsi="宋体" w:eastAsia="宋体" w:cs="宋体"/>
              </w:rPr>
            </w:pPr>
            <w:r>
              <w:rPr>
                <w:rFonts w:hint="eastAsia" w:ascii="宋体" w:hAnsi="宋体" w:eastAsia="宋体" w:cs="宋体"/>
              </w:rPr>
              <w:t>…</w:t>
            </w:r>
          </w:p>
          <w:p>
            <w:pPr>
              <w:spacing w:line="240" w:lineRule="auto"/>
              <w:ind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r>
              <w:rPr>
                <w:rFonts w:hint="eastAsia"/>
                <w:color w:val="000000" w:themeColor="text1"/>
                <w:sz w:val="21"/>
                <w:szCs w:val="21"/>
                <w:lang w:val="en-US" w:eastAsia="zh-CN"/>
                <w14:textFill>
                  <w14:solidFill>
                    <w14:schemeClr w14:val="tx1"/>
                  </w14:solidFill>
                </w14:textFill>
              </w:rPr>
              <w:t xml:space="preserve"> </w:t>
            </w:r>
            <w:r>
              <w:rPr>
                <w:rFonts w:hint="eastAsia"/>
                <w:color w:val="000000" w:themeColor="text1"/>
                <w:sz w:val="21"/>
                <w:szCs w:val="21"/>
                <w14:textFill>
                  <w14:solidFill>
                    <w14:schemeClr w14:val="tx1"/>
                  </w14:solidFill>
                </w14:textFill>
              </w:rPr>
              <w:t>丙类地下或半地下生产场所，一个防火分区或楼层的建筑面积大于50m</w:t>
            </w:r>
            <w:r>
              <w:rPr>
                <w:rFonts w:hint="eastAsia"/>
                <w:color w:val="000000" w:themeColor="text1"/>
                <w:sz w:val="21"/>
                <w:szCs w:val="21"/>
                <w:vertAlign w:val="superscript"/>
                <w14:textFill>
                  <w14:solidFill>
                    <w14:schemeClr w14:val="tx1"/>
                  </w14:solidFill>
                </w14:textFill>
              </w:rPr>
              <w:t>2</w:t>
            </w:r>
            <w:r>
              <w:rPr>
                <w:rFonts w:hint="eastAsia"/>
                <w:color w:val="000000" w:themeColor="text1"/>
                <w:sz w:val="21"/>
                <w:szCs w:val="21"/>
                <w14:textFill>
                  <w14:solidFill>
                    <w14:schemeClr w14:val="tx1"/>
                  </w14:solidFill>
                </w14:textFill>
              </w:rPr>
              <w:t>或同一时间的使用人数大于15人；</w:t>
            </w:r>
          </w:p>
        </w:tc>
        <w:tc>
          <w:tcPr>
            <w:tcW w:w="1140" w:type="pct"/>
            <w:vAlign w:val="center"/>
          </w:tcPr>
          <w:p>
            <w:pPr>
              <w:spacing w:line="240" w:lineRule="auto"/>
              <w:ind w:left="0" w:leftChars="0" w:right="0" w:rightChars="0" w:firstLine="0" w:firstLineChars="0"/>
              <w:jc w:val="center"/>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《建筑防火通用规范》（GB55037-2022）7.2.1</w:t>
            </w:r>
          </w:p>
        </w:tc>
        <w:tc>
          <w:tcPr>
            <w:tcW w:w="1254" w:type="pct"/>
            <w:vAlign w:val="center"/>
          </w:tcPr>
          <w:p>
            <w:pPr>
              <w:spacing w:line="240" w:lineRule="auto"/>
              <w:ind w:firstLine="0" w:firstLineChars="0"/>
              <w:jc w:val="both"/>
              <w:rPr>
                <w:sz w:val="21"/>
                <w:szCs w:val="21"/>
              </w:rPr>
            </w:pPr>
            <w:r>
              <w:rPr>
                <w:rFonts w:hint="eastAsia" w:ascii="宋体" w:hAnsi="宋体" w:cs="宋体"/>
                <w:sz w:val="21"/>
                <w:szCs w:val="21"/>
                <w:lang w:val="en-US" w:eastAsia="zh-CN"/>
              </w:rPr>
              <w:t>项目</w:t>
            </w:r>
            <w:r>
              <w:rPr>
                <w:rFonts w:hint="eastAsia" w:ascii="宋体" w:hAnsi="宋体" w:cs="宋体"/>
                <w:sz w:val="21"/>
                <w:szCs w:val="21"/>
              </w:rPr>
              <w:t>厂房安全出口均不少于2个。</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bCs/>
                <w:sz w:val="20"/>
                <w:szCs w:val="20"/>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工厂、仓库区内应设置消防车道。高层厂房，占地面积大于3000m²的甲、乙、丙类厂房和占地面积大于1500m²的乙、丙类仓库，应设置环形消防车道，确有困难时，应沿建筑物的两个长边设置消防车道。</w:t>
            </w:r>
          </w:p>
        </w:tc>
        <w:tc>
          <w:tcPr>
            <w:tcW w:w="1140" w:type="pct"/>
            <w:vAlign w:val="center"/>
          </w:tcPr>
          <w:p>
            <w:pPr>
              <w:spacing w:line="240" w:lineRule="auto"/>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《建筑设计防火规范（2018年版）》（GB50016-2014）</w:t>
            </w:r>
          </w:p>
          <w:p>
            <w:pPr>
              <w:spacing w:line="240" w:lineRule="auto"/>
              <w:ind w:firstLine="0" w:firstLineChars="0"/>
              <w:jc w:val="both"/>
              <w:rPr>
                <w:rFonts w:hint="eastAsia"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7.1.3</w:t>
            </w:r>
          </w:p>
        </w:tc>
        <w:tc>
          <w:tcPr>
            <w:tcW w:w="1254" w:type="pct"/>
            <w:vAlign w:val="center"/>
          </w:tcPr>
          <w:p>
            <w:pPr>
              <w:spacing w:line="240" w:lineRule="auto"/>
              <w:ind w:firstLine="0" w:firstLineChars="0"/>
              <w:rPr>
                <w:sz w:val="21"/>
                <w:szCs w:val="21"/>
              </w:rPr>
            </w:pPr>
            <w:r>
              <w:rPr>
                <w:sz w:val="21"/>
                <w:szCs w:val="21"/>
              </w:rPr>
              <w:t>本项目</w:t>
            </w:r>
            <w:r>
              <w:rPr>
                <w:rFonts w:hint="eastAsia"/>
                <w:sz w:val="21"/>
                <w:szCs w:val="21"/>
              </w:rPr>
              <w:t>临近外部道路，厂区内部停车场可供消防车辆停放、调头。</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在穿过建筑物或进入建筑物内院的消防车道两侧，不应设置影响消防车通行或人员安全疏散的设施。</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《建筑设计防火规范（2018年版）》（GB50016-2014）</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7.1.5</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消防车道两侧</w:t>
            </w:r>
            <w:r>
              <w:rPr>
                <w:rFonts w:hint="eastAsia"/>
                <w:color w:val="000000" w:themeColor="text1"/>
                <w:sz w:val="21"/>
                <w:szCs w:val="21"/>
                <w14:textFill>
                  <w14:solidFill>
                    <w14:schemeClr w14:val="tx1"/>
                  </w14:solidFill>
                </w14:textFill>
              </w:rPr>
              <w:t>无</w:t>
            </w:r>
            <w:r>
              <w:rPr>
                <w:color w:val="000000" w:themeColor="text1"/>
                <w:sz w:val="21"/>
                <w:szCs w:val="21"/>
                <w14:textFill>
                  <w14:solidFill>
                    <w14:schemeClr w14:val="tx1"/>
                  </w14:solidFill>
                </w14:textFill>
              </w:rPr>
              <w:t>影响消防车通行或人员安全疏散的设施。</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厂房、仓库、储罐（区）和堆场应设置灭火器。</w:t>
            </w:r>
          </w:p>
        </w:tc>
        <w:tc>
          <w:tcPr>
            <w:tcW w:w="1140"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《建筑设计防火规范（2018年版）》（GB50016-2014）</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8.1.9</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本项目生产车间设置了灭火器。</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高层住宅建筑的公共部位和公共建筑内应设置灭火器，其他住宅建筑的公共部位宜设置灭火器。</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厂房、仓库、储罐（区）和堆场，应设置灭火器。</w:t>
            </w:r>
          </w:p>
        </w:tc>
        <w:tc>
          <w:tcPr>
            <w:tcW w:w="1140"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《建筑设计防火规范（2018年版）》（GB50016-2014）</w:t>
            </w:r>
          </w:p>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8.1.10</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本项目厂房、仓库设置灭火器。</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下列建筑或场所应设置室内消火栓系统：</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 建筑占地面积大于300m²的厂房和仓库；</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 高层公共建筑和建筑高度大于 21m的住宅建筑；</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注：建筑高度不大于27m的住宅建筑，设置室内消火栓系统确有困难时，可只设置干式消防竖管和不带消火栓箱的DN65的室内消火栓。</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 体积大于5000m³的车站、码头、机场的候车（船、机）建筑、展览建筑、商店建筑、旅馆建筑、医疗建筑、老年人照料设施和图书馆建筑等单、多层建筑；</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 特等、甲等剧场，超过800个座位的其他等级的剧场和电影院等以及超过1200个座位的礼堂、体育馆等单、多层建筑；</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 建筑高度大于15m或体积大于10000m³的办公建筑、教学建筑和其他单、多层民用建筑。</w:t>
            </w:r>
          </w:p>
        </w:tc>
        <w:tc>
          <w:tcPr>
            <w:tcW w:w="1140"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《建筑设计防火规范（2018年版）》（GB50016-2014）8.2.1</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本项目生产车间设置了室内消火栓系统。</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建筑内消防应急照明和灯光疏散指示标志的备用电源的连续供电时间应符合下列规定：</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 建筑高度大于 100m 的民用建筑，不应小于 1.50h；</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 医疗建筑、老年人照料设施、总建筑面积大于 100000m² 的公共建筑和总建筑面积大于 20000m² 的地下、半地下建筑，不应少于 1.00h；</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 其他建筑，不应少于0.50h。</w:t>
            </w:r>
          </w:p>
        </w:tc>
        <w:tc>
          <w:tcPr>
            <w:tcW w:w="1140"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《建筑设计防火规范（2018年版）》（GB50016-2014）10.1.5</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本项目建筑内消防应急照明和灯光疏散指示标志的备用电源的连续供电时间符合规定。</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消防控制室、消防水泵房、自备发电机房、配电室、防排烟机房以及发生火灾时仍需正常工作的消防设备房应设置备用照明，其作业面的最低照度不应低于正常照明的照度。</w:t>
            </w:r>
          </w:p>
        </w:tc>
        <w:tc>
          <w:tcPr>
            <w:tcW w:w="1140" w:type="pct"/>
            <w:vAlign w:val="center"/>
          </w:tcPr>
          <w:p>
            <w:pPr>
              <w:tabs>
                <w:tab w:val="left" w:pos="2898"/>
              </w:tabs>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《建筑设计防火规范（2018年版）》（GB50016-2014）</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10.3.3</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bookmarkStart w:id="877" w:name="_Hlk13060958"/>
            <w:r>
              <w:rPr>
                <w:color w:val="000000" w:themeColor="text1"/>
                <w:sz w:val="21"/>
                <w:szCs w:val="21"/>
                <w14:textFill>
                  <w14:solidFill>
                    <w14:schemeClr w14:val="tx1"/>
                  </w14:solidFill>
                </w14:textFill>
              </w:rPr>
              <w:t>配电室等处设置</w:t>
            </w:r>
            <w:r>
              <w:rPr>
                <w:rFonts w:hint="eastAsia"/>
                <w:color w:val="000000" w:themeColor="text1"/>
                <w:sz w:val="21"/>
                <w:szCs w:val="21"/>
                <w14:textFill>
                  <w14:solidFill>
                    <w14:schemeClr w14:val="tx1"/>
                  </w14:solidFill>
                </w14:textFill>
              </w:rPr>
              <w:t>了</w:t>
            </w:r>
            <w:r>
              <w:rPr>
                <w:color w:val="000000" w:themeColor="text1"/>
                <w:sz w:val="21"/>
                <w:szCs w:val="21"/>
                <w14:textFill>
                  <w14:solidFill>
                    <w14:schemeClr w14:val="tx1"/>
                  </w14:solidFill>
                </w14:textFill>
              </w:rPr>
              <w:t>应急照明灯具。</w:t>
            </w:r>
            <w:bookmarkEnd w:id="877"/>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灭火器应设置在位置明显和便于取用的地点，且不得影响安全疏散。</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《建筑灭火器配置设计规范》（GB50140-2005）</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5.1.1</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本项目厂区内灭火器设置在明显和便于取用的地点，且不影响安全疏散。</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2" w:type="pct"/>
            <w:vAlign w:val="center"/>
          </w:tcPr>
          <w:p>
            <w:pPr>
              <w:widowControl/>
              <w:numPr>
                <w:ilvl w:val="0"/>
                <w:numId w:val="50"/>
              </w:numPr>
              <w:spacing w:line="240" w:lineRule="auto"/>
              <w:ind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7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灭火器的摆放应稳固，其铭牌应朝外。手提式灭火器宜设置在灭火器箱内或挂钩、托架上，其顶部离地面高度不应大于1.50m；底部离地面高度不宜小于0.08m。灭火器箱不得上锁。</w:t>
            </w:r>
          </w:p>
        </w:tc>
        <w:tc>
          <w:tcPr>
            <w:tcW w:w="1140"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《建筑灭火器配置设计规范》（GB50140-2005）</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5.1.3</w:t>
            </w:r>
          </w:p>
        </w:tc>
        <w:tc>
          <w:tcPr>
            <w:tcW w:w="125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本项目厂区内灭火器的摆放稳固，其铭牌朝外。灭火器的摆放符合要求。</w:t>
            </w:r>
          </w:p>
        </w:tc>
        <w:tc>
          <w:tcPr>
            <w:tcW w:w="468"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bl>
    <w:p>
      <w:pPr>
        <w:ind w:firstLine="560"/>
        <w:rPr>
          <w:rFonts w:ascii="Times New Roman" w:hAnsi="Times New Roman" w:eastAsia="宋体" w:cs="Times New Roman"/>
          <w:color w:val="000000" w:themeColor="text1"/>
          <w:szCs w:val="28"/>
          <w14:textFill>
            <w14:solidFill>
              <w14:schemeClr w14:val="tx1"/>
            </w14:solidFill>
          </w14:textFill>
        </w:rPr>
      </w:pPr>
      <w:r>
        <w:rPr>
          <w:rFonts w:ascii="Times New Roman" w:hAnsi="Times New Roman" w:eastAsia="宋体" w:cs="Times New Roman"/>
          <w:color w:val="000000" w:themeColor="text1"/>
          <w:szCs w:val="28"/>
          <w14:textFill>
            <w14:solidFill>
              <w14:schemeClr w14:val="tx1"/>
            </w14:solidFill>
          </w14:textFill>
        </w:rPr>
        <w:t>由上述安全检查表的结果可知，本项目的供</w:t>
      </w:r>
      <w:r>
        <w:rPr>
          <w:rFonts w:hint="eastAsia" w:ascii="Times New Roman" w:hAnsi="Times New Roman" w:eastAsia="宋体" w:cs="Times New Roman"/>
          <w:color w:val="000000" w:themeColor="text1"/>
          <w:szCs w:val="28"/>
          <w:lang w:val="en-US" w:eastAsia="zh-CN"/>
          <w14:textFill>
            <w14:solidFill>
              <w14:schemeClr w14:val="tx1"/>
            </w14:solidFill>
          </w14:textFill>
        </w:rPr>
        <w:t>消防</w:t>
      </w:r>
      <w:r>
        <w:rPr>
          <w:rFonts w:ascii="Times New Roman" w:hAnsi="Times New Roman" w:eastAsia="宋体" w:cs="Times New Roman"/>
          <w:color w:val="000000" w:themeColor="text1"/>
          <w:szCs w:val="28"/>
          <w14:textFill>
            <w14:solidFill>
              <w14:schemeClr w14:val="tx1"/>
            </w14:solidFill>
          </w14:textFill>
        </w:rPr>
        <w:t>系统</w:t>
      </w:r>
      <w:r>
        <w:rPr>
          <w:rFonts w:hint="eastAsia" w:ascii="Times New Roman" w:hAnsi="Times New Roman" w:eastAsia="宋体" w:cs="Times New Roman"/>
          <w:color w:val="000000" w:themeColor="text1"/>
          <w:szCs w:val="28"/>
          <w14:textFill>
            <w14:solidFill>
              <w14:schemeClr w14:val="tx1"/>
            </w14:solidFill>
          </w14:textFill>
        </w:rPr>
        <w:t>符合</w:t>
      </w:r>
      <w:r>
        <w:rPr>
          <w:rFonts w:ascii="Times New Roman" w:hAnsi="Times New Roman" w:eastAsia="宋体" w:cs="Times New Roman"/>
          <w:color w:val="000000" w:themeColor="text1"/>
          <w:szCs w:val="28"/>
          <w14:textFill>
            <w14:solidFill>
              <w14:schemeClr w14:val="tx1"/>
            </w14:solidFill>
          </w14:textFill>
        </w:rPr>
        <w:t>《中华人民共和国消防法》</w:t>
      </w:r>
      <w:r>
        <w:rPr>
          <w:rFonts w:hint="eastAsia" w:ascii="Times New Roman" w:hAnsi="Times New Roman" w:eastAsia="宋体" w:cs="Times New Roman"/>
          <w:color w:val="000000" w:themeColor="text1"/>
          <w:szCs w:val="28"/>
          <w:lang w:eastAsia="zh-CN"/>
          <w14:textFill>
            <w14:solidFill>
              <w14:schemeClr w14:val="tx1"/>
            </w14:solidFill>
          </w14:textFill>
        </w:rPr>
        <w:t>、</w:t>
      </w:r>
      <w:r>
        <w:rPr>
          <w:rFonts w:hint="eastAsia" w:ascii="Times New Roman" w:hAnsi="Times New Roman" w:eastAsia="宋体" w:cs="Times New Roman"/>
          <w:color w:val="000000" w:themeColor="text1"/>
          <w:szCs w:val="28"/>
          <w14:textFill>
            <w14:solidFill>
              <w14:schemeClr w14:val="tx1"/>
            </w14:solidFill>
          </w14:textFill>
        </w:rPr>
        <w:t>《建筑防火通用规范》（GB55037-2022）</w:t>
      </w:r>
      <w:r>
        <w:rPr>
          <w:rFonts w:hint="eastAsia" w:ascii="Times New Roman" w:hAnsi="Times New Roman" w:eastAsia="宋体" w:cs="Times New Roman"/>
          <w:color w:val="000000" w:themeColor="text1"/>
          <w:szCs w:val="28"/>
          <w:lang w:eastAsia="zh-CN"/>
          <w14:textFill>
            <w14:solidFill>
              <w14:schemeClr w14:val="tx1"/>
            </w14:solidFill>
          </w14:textFill>
        </w:rPr>
        <w:t>、《</w:t>
      </w:r>
      <w:r>
        <w:rPr>
          <w:rFonts w:ascii="Times New Roman" w:hAnsi="Times New Roman" w:eastAsia="宋体" w:cs="Times New Roman"/>
          <w:color w:val="000000" w:themeColor="text1"/>
          <w:szCs w:val="28"/>
          <w14:textFill>
            <w14:solidFill>
              <w14:schemeClr w14:val="tx1"/>
            </w14:solidFill>
          </w14:textFill>
        </w:rPr>
        <w:t>建筑设计防火规范（2018年版）》（GB50016-2014）</w:t>
      </w:r>
      <w:r>
        <w:rPr>
          <w:rFonts w:hint="eastAsia" w:ascii="Times New Roman" w:hAnsi="Times New Roman" w:eastAsia="宋体" w:cs="Times New Roman"/>
          <w:color w:val="000000" w:themeColor="text1"/>
          <w:szCs w:val="28"/>
          <w:lang w:eastAsia="zh-CN"/>
          <w14:textFill>
            <w14:solidFill>
              <w14:schemeClr w14:val="tx1"/>
            </w14:solidFill>
          </w14:textFill>
        </w:rPr>
        <w:t>、《</w:t>
      </w:r>
      <w:r>
        <w:rPr>
          <w:rFonts w:ascii="Times New Roman" w:hAnsi="Times New Roman" w:eastAsia="宋体" w:cs="Times New Roman"/>
          <w:color w:val="000000" w:themeColor="text1"/>
          <w:szCs w:val="28"/>
          <w14:textFill>
            <w14:solidFill>
              <w14:schemeClr w14:val="tx1"/>
            </w14:solidFill>
          </w14:textFill>
        </w:rPr>
        <w:t>建筑灭火器配置设计规范》（GB50140-2005）</w:t>
      </w:r>
      <w:r>
        <w:rPr>
          <w:rFonts w:hint="eastAsia" w:ascii="Times New Roman" w:hAnsi="Times New Roman" w:eastAsia="宋体" w:cs="Times New Roman"/>
          <w:color w:val="000000" w:themeColor="text1"/>
          <w:szCs w:val="28"/>
          <w14:textFill>
            <w14:solidFill>
              <w14:schemeClr w14:val="tx1"/>
            </w14:solidFill>
          </w14:textFill>
        </w:rPr>
        <w:t>等标准规范的要求。</w:t>
      </w:r>
    </w:p>
    <w:p>
      <w:pPr>
        <w:pStyle w:val="6"/>
        <w:rPr>
          <w:rFonts w:hint="eastAsia" w:ascii="Times New Roman" w:hAnsi="Times New Roman" w:eastAsia="黑体" w:cs="Times New Roman"/>
          <w:b/>
          <w:bCs/>
          <w:color w:val="000000" w:themeColor="text1"/>
          <w:kern w:val="0"/>
          <w:sz w:val="32"/>
          <w:szCs w:val="32"/>
          <w:lang w:val="en-US" w:eastAsia="zh-CN" w:bidi="ar-SA"/>
          <w14:textFill>
            <w14:solidFill>
              <w14:schemeClr w14:val="tx1"/>
            </w14:solidFill>
          </w14:textFill>
        </w:rPr>
      </w:pPr>
      <w:bookmarkStart w:id="878" w:name="_Toc27086"/>
      <w:r>
        <w:rPr>
          <w:rFonts w:hint="eastAsia" w:cs="Times New Roman"/>
          <w:b/>
          <w:bCs/>
          <w:color w:val="000000" w:themeColor="text1"/>
          <w:kern w:val="0"/>
          <w:sz w:val="32"/>
          <w:szCs w:val="32"/>
          <w:lang w:val="en-US" w:eastAsia="zh-CN" w:bidi="ar-SA"/>
          <w14:textFill>
            <w14:solidFill>
              <w14:schemeClr w14:val="tx1"/>
            </w14:solidFill>
          </w14:textFill>
        </w:rPr>
        <w:t>单元小结</w:t>
      </w:r>
      <w:bookmarkEnd w:id="878"/>
    </w:p>
    <w:p>
      <w:pPr>
        <w:ind w:firstLine="560"/>
        <w:rPr>
          <w:rFonts w:hint="eastAsia"/>
          <w:lang w:val="en-US" w:eastAsia="zh-CN"/>
        </w:rPr>
      </w:pPr>
      <w:r>
        <w:rPr>
          <w:rFonts w:hint="eastAsia"/>
          <w:color w:val="000000" w:themeColor="text1"/>
          <w:szCs w:val="28"/>
          <w14:textFill>
            <w14:solidFill>
              <w14:schemeClr w14:val="tx1"/>
            </w14:solidFill>
          </w14:textFill>
        </w:rPr>
        <w:t>本项目</w:t>
      </w:r>
      <w:r>
        <w:rPr>
          <w:rFonts w:hint="eastAsia"/>
          <w:color w:val="000000" w:themeColor="text1"/>
          <w:szCs w:val="28"/>
          <w:lang w:val="en-US" w:eastAsia="zh-CN"/>
          <w14:textFill>
            <w14:solidFill>
              <w14:schemeClr w14:val="tx1"/>
            </w14:solidFill>
          </w14:textFill>
        </w:rPr>
        <w:t>供配电、给排水、消防设施公用工程和辅助</w:t>
      </w:r>
      <w:r>
        <w:rPr>
          <w:color w:val="000000" w:themeColor="text1"/>
          <w:szCs w:val="28"/>
          <w14:textFill>
            <w14:solidFill>
              <w14:schemeClr w14:val="tx1"/>
            </w14:solidFill>
          </w14:textFill>
        </w:rPr>
        <w:t>设施</w:t>
      </w:r>
      <w:r>
        <w:rPr>
          <w:rFonts w:hint="eastAsia"/>
          <w:color w:val="000000" w:themeColor="text1"/>
          <w:szCs w:val="28"/>
          <w14:textFill>
            <w14:solidFill>
              <w14:schemeClr w14:val="tx1"/>
            </w14:solidFill>
          </w14:textFill>
        </w:rPr>
        <w:t>符合</w:t>
      </w:r>
      <w:r>
        <w:rPr>
          <w:rFonts w:hint="eastAsia"/>
          <w:color w:val="000000" w:themeColor="text1"/>
          <w:szCs w:val="28"/>
          <w:lang w:val="en-US" w:eastAsia="zh-CN"/>
          <w14:textFill>
            <w14:solidFill>
              <w14:schemeClr w14:val="tx1"/>
            </w14:solidFill>
          </w14:textFill>
        </w:rPr>
        <w:t>相关法律规范的</w:t>
      </w:r>
      <w:r>
        <w:rPr>
          <w:rFonts w:hint="eastAsia"/>
          <w:color w:val="000000" w:themeColor="text1"/>
          <w:szCs w:val="28"/>
          <w14:textFill>
            <w14:solidFill>
              <w14:schemeClr w14:val="tx1"/>
            </w14:solidFill>
          </w14:textFill>
        </w:rPr>
        <w:t>要求。</w:t>
      </w:r>
    </w:p>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Pr>
        <w:pStyle w:val="5"/>
        <w:rPr>
          <w:color w:val="000000" w:themeColor="text1"/>
          <w14:textFill>
            <w14:solidFill>
              <w14:schemeClr w14:val="tx1"/>
            </w14:solidFill>
          </w14:textFill>
        </w:rPr>
      </w:pPr>
      <w:bookmarkStart w:id="879" w:name="_Toc103178346"/>
      <w:bookmarkStart w:id="880" w:name="_Toc45548472"/>
      <w:bookmarkStart w:id="881" w:name="_Toc129520689"/>
      <w:bookmarkStart w:id="882" w:name="_Toc30881"/>
      <w:bookmarkStart w:id="883" w:name="_Toc98864494"/>
      <w:bookmarkStart w:id="884" w:name="_Toc982"/>
      <w:bookmarkStart w:id="885" w:name="_Toc458246033"/>
      <w:bookmarkStart w:id="886" w:name="_Toc54294507"/>
      <w:bookmarkStart w:id="887" w:name="_Toc201697652"/>
      <w:bookmarkStart w:id="888" w:name="_Toc51340741"/>
      <w:r>
        <w:rPr>
          <w:color w:val="000000" w:themeColor="text1"/>
          <w14:textFill>
            <w14:solidFill>
              <w14:schemeClr w14:val="tx1"/>
            </w14:solidFill>
          </w14:textFill>
        </w:rPr>
        <w:t>安全管理评价单元</w:t>
      </w:r>
      <w:bookmarkEnd w:id="879"/>
      <w:bookmarkEnd w:id="880"/>
      <w:bookmarkEnd w:id="881"/>
      <w:bookmarkEnd w:id="882"/>
      <w:bookmarkEnd w:id="883"/>
      <w:bookmarkEnd w:id="884"/>
    </w:p>
    <w:p>
      <w:pPr>
        <w:pStyle w:val="6"/>
        <w:rPr>
          <w:snapToGrid w:val="0"/>
          <w:color w:val="000000" w:themeColor="text1"/>
          <w14:textFill>
            <w14:solidFill>
              <w14:schemeClr w14:val="tx1"/>
            </w14:solidFill>
          </w14:textFill>
        </w:rPr>
      </w:pPr>
      <w:bookmarkStart w:id="889" w:name="_Toc95029275"/>
      <w:bookmarkStart w:id="890" w:name="_Toc110072142"/>
      <w:bookmarkStart w:id="891" w:name="_Toc113682757"/>
      <w:bookmarkStart w:id="892" w:name="_Toc251247629"/>
      <w:bookmarkStart w:id="893" w:name="_Toc95030443"/>
      <w:bookmarkStart w:id="894" w:name="_Toc95030632"/>
      <w:bookmarkStart w:id="895" w:name="_Toc95030577"/>
      <w:bookmarkStart w:id="896" w:name="_Toc95029111"/>
      <w:bookmarkStart w:id="897" w:name="_Toc95029026"/>
      <w:bookmarkStart w:id="898" w:name="_Toc95028749"/>
      <w:bookmarkStart w:id="899" w:name="_Toc95029408"/>
      <w:bookmarkStart w:id="900" w:name="_Toc95030058"/>
      <w:bookmarkStart w:id="901" w:name="_Toc95028563"/>
      <w:bookmarkStart w:id="902" w:name="_Toc110071956"/>
      <w:bookmarkStart w:id="903" w:name="_Toc95028912"/>
      <w:bookmarkStart w:id="904" w:name="_Toc95050661"/>
      <w:bookmarkStart w:id="905" w:name="_Toc251250839"/>
      <w:bookmarkStart w:id="906" w:name="_Toc95029633"/>
      <w:bookmarkStart w:id="907" w:name="_Toc95029508"/>
      <w:bookmarkStart w:id="908" w:name="_Toc95030522"/>
      <w:bookmarkStart w:id="909" w:name="_Toc95029781"/>
      <w:bookmarkStart w:id="910" w:name="_Toc208675031"/>
      <w:bookmarkStart w:id="911" w:name="_Toc378077038"/>
      <w:bookmarkStart w:id="912" w:name="_Toc458701206"/>
      <w:bookmarkStart w:id="913" w:name="_Toc531271169"/>
      <w:bookmarkStart w:id="914" w:name="_Toc208674443"/>
      <w:bookmarkStart w:id="915" w:name="_Toc103178347"/>
      <w:bookmarkStart w:id="916" w:name="_Toc13017"/>
      <w:bookmarkStart w:id="917" w:name="_Toc45548473"/>
      <w:bookmarkStart w:id="918" w:name="_Toc522811560"/>
      <w:bookmarkStart w:id="919" w:name="_Toc120332373"/>
      <w:bookmarkStart w:id="920" w:name="_Toc98864495"/>
      <w:bookmarkStart w:id="921" w:name="_Toc129520690"/>
      <w:bookmarkStart w:id="922" w:name="_Toc26354"/>
      <w:r>
        <w:rPr>
          <w:snapToGrid w:val="0"/>
          <w:color w:val="000000" w:themeColor="text1"/>
          <w14:textFill>
            <w14:solidFill>
              <w14:schemeClr w14:val="tx1"/>
            </w14:solidFill>
          </w14:textFill>
        </w:rPr>
        <w:t>安全管理</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r>
        <w:rPr>
          <w:snapToGrid w:val="0"/>
          <w:color w:val="000000" w:themeColor="text1"/>
          <w14:textFill>
            <w14:solidFill>
              <w14:schemeClr w14:val="tx1"/>
            </w14:solidFill>
          </w14:textFill>
        </w:rPr>
        <w:t>情况及分析评价</w:t>
      </w:r>
      <w:bookmarkEnd w:id="910"/>
      <w:bookmarkEnd w:id="911"/>
      <w:bookmarkEnd w:id="912"/>
      <w:bookmarkEnd w:id="913"/>
      <w:bookmarkEnd w:id="914"/>
      <w:bookmarkEnd w:id="915"/>
      <w:bookmarkEnd w:id="916"/>
      <w:bookmarkEnd w:id="917"/>
      <w:bookmarkEnd w:id="918"/>
      <w:bookmarkEnd w:id="919"/>
      <w:bookmarkEnd w:id="920"/>
      <w:bookmarkEnd w:id="921"/>
      <w:bookmarkEnd w:id="922"/>
    </w:p>
    <w:p>
      <w:pPr>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根据《中华人民共和国安全生产法》（中华人民共和国主席令第七十号，中华人民共和国主席令第八十八号修改）、《云南省安全生产条例》等</w:t>
      </w:r>
      <w:r>
        <w:rPr>
          <w:rFonts w:hint="eastAsia"/>
          <w:color w:val="000000" w:themeColor="text1"/>
          <w:szCs w:val="28"/>
          <w:lang w:eastAsia="zh-CN"/>
          <w14:textFill>
            <w14:solidFill>
              <w14:schemeClr w14:val="tx1"/>
            </w14:solidFill>
          </w14:textFill>
        </w:rPr>
        <w:t>法律法规</w:t>
      </w:r>
      <w:r>
        <w:rPr>
          <w:rFonts w:hint="eastAsia"/>
          <w:color w:val="000000" w:themeColor="text1"/>
          <w:szCs w:val="28"/>
          <w14:textFill>
            <w14:solidFill>
              <w14:schemeClr w14:val="tx1"/>
            </w14:solidFill>
          </w14:textFill>
        </w:rPr>
        <w:t>的要求，对项目的安全管理组织机构、安全生产管理制度、事故应急救援预案、特种作业人员培训及日常安全管理进行分析评价。</w:t>
      </w:r>
    </w:p>
    <w:p>
      <w:pPr>
        <w:pStyle w:val="14"/>
        <w:numPr>
          <w:ilvl w:val="0"/>
          <w:numId w:val="34"/>
        </w:numPr>
        <w:bidi w:val="0"/>
      </w:pPr>
      <w:r>
        <w:rPr>
          <w:rFonts w:ascii="Times New Roman" w:hAnsi="Times New Roman" w:eastAsia="宋体" w:cs="Times New Roman"/>
        </w:rPr>
        <w:t>安全管</w:t>
      </w:r>
      <w:r>
        <w:t>理安全检查表</w:t>
      </w:r>
    </w:p>
    <w:tbl>
      <w:tblPr>
        <w:tblStyle w:val="34"/>
        <w:tblW w:w="52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3401"/>
        <w:gridCol w:w="1835"/>
        <w:gridCol w:w="1981"/>
        <w:gridCol w:w="1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54"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894"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1022"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依据标准</w:t>
            </w:r>
          </w:p>
        </w:tc>
        <w:tc>
          <w:tcPr>
            <w:tcW w:w="1103"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624" w:type="pct"/>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生产经营单位必须遵守本法和其他有关安全生产的</w:t>
            </w:r>
            <w:r>
              <w:rPr>
                <w:rFonts w:hint="eastAsia"/>
                <w:color w:val="000000" w:themeColor="text1"/>
                <w:sz w:val="21"/>
                <w:szCs w:val="21"/>
                <w:lang w:eastAsia="zh-CN"/>
                <w14:textFill>
                  <w14:solidFill>
                    <w14:schemeClr w14:val="tx1"/>
                  </w14:solidFill>
                </w14:textFill>
              </w:rPr>
              <w:t>法律法规</w:t>
            </w:r>
            <w:r>
              <w:rPr>
                <w:color w:val="000000" w:themeColor="text1"/>
                <w:sz w:val="21"/>
                <w:szCs w:val="21"/>
                <w14:textFill>
                  <w14:solidFill>
                    <w14:schemeClr w14:val="tx1"/>
                  </w14:solidFill>
                </w14:textFill>
              </w:rPr>
              <w:t>，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第四条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企业按照国家</w:t>
            </w:r>
            <w:r>
              <w:rPr>
                <w:rFonts w:hint="eastAsia"/>
                <w:color w:val="000000" w:themeColor="text1"/>
                <w:sz w:val="21"/>
                <w:szCs w:val="21"/>
                <w:lang w:eastAsia="zh-CN"/>
                <w14:textFill>
                  <w14:solidFill>
                    <w14:schemeClr w14:val="tx1"/>
                  </w14:solidFill>
                </w14:textFill>
              </w:rPr>
              <w:t>法律法规</w:t>
            </w:r>
            <w:r>
              <w:rPr>
                <w:color w:val="000000" w:themeColor="text1"/>
                <w:sz w:val="21"/>
                <w:szCs w:val="21"/>
                <w14:textFill>
                  <w14:solidFill>
                    <w14:schemeClr w14:val="tx1"/>
                  </w14:solidFill>
                </w14:textFill>
              </w:rPr>
              <w:t>，结合自身实际，制定了各级人员安全生产责任制，制定了安全管理制度和操作规程。</w:t>
            </w:r>
            <w:r>
              <w:rPr>
                <w:rFonts w:hint="eastAsia"/>
                <w:color w:val="000000" w:themeColor="text1"/>
                <w:sz w:val="21"/>
                <w:szCs w:val="21"/>
                <w14:textFill>
                  <w14:solidFill>
                    <w14:schemeClr w14:val="tx1"/>
                  </w14:solidFill>
                </w14:textFill>
              </w:rPr>
              <w:t>构建了</w:t>
            </w:r>
            <w:r>
              <w:rPr>
                <w:color w:val="000000" w:themeColor="text1"/>
                <w:sz w:val="21"/>
                <w:szCs w:val="21"/>
                <w14:textFill>
                  <w14:solidFill>
                    <w14:schemeClr w14:val="tx1"/>
                  </w14:solidFill>
                </w14:textFill>
              </w:rPr>
              <w:t>安全风险分级管控和隐患排查治理双重预防机制</w:t>
            </w:r>
            <w:r>
              <w:rPr>
                <w:rFonts w:hint="eastAsia"/>
                <w:color w:val="000000" w:themeColor="text1"/>
                <w:sz w:val="21"/>
                <w:szCs w:val="21"/>
                <w14:textFill>
                  <w14:solidFill>
                    <w14:schemeClr w14:val="tx1"/>
                  </w14:solidFill>
                </w14:textFill>
              </w:rPr>
              <w:t>。</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生产经营单位的主要负责人是本单位安全生产第一责任人，对本单位的安全生产工作全面负责。其他负责人对职责范围内的安全生产工作负责。</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autoSpaceDE w:val="0"/>
              <w:autoSpaceDN w:val="0"/>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第五条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企业的主要负责人对本单位的安全生产工作全面负责，其他负责人对职责范围内的安全生产工作负责。</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生产经营单位应当具备本法和有关法律、行政法规和国家标准或者行业标准规定的安全生产条件；不具备安全生产条件的，不得从事生产经营活动。</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企业具备有关法律、行政法规和国家标准或者行业标准规定的安全生产条件。</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生产经营单位的全员安全生产责任制应当明确各岗位的责任人员、责任范围和考核标准等内容。</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生产经营单位应当建立相应的机制，加强对安全生产责任制落实情况的监督考核，保证安全生产责任制的落实。</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第二十二条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企业安全生产责任制明确各岗位的责任人员、责任范围和考核标准等内容，并制定相应的考核机制。</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生产经营单位应当具备的安全生产条件所必需的资金投入，由生产经营单位的决策机构、主要负责人或者个人经营的投资人予以保证，并对由于安全生产所必需的资金投入不足导致的后果承担责任。</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有关生产经营单位应当按照规定提取和使用安全生产费用，专门用于改善安全生产条件。安全生产费用在成本中据实列支。安全生产费用提取、使用和监督管理的具体办法由国务院财政部门会同国务院应急管理部门征求国务院有关部门意见后制定。</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第二十三条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w:t>
            </w:r>
            <w:r>
              <w:rPr>
                <w:rFonts w:hint="eastAsia"/>
                <w:color w:val="000000" w:themeColor="text1"/>
                <w:sz w:val="21"/>
                <w:szCs w:val="21"/>
                <w14:textFill>
                  <w14:solidFill>
                    <w14:schemeClr w14:val="tx1"/>
                  </w14:solidFill>
                </w14:textFill>
              </w:rPr>
              <w:t>具备安全生产条件所必需的资金投入</w:t>
            </w:r>
            <w:r>
              <w:rPr>
                <w:color w:val="000000" w:themeColor="text1"/>
                <w:sz w:val="21"/>
                <w:szCs w:val="21"/>
                <w14:textFill>
                  <w14:solidFill>
                    <w14:schemeClr w14:val="tx1"/>
                  </w14:solidFill>
                </w14:textFill>
              </w:rPr>
              <w:t>。</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矿山、金属冶炼、建筑施工、运输单位和危险物品的生产、经营、储存、装卸单位，应当设置安全生产管理机构或者配备专职安全生产管理人员。</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前款规定以外的其他生产经营单位，从业人员超过一百人的，应当设置安全生产管理机构或者配备专职安全生产管理人员</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从业人员在一百人以下的，应当配备专职或者兼职的安全生产管理人员。</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第二十四条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w:t>
            </w:r>
            <w:r>
              <w:rPr>
                <w:rFonts w:hint="eastAsia"/>
                <w:color w:val="000000" w:themeColor="text1"/>
                <w:sz w:val="21"/>
                <w:szCs w:val="21"/>
                <w14:textFill>
                  <w14:solidFill>
                    <w14:schemeClr w14:val="tx1"/>
                  </w14:solidFill>
                </w14:textFill>
              </w:rPr>
              <w:t>任命了专职</w:t>
            </w:r>
            <w:r>
              <w:rPr>
                <w:color w:val="000000" w:themeColor="text1"/>
                <w:sz w:val="21"/>
                <w:szCs w:val="21"/>
                <w14:textFill>
                  <w14:solidFill>
                    <w14:schemeClr w14:val="tx1"/>
                  </w14:solidFill>
                </w14:textFill>
              </w:rPr>
              <w:t>安全</w:t>
            </w:r>
            <w:r>
              <w:rPr>
                <w:rFonts w:hint="eastAsia"/>
                <w:color w:val="000000" w:themeColor="text1"/>
                <w:sz w:val="21"/>
                <w:szCs w:val="21"/>
                <w14:textFill>
                  <w14:solidFill>
                    <w14:schemeClr w14:val="tx1"/>
                  </w14:solidFill>
                </w14:textFill>
              </w:rPr>
              <w:t>管理人员</w:t>
            </w:r>
            <w:r>
              <w:rPr>
                <w:color w:val="000000" w:themeColor="text1"/>
                <w:sz w:val="21"/>
                <w:szCs w:val="21"/>
                <w14:textFill>
                  <w14:solidFill>
                    <w14:schemeClr w14:val="tx1"/>
                  </w14:solidFill>
                </w14:textFill>
              </w:rPr>
              <w:t>。</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生产经营单位的安全生产管理机构以及安全生产管理人员应当恪尽职守，依法履行职责。</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第二十六条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安全生产管理人员依法履行职责。</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生产经营单位的主要负责人和安全生产管理人员必须具备与本单位所从事的生产经营活动相应的安全生产知识和管理能力。</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第二十七条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企业主要负责人和安全生产管理人员持证上岗</w:t>
            </w:r>
            <w:r>
              <w:rPr>
                <w:color w:val="000000" w:themeColor="text1"/>
                <w:sz w:val="21"/>
                <w:szCs w:val="21"/>
                <w14:textFill>
                  <w14:solidFill>
                    <w14:schemeClr w14:val="tx1"/>
                  </w14:solidFill>
                </w14:textFill>
              </w:rPr>
              <w:t>。</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第二十八条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企业制定安全生产教育和培训制度，</w:t>
            </w:r>
            <w:r>
              <w:rPr>
                <w:rFonts w:hint="eastAsia"/>
                <w:color w:val="000000" w:themeColor="text1"/>
                <w:sz w:val="21"/>
                <w:szCs w:val="21"/>
                <w14:textFill>
                  <w14:solidFill>
                    <w14:schemeClr w14:val="tx1"/>
                  </w14:solidFill>
                </w14:textFill>
              </w:rPr>
              <w:t>人员</w:t>
            </w:r>
            <w:r>
              <w:rPr>
                <w:color w:val="000000" w:themeColor="text1"/>
                <w:sz w:val="21"/>
                <w:szCs w:val="21"/>
                <w14:textFill>
                  <w14:solidFill>
                    <w14:schemeClr w14:val="tx1"/>
                  </w14:solidFill>
                </w14:textFill>
              </w:rPr>
              <w:t>培训合格后方可上岗。</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生产经营单位采用新工艺、新技术、新材料或者使用新设备，必须了解、掌握其安全技术特性，采取有效的安全防护措施，并对从业人员进行专门的安全生产教育和培训。</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第二十九条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企业作业人员经培训合格后上岗。</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生产经营单位的特种作业人员必须按照国家有关规定经专门的安全作业培训，取得相应资格，方可上岗作业。</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特种作业人员的范围由国务院应急管理部门会同国务院有关部门确定。</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第三十条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14:textFill>
                  <w14:solidFill>
                    <w14:schemeClr w14:val="tx1"/>
                  </w14:solidFill>
                </w14:textFill>
              </w:rPr>
              <w:t>不涉及特种作业</w:t>
            </w:r>
            <w:r>
              <w:rPr>
                <w:color w:val="000000" w:themeColor="text1"/>
                <w:sz w:val="21"/>
                <w:szCs w:val="21"/>
                <w14:textFill>
                  <w14:solidFill>
                    <w14:schemeClr w14:val="tx1"/>
                  </w14:solidFill>
                </w14:textFill>
              </w:rPr>
              <w:t>。</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生产经营单位应当在有较大危险因素的生产经营场所和有关设施、设备上，设置明显的安全警示标志。</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第三十五条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本项目在有较大危险因素的生产经营场所和有关设施、设备上，设置明显的安全警示标志。</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安全设备的设计、制造、安装、使用、检测、维修、改造和报废，应当符合国家标准或者行业标准。</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生产经营单位必须对安全设备进行经常性维护、保养，并定期检测，保证正常运转。维护、保养、检测应当作好记录，并由有关人员签字。</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第三十六条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本项目设施设备填写有巡检记录。</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生产、经营、储存、使用危险物品的车间、商店、仓库不得与员工宿舍在同一座建筑物内，并应当与员工宿舍保持安全距离。</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生产经营场所和员工宿舍应当设有符合紧急疏散要求、标志明显、保持畅通的出口、疏散通道。禁止占用、锁闭、封堵、封堵生产经营场所或者员工宿舍的出口、疏散通道。</w:t>
            </w:r>
          </w:p>
        </w:tc>
        <w:tc>
          <w:tcPr>
            <w:tcW w:w="1022" w:type="pct"/>
            <w:vAlign w:val="center"/>
          </w:tcPr>
          <w:p>
            <w:pPr>
              <w:autoSpaceDE w:val="0"/>
              <w:autoSpaceDN w:val="0"/>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autoSpaceDE w:val="0"/>
              <w:autoSpaceDN w:val="0"/>
              <w:adjustRightIn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第四十二条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本项目</w:t>
            </w:r>
            <w:r>
              <w:rPr>
                <w:rFonts w:hint="eastAsia"/>
                <w:color w:val="000000" w:themeColor="text1"/>
                <w:sz w:val="21"/>
                <w:szCs w:val="21"/>
                <w:lang w:val="en-US" w:eastAsia="zh-CN"/>
                <w14:textFill>
                  <w14:solidFill>
                    <w14:schemeClr w14:val="tx1"/>
                  </w14:solidFill>
                </w14:textFill>
              </w:rPr>
              <w:t>未设置员工宿舍，</w:t>
            </w:r>
            <w:r>
              <w:rPr>
                <w:color w:val="000000" w:themeColor="text1"/>
                <w:sz w:val="21"/>
                <w:szCs w:val="21"/>
                <w14:textFill>
                  <w14:solidFill>
                    <w14:schemeClr w14:val="tx1"/>
                  </w14:solidFill>
                </w14:textFill>
              </w:rPr>
              <w:t>仓库有应急疏散标识和通道。</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生产经营单位进行爆破、吊装、动火、临时用电以及国务院应急管理部门会同国务院有关部门规定的其他危险作业，应当安排专门人员进行现场安全管理，确保操作规程的遵守和安全措施的落实。</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第四十三条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企业制定有危险作业许可管理程序。</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生产经营单位应当教育和督促从业人员严格执行本单位的安全生产规章制度和安全操作规程；并向从业人员如实告知作业场所和工作岗位存在的危险因素、防范措施以及事故应急措施。</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第四十四条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企业制定生产规章制度并监督执行，在危险场所设置警示标识，进行危险告知。</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生产经营单位必须为从业人员提供符合国家标准或者行业标准的劳动防护用品，并监督、教育从业人员按照使用规则佩戴、使用。</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生产经营单位应当关注从业人员的身体、心理状况和行为习惯，加强对从业人员的心理疏导、精神慰藉，严格落实岗位安全生产责任，防范从业人员行为异常导致事故发生。</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第四十五条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企业为从业人员配备劳动防护用品，并监督使用。</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生产经营单位的安全生产管理人员应当根据本单位的生产经营特点，对安全生产状况进行经常性检查</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对检查中发现的安全问题，应当立即处理</w:t>
            </w:r>
            <w:r>
              <w:rPr>
                <w:rFonts w:hint="eastAsia"/>
                <w:color w:val="000000" w:themeColor="text1"/>
                <w:sz w:val="21"/>
                <w:szCs w:val="21"/>
                <w:lang w:eastAsia="zh-CN"/>
                <w14:textFill>
                  <w14:solidFill>
                    <w14:schemeClr w14:val="tx1"/>
                  </w14:solidFill>
                </w14:textFill>
              </w:rPr>
              <w:t>；</w:t>
            </w:r>
            <w:r>
              <w:rPr>
                <w:color w:val="000000" w:themeColor="text1"/>
                <w:sz w:val="21"/>
                <w:szCs w:val="21"/>
                <w14:textFill>
                  <w14:solidFill>
                    <w14:schemeClr w14:val="tx1"/>
                  </w14:solidFill>
                </w14:textFill>
              </w:rPr>
              <w:t>不能处理的，应当及时报告本单位有关负责人，有关负责人应当及时处理。检查及处理情况应当如实记录在案。</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第四十六条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企业制定有事故隐患排查治理管理制度。</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生产经营单位应当安排用于配备劳动防护用品、进行安全生产培训的经费。</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第四十七条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企业有相关的安全生产经费投入。</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生产经营单位必须依法参加工伤保险，为从业人员缴纳保险费。</w:t>
            </w:r>
          </w:p>
        </w:tc>
        <w:tc>
          <w:tcPr>
            <w:tcW w:w="1022"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第五十一条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企业为从业人员缴纳了工伤保险。</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生产经营单位应当具备下列安全生产条件，方可从事生产经营活动：</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（一）有关</w:t>
            </w:r>
            <w:r>
              <w:rPr>
                <w:rFonts w:hint="eastAsia"/>
                <w:color w:val="000000" w:themeColor="text1"/>
                <w:sz w:val="21"/>
                <w:szCs w:val="21"/>
                <w:lang w:eastAsia="zh-CN"/>
                <w14:textFill>
                  <w14:solidFill>
                    <w14:schemeClr w14:val="tx1"/>
                  </w14:solidFill>
                </w14:textFill>
              </w:rPr>
              <w:t>法律法规</w:t>
            </w:r>
            <w:r>
              <w:rPr>
                <w:color w:val="000000" w:themeColor="text1"/>
                <w:sz w:val="21"/>
                <w:szCs w:val="21"/>
                <w14:textFill>
                  <w14:solidFill>
                    <w14:schemeClr w14:val="tx1"/>
                  </w14:solidFill>
                </w14:textFill>
              </w:rPr>
              <w:t>规定的安全生产条件，并依法取得相关证照；</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（二）生产经营场所和设备、设施符合有关国家标准或者行业标准；</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（三）建立健全安全生产责任制，制定安全生产规章制度和相关操作规程；</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（四）保证安全生产所必需的资金投入；</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（五）依法设置安全生产管理机构和配备安全生产管理人员；</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（六）为从业人员提供符合安全技术标准的劳动工具、劳动防护用品和自救器材，保证作业环境符合安全卫生标准；</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（七）主要负责人和安全生产管理人员具备与生产经营活动相适应的安全生产知识和管理能力；</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（八）从业人员经安全生产教育和培训合格，特种作业人员经专门的安全作业培训，取得特种作业操作资格证书。</w:t>
            </w:r>
          </w:p>
        </w:tc>
        <w:tc>
          <w:tcPr>
            <w:tcW w:w="1022"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《云南省安全生产条例》</w:t>
            </w:r>
          </w:p>
          <w:p>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第十条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（一）该企业依法取得了营业执照；</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（二）生产设施符合国家相关标准；</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（三）该公司按照国家</w:t>
            </w:r>
            <w:r>
              <w:rPr>
                <w:rFonts w:hint="eastAsia"/>
                <w:color w:val="000000" w:themeColor="text1"/>
                <w:sz w:val="21"/>
                <w:szCs w:val="21"/>
                <w:lang w:eastAsia="zh-CN"/>
                <w14:textFill>
                  <w14:solidFill>
                    <w14:schemeClr w14:val="tx1"/>
                  </w14:solidFill>
                </w14:textFill>
              </w:rPr>
              <w:t>法律法规</w:t>
            </w:r>
            <w:r>
              <w:rPr>
                <w:color w:val="000000" w:themeColor="text1"/>
                <w:sz w:val="21"/>
                <w:szCs w:val="21"/>
                <w14:textFill>
                  <w14:solidFill>
                    <w14:schemeClr w14:val="tx1"/>
                  </w14:solidFill>
                </w14:textFill>
              </w:rPr>
              <w:t>，结合自身实际，制定了各级人员安全生产责任制和安全管理制度，并根据生产特点制定了相应的操作规程；</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（四）本项目有相关的经费投入；</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（五）为了加强安全生产管理，成立了</w:t>
            </w:r>
            <w:r>
              <w:rPr>
                <w:rFonts w:hint="eastAsia"/>
                <w:color w:val="000000" w:themeColor="text1"/>
                <w:sz w:val="21"/>
                <w:szCs w:val="21"/>
                <w14:textFill>
                  <w14:solidFill>
                    <w14:schemeClr w14:val="tx1"/>
                  </w14:solidFill>
                </w14:textFill>
              </w:rPr>
              <w:t>安全领导小组</w:t>
            </w:r>
            <w:r>
              <w:rPr>
                <w:color w:val="000000" w:themeColor="text1"/>
                <w:sz w:val="21"/>
                <w:szCs w:val="21"/>
                <w14:textFill>
                  <w14:solidFill>
                    <w14:schemeClr w14:val="tx1"/>
                  </w14:solidFill>
                </w14:textFill>
              </w:rPr>
              <w:t>，并任命了专职安全</w:t>
            </w:r>
            <w:r>
              <w:rPr>
                <w:rFonts w:hint="eastAsia"/>
                <w:color w:val="000000" w:themeColor="text1"/>
                <w:sz w:val="21"/>
                <w:szCs w:val="21"/>
                <w14:textFill>
                  <w14:solidFill>
                    <w14:schemeClr w14:val="tx1"/>
                  </w14:solidFill>
                </w14:textFill>
              </w:rPr>
              <w:t>管理人员</w:t>
            </w:r>
            <w:r>
              <w:rPr>
                <w:color w:val="000000" w:themeColor="text1"/>
                <w:sz w:val="21"/>
                <w:szCs w:val="21"/>
                <w14:textFill>
                  <w14:solidFill>
                    <w14:schemeClr w14:val="tx1"/>
                  </w14:solidFill>
                </w14:textFill>
              </w:rPr>
              <w:t>；</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（六）该公司为从业人员提供了相应的劳动防护用品，并监督、教育从业人员按要求使用；</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（七）企业主要负责人及安全管理人取得了安全生产知识和管理能力</w:t>
            </w:r>
            <w:r>
              <w:rPr>
                <w:rFonts w:hint="eastAsia"/>
                <w:color w:val="000000" w:themeColor="text1"/>
                <w:sz w:val="21"/>
                <w:szCs w:val="21"/>
                <w14:textFill>
                  <w14:solidFill>
                    <w14:schemeClr w14:val="tx1"/>
                  </w14:solidFill>
                </w14:textFill>
              </w:rPr>
              <w:t>培训</w:t>
            </w:r>
            <w:r>
              <w:rPr>
                <w:color w:val="000000" w:themeColor="text1"/>
                <w:sz w:val="21"/>
                <w:szCs w:val="21"/>
                <w14:textFill>
                  <w14:solidFill>
                    <w14:schemeClr w14:val="tx1"/>
                  </w14:solidFill>
                </w14:textFill>
              </w:rPr>
              <w:t>合格证；</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（八）本项目</w:t>
            </w:r>
            <w:r>
              <w:rPr>
                <w:rFonts w:hint="eastAsia"/>
                <w:color w:val="000000" w:themeColor="text1"/>
                <w:sz w:val="21"/>
                <w:szCs w:val="21"/>
                <w14:textFill>
                  <w14:solidFill>
                    <w14:schemeClr w14:val="tx1"/>
                  </w14:solidFill>
                </w14:textFill>
              </w:rPr>
              <w:t>不涉及特种作业</w:t>
            </w:r>
            <w:r>
              <w:rPr>
                <w:color w:val="000000" w:themeColor="text1"/>
                <w:sz w:val="21"/>
                <w:szCs w:val="21"/>
                <w14:textFill>
                  <w14:solidFill>
                    <w14:schemeClr w14:val="tx1"/>
                  </w14:solidFill>
                </w14:textFill>
              </w:rPr>
              <w:t>。</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color w:val="000000" w:themeColor="text1"/>
                <w:sz w:val="21"/>
                <w:szCs w:val="21"/>
                <w14:textFill>
                  <w14:solidFill>
                    <w14:schemeClr w14:val="tx1"/>
                  </w14:solidFill>
                </w14:textFill>
              </w:rPr>
            </w:pPr>
          </w:p>
        </w:tc>
        <w:tc>
          <w:tcPr>
            <w:tcW w:w="1894" w:type="pct"/>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矿山、金属冶炼、建筑施工、道路运输单位和危险物品的生产、经营、储存、废弃处置单位，应当设置专门的安全生产管理机构或者配备相应的专职安全生产管理人员。</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生产经营单位的分支机构或者所属单位，应当按照本条规定设置、配备安全生产管理机构和人员。</w:t>
            </w:r>
          </w:p>
        </w:tc>
        <w:tc>
          <w:tcPr>
            <w:tcW w:w="1022" w:type="pct"/>
            <w:vAlign w:val="center"/>
          </w:tcPr>
          <w:p>
            <w:pPr>
              <w:spacing w:line="240" w:lineRule="auto"/>
              <w:ind w:firstLine="0" w:firstLineChars="0"/>
              <w:jc w:val="center"/>
              <w:rPr>
                <w:color w:val="000000" w:themeColor="text1"/>
                <w:kern w:val="0"/>
                <w:sz w:val="21"/>
                <w:szCs w:val="21"/>
                <w14:textFill>
                  <w14:solidFill>
                    <w14:schemeClr w14:val="tx1"/>
                  </w14:solidFill>
                </w14:textFill>
              </w:rPr>
            </w:pPr>
            <w:bookmarkStart w:id="923" w:name="_Toc527200932"/>
            <w:bookmarkStart w:id="924" w:name="_Toc510859839"/>
            <w:bookmarkStart w:id="925" w:name="_Toc494296189"/>
            <w:bookmarkStart w:id="926" w:name="_Toc37688815"/>
            <w:bookmarkStart w:id="927" w:name="_Toc523950023"/>
            <w:r>
              <w:rPr>
                <w:color w:val="000000" w:themeColor="text1"/>
                <w:kern w:val="0"/>
                <w:sz w:val="21"/>
                <w:szCs w:val="21"/>
                <w14:textFill>
                  <w14:solidFill>
                    <w14:schemeClr w14:val="tx1"/>
                  </w14:solidFill>
                </w14:textFill>
              </w:rPr>
              <w:t>《云南省安全生产条例》</w:t>
            </w:r>
            <w:bookmarkEnd w:id="923"/>
            <w:bookmarkEnd w:id="924"/>
            <w:bookmarkEnd w:id="925"/>
            <w:bookmarkEnd w:id="926"/>
            <w:bookmarkEnd w:id="927"/>
          </w:p>
          <w:p>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sz w:val="21"/>
                <w:szCs w:val="21"/>
                <w14:textFill>
                  <w14:solidFill>
                    <w14:schemeClr w14:val="tx1"/>
                  </w14:solidFill>
                </w14:textFill>
              </w:rPr>
              <w:t>第十五条</w:t>
            </w:r>
          </w:p>
        </w:tc>
        <w:tc>
          <w:tcPr>
            <w:tcW w:w="1103" w:type="pct"/>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成立了安全领导小组，并任命了专职安全管理人员</w:t>
            </w:r>
            <w:r>
              <w:rPr>
                <w:color w:val="000000" w:themeColor="text1"/>
                <w:sz w:val="21"/>
                <w:szCs w:val="21"/>
                <w14:textFill>
                  <w14:solidFill>
                    <w14:schemeClr w14:val="tx1"/>
                  </w14:solidFill>
                </w14:textFill>
              </w:rPr>
              <w:t>。</w:t>
            </w:r>
          </w:p>
        </w:tc>
        <w:tc>
          <w:tcPr>
            <w:tcW w:w="624" w:type="pct"/>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rFonts w:ascii="Times New Roman" w:hAnsi="Times New Roman" w:eastAsia="宋体" w:cs="Times New Roman"/>
                <w:color w:val="auto"/>
                <w:sz w:val="21"/>
                <w:szCs w:val="21"/>
              </w:rPr>
            </w:pPr>
          </w:p>
        </w:tc>
        <w:tc>
          <w:tcPr>
            <w:tcW w:w="1894" w:type="pct"/>
            <w:vAlign w:val="center"/>
          </w:tcPr>
          <w:p>
            <w:pPr>
              <w:spacing w:line="240" w:lineRule="auto"/>
              <w:ind w:firstLine="0" w:firstLineChars="0"/>
              <w:rPr>
                <w:color w:val="auto"/>
                <w:sz w:val="21"/>
                <w:szCs w:val="21"/>
              </w:rPr>
            </w:pPr>
            <w:r>
              <w:rPr>
                <w:color w:val="auto"/>
                <w:sz w:val="21"/>
                <w:szCs w:val="21"/>
              </w:rPr>
              <w:t>生产经营单位应当依法参加工伤保险，为从业人员按时足额缴纳工伤保险费。</w:t>
            </w:r>
          </w:p>
          <w:p>
            <w:pPr>
              <w:spacing w:line="240" w:lineRule="auto"/>
              <w:ind w:firstLine="0" w:firstLineChars="0"/>
              <w:rPr>
                <w:color w:val="auto"/>
                <w:sz w:val="21"/>
                <w:szCs w:val="21"/>
              </w:rPr>
            </w:pPr>
            <w:r>
              <w:rPr>
                <w:color w:val="auto"/>
                <w:sz w:val="21"/>
                <w:szCs w:val="21"/>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022" w:type="pct"/>
            <w:vAlign w:val="center"/>
          </w:tcPr>
          <w:p>
            <w:pPr>
              <w:spacing w:line="240" w:lineRule="auto"/>
              <w:ind w:firstLine="0" w:firstLineChars="0"/>
              <w:rPr>
                <w:color w:val="auto"/>
                <w:sz w:val="21"/>
                <w:szCs w:val="21"/>
              </w:rPr>
            </w:pPr>
            <w:r>
              <w:rPr>
                <w:color w:val="auto"/>
                <w:sz w:val="21"/>
                <w:szCs w:val="21"/>
              </w:rPr>
              <w:t>《云南省安全生产条例》</w:t>
            </w:r>
          </w:p>
          <w:p>
            <w:pPr>
              <w:spacing w:line="240" w:lineRule="auto"/>
              <w:ind w:firstLine="0" w:firstLineChars="0"/>
              <w:rPr>
                <w:color w:val="auto"/>
                <w:sz w:val="21"/>
                <w:szCs w:val="21"/>
              </w:rPr>
            </w:pPr>
            <w:r>
              <w:rPr>
                <w:color w:val="auto"/>
                <w:sz w:val="21"/>
                <w:szCs w:val="21"/>
              </w:rPr>
              <w:t>第二十四条</w:t>
            </w:r>
          </w:p>
        </w:tc>
        <w:tc>
          <w:tcPr>
            <w:tcW w:w="1103" w:type="pct"/>
            <w:vAlign w:val="center"/>
          </w:tcPr>
          <w:p>
            <w:pPr>
              <w:spacing w:line="240" w:lineRule="auto"/>
              <w:ind w:firstLine="0" w:firstLineChars="0"/>
              <w:rPr>
                <w:color w:val="auto"/>
                <w:sz w:val="21"/>
                <w:szCs w:val="21"/>
              </w:rPr>
            </w:pPr>
            <w:r>
              <w:rPr>
                <w:color w:val="auto"/>
                <w:sz w:val="21"/>
                <w:szCs w:val="21"/>
              </w:rPr>
              <w:t>该公司为从业人员缴纳了工伤保险。</w:t>
            </w:r>
          </w:p>
        </w:tc>
        <w:tc>
          <w:tcPr>
            <w:tcW w:w="624" w:type="pct"/>
            <w:vAlign w:val="center"/>
          </w:tcPr>
          <w:p>
            <w:pPr>
              <w:spacing w:line="240" w:lineRule="auto"/>
              <w:ind w:firstLine="0" w:firstLineChars="0"/>
              <w:rPr>
                <w:color w:val="auto"/>
                <w:sz w:val="21"/>
                <w:szCs w:val="21"/>
              </w:rPr>
            </w:pPr>
            <w:r>
              <w:rPr>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54" w:type="pct"/>
            <w:vAlign w:val="center"/>
          </w:tcPr>
          <w:p>
            <w:pPr>
              <w:numPr>
                <w:ilvl w:val="0"/>
                <w:numId w:val="51"/>
              </w:numPr>
              <w:spacing w:line="240" w:lineRule="auto"/>
              <w:ind w:firstLineChars="0"/>
              <w:jc w:val="center"/>
              <w:rPr>
                <w:rFonts w:ascii="Times New Roman" w:hAnsi="Times New Roman" w:eastAsia="宋体" w:cs="Times New Roman"/>
                <w:color w:val="auto"/>
                <w:sz w:val="21"/>
                <w:szCs w:val="21"/>
              </w:rPr>
            </w:pPr>
          </w:p>
        </w:tc>
        <w:tc>
          <w:tcPr>
            <w:tcW w:w="1894" w:type="pct"/>
            <w:vAlign w:val="center"/>
          </w:tcPr>
          <w:p>
            <w:pPr>
              <w:spacing w:line="240" w:lineRule="auto"/>
              <w:ind w:firstLine="0" w:firstLineChars="0"/>
              <w:rPr>
                <w:color w:val="auto"/>
                <w:sz w:val="21"/>
                <w:szCs w:val="21"/>
              </w:rPr>
            </w:pPr>
            <w:r>
              <w:rPr>
                <w:rFonts w:hint="eastAsia"/>
                <w:color w:val="auto"/>
                <w:sz w:val="21"/>
                <w:szCs w:val="21"/>
              </w:rPr>
              <w:t>特种作业人员未按照规定经专门的安全作业培训并取得相应资格，上岗作业的。</w:t>
            </w:r>
          </w:p>
        </w:tc>
        <w:tc>
          <w:tcPr>
            <w:tcW w:w="1022" w:type="pct"/>
            <w:vAlign w:val="center"/>
          </w:tcPr>
          <w:p>
            <w:pPr>
              <w:spacing w:line="240" w:lineRule="auto"/>
              <w:ind w:firstLine="0" w:firstLineChars="0"/>
              <w:rPr>
                <w:color w:val="auto"/>
                <w:sz w:val="21"/>
                <w:szCs w:val="21"/>
              </w:rPr>
            </w:pPr>
            <w:r>
              <w:rPr>
                <w:rFonts w:hint="eastAsia"/>
                <w:color w:val="auto"/>
                <w:sz w:val="21"/>
                <w:szCs w:val="21"/>
              </w:rPr>
              <w:t>《工贸企业重大事故隐患判定标准》第三条</w:t>
            </w:r>
          </w:p>
        </w:tc>
        <w:tc>
          <w:tcPr>
            <w:tcW w:w="1103" w:type="pct"/>
            <w:vAlign w:val="center"/>
          </w:tcPr>
          <w:p>
            <w:pPr>
              <w:spacing w:line="240" w:lineRule="auto"/>
              <w:ind w:firstLine="0" w:firstLineChars="0"/>
              <w:rPr>
                <w:color w:val="auto"/>
                <w:sz w:val="21"/>
                <w:szCs w:val="21"/>
              </w:rPr>
            </w:pPr>
            <w:r>
              <w:rPr>
                <w:rFonts w:hint="eastAsia"/>
                <w:color w:val="auto"/>
                <w:sz w:val="21"/>
                <w:szCs w:val="21"/>
              </w:rPr>
              <w:t>该公司不涉及特种作业，相关特种作业均委外，交由具有资质的第三方进行作业。</w:t>
            </w:r>
          </w:p>
        </w:tc>
        <w:tc>
          <w:tcPr>
            <w:tcW w:w="624" w:type="pct"/>
            <w:vAlign w:val="center"/>
          </w:tcPr>
          <w:p>
            <w:pPr>
              <w:spacing w:line="240" w:lineRule="auto"/>
              <w:ind w:left="0" w:leftChars="0" w:right="0" w:rightChars="0" w:firstLine="0" w:firstLineChars="0"/>
              <w:jc w:val="center"/>
              <w:rPr>
                <w:color w:val="auto"/>
                <w:sz w:val="21"/>
                <w:szCs w:val="21"/>
              </w:rPr>
            </w:pPr>
            <w:r>
              <w:rPr>
                <w:rFonts w:hint="eastAsia"/>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6" w:type="dxa"/>
            <w:vAlign w:val="center"/>
          </w:tcPr>
          <w:p>
            <w:pPr>
              <w:numPr>
                <w:ilvl w:val="0"/>
                <w:numId w:val="51"/>
              </w:numPr>
              <w:spacing w:line="240" w:lineRule="auto"/>
              <w:ind w:firstLineChars="0"/>
              <w:jc w:val="center"/>
              <w:rPr>
                <w:rFonts w:ascii="Times New Roman" w:hAnsi="Times New Roman" w:eastAsia="宋体" w:cs="Times New Roman"/>
                <w:color w:val="auto"/>
                <w:sz w:val="21"/>
                <w:szCs w:val="21"/>
              </w:rPr>
            </w:pPr>
            <w:bookmarkStart w:id="928" w:name="_Toc208674444"/>
            <w:bookmarkStart w:id="929" w:name="_Toc378077039"/>
            <w:bookmarkStart w:id="930" w:name="_Toc208675032"/>
          </w:p>
        </w:tc>
        <w:tc>
          <w:tcPr>
            <w:tcW w:w="3401" w:type="dxa"/>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机关、团体、企业、事业等单位应当履行下列消防安全职责：</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（一）落实消防安全责任制，制定本单位的消防安全制度、消防安全操作规程，制定灭火和应急疏散预案；</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（二）按照国家标准、行业标准配置消防设施、器材，设置消防安全标志，并定期组织检验、维修，确保完好有效；</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（三）对建筑消防设施每年至少进行一次全面检测，确保完好有效，检测记录应当完整准确，存档备查；</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（四）保障疏散通道、安全出口、消防车通道畅通，保证防火防烟分区、防火间距符合消防技术标准；</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（五）组织防火检查，及时消除火灾隐患；</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（六）组织进行有针对性的消防演练；</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（七）</w:t>
            </w:r>
            <w:r>
              <w:rPr>
                <w:rFonts w:hint="eastAsia"/>
                <w:color w:val="000000" w:themeColor="text1"/>
                <w:sz w:val="21"/>
                <w:szCs w:val="21"/>
                <w:lang w:eastAsia="zh-CN"/>
                <w14:textFill>
                  <w14:solidFill>
                    <w14:schemeClr w14:val="tx1"/>
                  </w14:solidFill>
                </w14:textFill>
              </w:rPr>
              <w:t>法律法规</w:t>
            </w:r>
            <w:r>
              <w:rPr>
                <w:color w:val="000000" w:themeColor="text1"/>
                <w:sz w:val="21"/>
                <w:szCs w:val="21"/>
                <w14:textFill>
                  <w14:solidFill>
                    <w14:schemeClr w14:val="tx1"/>
                  </w14:solidFill>
                </w14:textFill>
              </w:rPr>
              <w:t>规定的其他消防安全职责。</w:t>
            </w:r>
          </w:p>
          <w:p>
            <w:pPr>
              <w:spacing w:line="240" w:lineRule="auto"/>
              <w:ind w:firstLine="0" w:firstLineChars="0"/>
              <w:rPr>
                <w:rFonts w:hint="eastAsia"/>
                <w:color w:val="auto"/>
                <w:sz w:val="21"/>
                <w:szCs w:val="21"/>
              </w:rPr>
            </w:pPr>
            <w:r>
              <w:rPr>
                <w:color w:val="000000" w:themeColor="text1"/>
                <w:sz w:val="21"/>
                <w:szCs w:val="21"/>
                <w14:textFill>
                  <w14:solidFill>
                    <w14:schemeClr w14:val="tx1"/>
                  </w14:solidFill>
                </w14:textFill>
              </w:rPr>
              <w:t>单位的主要负责人是本单位的消防安全责任人。</w:t>
            </w:r>
          </w:p>
        </w:tc>
        <w:tc>
          <w:tcPr>
            <w:tcW w:w="1835" w:type="dxa"/>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《中华人民共和国消防法》</w:t>
            </w:r>
            <w:r>
              <w:rPr>
                <w:rFonts w:hint="eastAsia"/>
                <w:color w:val="000000" w:themeColor="text1"/>
                <w:sz w:val="21"/>
                <w:szCs w:val="21"/>
                <w14:textFill>
                  <w14:solidFill>
                    <w14:schemeClr w14:val="tx1"/>
                  </w14:solidFill>
                </w14:textFill>
              </w:rPr>
              <w:t>（中华人民共和国主席令第六号，根据2021年4月29日第十三届全国人民代表大会常务委员会第二十八次会议修改《中华人民共和国道路交通安全法》等八部法律修正）</w:t>
            </w:r>
          </w:p>
          <w:p>
            <w:pPr>
              <w:spacing w:line="240" w:lineRule="auto"/>
              <w:ind w:firstLine="0" w:firstLineChars="0"/>
              <w:jc w:val="center"/>
              <w:rPr>
                <w:rFonts w:hint="eastAsia"/>
                <w:color w:val="auto"/>
                <w:sz w:val="21"/>
                <w:szCs w:val="21"/>
              </w:rPr>
            </w:pPr>
            <w:r>
              <w:rPr>
                <w:color w:val="000000" w:themeColor="text1"/>
                <w:sz w:val="21"/>
                <w:szCs w:val="21"/>
                <w14:textFill>
                  <w14:solidFill>
                    <w14:schemeClr w14:val="tx1"/>
                  </w14:solidFill>
                </w14:textFill>
              </w:rPr>
              <w:t>第十六条</w:t>
            </w:r>
          </w:p>
        </w:tc>
        <w:tc>
          <w:tcPr>
            <w:tcW w:w="1981" w:type="dxa"/>
            <w:vAlign w:val="center"/>
          </w:tcPr>
          <w:p>
            <w:pPr>
              <w:spacing w:line="240" w:lineRule="auto"/>
              <w:ind w:firstLine="0" w:firstLineChars="0"/>
              <w:rPr>
                <w:rFonts w:hint="eastAsia"/>
                <w:color w:val="auto"/>
                <w:sz w:val="21"/>
                <w:szCs w:val="21"/>
              </w:rPr>
            </w:pPr>
            <w:r>
              <w:rPr>
                <w:sz w:val="21"/>
                <w:szCs w:val="21"/>
              </w:rPr>
              <w:t>企业</w:t>
            </w:r>
            <w:r>
              <w:rPr>
                <w:rFonts w:hint="eastAsia"/>
                <w:sz w:val="21"/>
                <w:szCs w:val="21"/>
              </w:rPr>
              <w:t>已制定</w:t>
            </w:r>
            <w:r>
              <w:rPr>
                <w:sz w:val="21"/>
                <w:szCs w:val="21"/>
              </w:rPr>
              <w:t>制消防安全制度</w:t>
            </w:r>
            <w:r>
              <w:rPr>
                <w:rFonts w:hint="eastAsia"/>
                <w:sz w:val="21"/>
                <w:szCs w:val="21"/>
              </w:rPr>
              <w:t>。现场</w:t>
            </w:r>
            <w:r>
              <w:rPr>
                <w:sz w:val="21"/>
                <w:szCs w:val="21"/>
              </w:rPr>
              <w:t>配置了消防设施、器材，设置消防安全标志，并定期组织检验、维修，确保完</w:t>
            </w:r>
            <w:r>
              <w:rPr>
                <w:rFonts w:ascii="Times New Roman" w:hAnsi="Times New Roman" w:eastAsia="宋体" w:cs="Times New Roman"/>
                <w:sz w:val="21"/>
                <w:szCs w:val="21"/>
              </w:rPr>
              <w:t>好有效；保障疏散通道、安全出口、消防车通道畅通</w:t>
            </w:r>
            <w:r>
              <w:rPr>
                <w:rFonts w:hint="eastAsia" w:ascii="Times New Roman" w:hAnsi="Times New Roman" w:eastAsia="宋体" w:cs="Times New Roman"/>
                <w:sz w:val="21"/>
                <w:szCs w:val="21"/>
                <w:lang w:eastAsia="zh-CN"/>
              </w:rPr>
              <w:t>。</w:t>
            </w:r>
            <w:r>
              <w:rPr>
                <w:rFonts w:ascii="Times New Roman" w:hAnsi="Times New Roman" w:eastAsia="宋体" w:cs="Times New Roman"/>
                <w:sz w:val="21"/>
                <w:szCs w:val="21"/>
              </w:rPr>
              <w:t>组织防火检查，及时消除火灾隐患；组织进行有针对性的消防演练；单位的主要负责人是本单位的消防安全责任人。</w:t>
            </w:r>
          </w:p>
        </w:tc>
        <w:tc>
          <w:tcPr>
            <w:tcW w:w="1121" w:type="dxa"/>
            <w:vAlign w:val="center"/>
          </w:tcPr>
          <w:p>
            <w:pPr>
              <w:spacing w:line="240" w:lineRule="auto"/>
              <w:ind w:firstLine="0" w:firstLineChars="0"/>
              <w:jc w:val="center"/>
              <w:rPr>
                <w:rFonts w:hint="eastAsia"/>
                <w:color w:val="auto"/>
                <w:sz w:val="21"/>
                <w:szCs w:val="21"/>
              </w:rPr>
            </w:pPr>
            <w:r>
              <w:rPr>
                <w:rFonts w:hint="eastAsia"/>
                <w:color w:val="auto"/>
                <w:sz w:val="21"/>
                <w:szCs w:val="21"/>
              </w:rPr>
              <w:t>符合</w:t>
            </w:r>
          </w:p>
        </w:tc>
      </w:tr>
    </w:tbl>
    <w:p>
      <w:pPr>
        <w:adjustRightInd w:val="0"/>
        <w:snapToGrid w:val="0"/>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该公司结合自身实际成立了</w:t>
      </w:r>
      <w:r>
        <w:rPr>
          <w:rFonts w:hint="eastAsia"/>
          <w:color w:val="000000" w:themeColor="text1"/>
          <w:szCs w:val="28"/>
          <w14:textFill>
            <w14:solidFill>
              <w14:schemeClr w14:val="tx1"/>
            </w14:solidFill>
          </w14:textFill>
        </w:rPr>
        <w:t>安全</w:t>
      </w:r>
      <w:r>
        <w:rPr>
          <w:rFonts w:hint="eastAsia"/>
          <w:color w:val="000000" w:themeColor="text1"/>
          <w:szCs w:val="28"/>
          <w:lang w:eastAsia="zh-CN"/>
          <w14:textFill>
            <w14:solidFill>
              <w14:schemeClr w14:val="tx1"/>
            </w14:solidFill>
          </w14:textFill>
        </w:rPr>
        <w:t>生产</w:t>
      </w:r>
      <w:r>
        <w:rPr>
          <w:rFonts w:hint="eastAsia"/>
          <w:color w:val="000000" w:themeColor="text1"/>
          <w:szCs w:val="28"/>
          <w14:textFill>
            <w14:solidFill>
              <w14:schemeClr w14:val="tx1"/>
            </w14:solidFill>
          </w14:textFill>
        </w:rPr>
        <w:t>领导小组，并任命了专职安全管理人员，</w:t>
      </w:r>
      <w:r>
        <w:rPr>
          <w:color w:val="000000" w:themeColor="text1"/>
          <w:szCs w:val="28"/>
          <w14:textFill>
            <w14:solidFill>
              <w14:schemeClr w14:val="tx1"/>
            </w14:solidFill>
          </w14:textFill>
        </w:rPr>
        <w:t>建立了</w:t>
      </w:r>
      <w:r>
        <w:rPr>
          <w:rFonts w:hint="eastAsia"/>
          <w:color w:val="000000" w:themeColor="text1"/>
          <w:szCs w:val="28"/>
          <w14:textFill>
            <w14:solidFill>
              <w14:schemeClr w14:val="tx1"/>
            </w14:solidFill>
          </w14:textFill>
        </w:rPr>
        <w:t>全员</w:t>
      </w:r>
      <w:r>
        <w:rPr>
          <w:color w:val="000000" w:themeColor="text1"/>
          <w:szCs w:val="28"/>
          <w14:textFill>
            <w14:solidFill>
              <w14:schemeClr w14:val="tx1"/>
            </w14:solidFill>
          </w14:textFill>
        </w:rPr>
        <w:t>安全生产责任制、安全管理规章制度、安全操作规程及安全</w:t>
      </w:r>
      <w:r>
        <w:rPr>
          <w:rFonts w:hint="eastAsia"/>
          <w:color w:val="000000" w:themeColor="text1"/>
          <w:szCs w:val="28"/>
          <w:lang w:eastAsia="zh-CN"/>
          <w14:textFill>
            <w14:solidFill>
              <w14:schemeClr w14:val="tx1"/>
            </w14:solidFill>
          </w14:textFill>
        </w:rPr>
        <w:t>管理台账</w:t>
      </w:r>
      <w:r>
        <w:rPr>
          <w:rFonts w:hint="eastAsia"/>
          <w:color w:val="000000" w:themeColor="text1"/>
          <w:szCs w:val="28"/>
          <w14:textFill>
            <w14:solidFill>
              <w14:schemeClr w14:val="tx1"/>
            </w14:solidFill>
          </w14:textFill>
        </w:rPr>
        <w:t>，构建风险分级管控及隐患排查治理双重预防机制，并</w:t>
      </w:r>
      <w:r>
        <w:rPr>
          <w:color w:val="000000" w:themeColor="text1"/>
          <w:szCs w:val="28"/>
          <w14:textFill>
            <w14:solidFill>
              <w14:schemeClr w14:val="tx1"/>
            </w14:solidFill>
          </w14:textFill>
        </w:rPr>
        <w:t>为企业职工配发了劳动防护用品。</w:t>
      </w:r>
    </w:p>
    <w:bookmarkEnd w:id="928"/>
    <w:bookmarkEnd w:id="929"/>
    <w:bookmarkEnd w:id="930"/>
    <w:p>
      <w:pPr>
        <w:pStyle w:val="6"/>
        <w:rPr>
          <w:snapToGrid w:val="0"/>
          <w:color w:val="000000" w:themeColor="text1"/>
          <w14:textFill>
            <w14:solidFill>
              <w14:schemeClr w14:val="tx1"/>
            </w14:solidFill>
          </w14:textFill>
        </w:rPr>
      </w:pPr>
      <w:bookmarkStart w:id="931" w:name="_Toc531271170"/>
      <w:bookmarkStart w:id="932" w:name="_Toc98864496"/>
      <w:bookmarkStart w:id="933" w:name="_Toc129520691"/>
      <w:bookmarkStart w:id="934" w:name="_Toc45548474"/>
      <w:bookmarkStart w:id="935" w:name="_Toc458701208"/>
      <w:bookmarkStart w:id="936" w:name="_Toc522811562"/>
      <w:bookmarkStart w:id="937" w:name="_Toc4838"/>
      <w:bookmarkStart w:id="938" w:name="_Toc103178348"/>
      <w:bookmarkStart w:id="939" w:name="_Toc30576"/>
      <w:bookmarkStart w:id="940" w:name="_Toc458701215"/>
      <w:bookmarkStart w:id="941" w:name="_Toc531271171"/>
      <w:bookmarkStart w:id="942" w:name="_Toc378077040"/>
      <w:bookmarkStart w:id="943" w:name="_Toc522811569"/>
      <w:r>
        <w:rPr>
          <w:snapToGrid w:val="0"/>
          <w:color w:val="000000" w:themeColor="text1"/>
          <w14:textFill>
            <w14:solidFill>
              <w14:schemeClr w14:val="tx1"/>
            </w14:solidFill>
          </w14:textFill>
        </w:rPr>
        <w:t>应急救援预案</w:t>
      </w:r>
      <w:bookmarkEnd w:id="931"/>
      <w:bookmarkEnd w:id="932"/>
      <w:bookmarkEnd w:id="933"/>
      <w:bookmarkEnd w:id="934"/>
      <w:bookmarkEnd w:id="935"/>
      <w:bookmarkEnd w:id="936"/>
      <w:bookmarkEnd w:id="937"/>
      <w:bookmarkEnd w:id="938"/>
      <w:bookmarkEnd w:id="939"/>
    </w:p>
    <w:p>
      <w:pPr>
        <w:adjustRightInd w:val="0"/>
        <w:snapToGrid w:val="0"/>
        <w:spacing w:line="480" w:lineRule="exact"/>
        <w:ind w:firstLine="560"/>
        <w:rPr>
          <w:color w:val="000000" w:themeColor="text1"/>
          <w14:textFill>
            <w14:solidFill>
              <w14:schemeClr w14:val="tx1"/>
            </w14:solidFill>
          </w14:textFill>
        </w:rPr>
      </w:pPr>
      <w:r>
        <w:rPr>
          <w:color w:val="000000" w:themeColor="text1"/>
          <w:szCs w:val="28"/>
          <w14:textFill>
            <w14:solidFill>
              <w14:schemeClr w14:val="tx1"/>
            </w14:solidFill>
          </w14:textFill>
        </w:rPr>
        <w:t>根据《中华人民共和国安全生产法》（中华人民共和国主席令第七十号，中华人民共和国主席令第八十八号修改）、《生产安全事故应急预案管理办法》（国家安全生产监督管理总局令第88号，根据应急管理部2号令修正）等</w:t>
      </w:r>
      <w:r>
        <w:rPr>
          <w:rFonts w:hint="eastAsia"/>
          <w:color w:val="000000" w:themeColor="text1"/>
          <w:szCs w:val="28"/>
          <w:lang w:eastAsia="zh-CN"/>
          <w14:textFill>
            <w14:solidFill>
              <w14:schemeClr w14:val="tx1"/>
            </w14:solidFill>
          </w14:textFill>
        </w:rPr>
        <w:t>法律法规</w:t>
      </w:r>
      <w:r>
        <w:rPr>
          <w:color w:val="000000" w:themeColor="text1"/>
          <w:szCs w:val="28"/>
          <w14:textFill>
            <w14:solidFill>
              <w14:schemeClr w14:val="tx1"/>
            </w14:solidFill>
          </w14:textFill>
        </w:rPr>
        <w:t>的要求，对项目的事故应急救援管理进行分析评价。</w:t>
      </w:r>
    </w:p>
    <w:p>
      <w:pPr>
        <w:numPr>
          <w:ilvl w:val="0"/>
          <w:numId w:val="34"/>
        </w:numPr>
        <w:adjustRightInd w:val="0"/>
        <w:snapToGrid w:val="0"/>
        <w:ind w:firstLineChars="0"/>
        <w:jc w:val="center"/>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事故应急救援预案检查表</w:t>
      </w:r>
    </w:p>
    <w:tbl>
      <w:tblPr>
        <w:tblStyle w:val="34"/>
        <w:tblW w:w="90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2"/>
        <w:gridCol w:w="3438"/>
        <w:gridCol w:w="2127"/>
        <w:gridCol w:w="2126"/>
        <w:gridCol w:w="70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tblHeader/>
          <w:jc w:val="center"/>
        </w:trPr>
        <w:tc>
          <w:tcPr>
            <w:tcW w:w="6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343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检查内容</w:t>
            </w:r>
          </w:p>
        </w:tc>
        <w:tc>
          <w:tcPr>
            <w:tcW w:w="212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依据标准</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检查情况</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pPr>
              <w:numPr>
                <w:ilvl w:val="0"/>
                <w:numId w:val="52"/>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p>
        </w:tc>
        <w:tc>
          <w:tcPr>
            <w:tcW w:w="212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《中华人民共和国安全生产法》（中华人民共和国主席令第七十号，中华人民共和国主席令第八十八号修改）</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第七十八条</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企业制定了生产安全事故应急救援预案</w:t>
            </w:r>
            <w:r>
              <w:rPr>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pPr>
              <w:numPr>
                <w:ilvl w:val="0"/>
                <w:numId w:val="52"/>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矿山、金属冶炼、建筑施工企业和易燃易爆物品、危险化学品的生产、经营（带储存设施的，下同）、储存企业，以及使用危险化学品达到国家规定数量的化工企业、烟花爆竹生产、批发经营企业和中型规模以上的其他生产经营单位，应当对本单位编制的应急预案进行评审，并形成书面评审纪要。</w:t>
            </w:r>
          </w:p>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前款规定以外的其他生产经营单位应当对本单位编制的应急预案进行论证。</w:t>
            </w:r>
          </w:p>
        </w:tc>
        <w:tc>
          <w:tcPr>
            <w:tcW w:w="212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《生产安全事故应急预案管理办法》</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（国家安全生产监督管理总局令第88号，根据应急管理部2号令修正）</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第二十一条</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企业制定了生产安全事故应急救援预案，并对应急预案进行评审，形成书面评审纪要</w:t>
            </w:r>
            <w:r>
              <w:rPr>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pPr>
              <w:numPr>
                <w:ilvl w:val="0"/>
                <w:numId w:val="52"/>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易燃易爆物品、危险化学品等危险物品的生产、经营、储存、运输单位，矿山、金属冶炼、城市轨道交通运营、建筑施工单位，以及宾馆、商场、娱乐场所、旅游景区等人员密集场所经营单位，应当在应急预案公布之日起20个工作日内，按照分级属地原则，向县级以上人民政府应急管理部门和其他负有安全生产监督管理职责的部门进行备案，并依法向社会公布。</w:t>
            </w:r>
          </w:p>
        </w:tc>
        <w:tc>
          <w:tcPr>
            <w:tcW w:w="212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《生产安全事故应急预案管理办法》</w:t>
            </w:r>
          </w:p>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（国家安全生产监督管理总局令第88号，根据应急管理部2号令修正）</w:t>
            </w:r>
          </w:p>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第二十六条</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应急预案</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按要求</w:t>
            </w:r>
            <w:r>
              <w:rPr>
                <w:rFonts w:hint="eastAsia" w:ascii="Times New Roman" w:hAnsi="Times New Roman" w:eastAsia="宋体" w:cs="Times New Roman"/>
                <w:color w:val="000000" w:themeColor="text1"/>
                <w:sz w:val="21"/>
                <w:szCs w:val="21"/>
                <w14:textFill>
                  <w14:solidFill>
                    <w14:schemeClr w14:val="tx1"/>
                  </w14:solidFill>
                </w14:textFill>
              </w:rPr>
              <w:t>备案</w:t>
            </w:r>
            <w:r>
              <w:rPr>
                <w:rFonts w:ascii="Times New Roman" w:hAnsi="Times New Roman" w:eastAsia="宋体" w:cs="Times New Roman"/>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pPr>
              <w:numPr>
                <w:ilvl w:val="0"/>
                <w:numId w:val="52"/>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各级应急管理部门应当将本部门应急预案的培训纳入安全生产培训工作计划，并组织实施本行政区域内重点生产经营单位的应急预案培训工作。</w:t>
            </w:r>
          </w:p>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生产经营单位应当组织开展本单位的应急预案、应急知识、自救互救和避险逃生技能的培训活动，使有关人员了解应急预案内容，熟悉应急职责、应急处置程序和措施。</w:t>
            </w:r>
          </w:p>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应急培训的时间、地点、内容、师资、参加人员和考核结果等情况应当如实记入本单位的安全生产教育和培训档案。</w:t>
            </w:r>
          </w:p>
        </w:tc>
        <w:tc>
          <w:tcPr>
            <w:tcW w:w="212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《生产安全事故应急预案管理办法》</w:t>
            </w:r>
          </w:p>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（国家安全生产监督管理总局令第88号，根据应急管理部2号令修正）</w:t>
            </w:r>
          </w:p>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bookmarkStart w:id="944" w:name="_Toc2253647"/>
            <w:bookmarkStart w:id="945" w:name="_Toc510859842"/>
            <w:bookmarkStart w:id="946" w:name="_Toc523950027"/>
            <w:bookmarkStart w:id="947" w:name="_Toc494296193"/>
            <w:r>
              <w:rPr>
                <w:rFonts w:ascii="Times New Roman" w:hAnsi="Times New Roman" w:eastAsia="宋体" w:cs="Times New Roman"/>
                <w:color w:val="000000" w:themeColor="text1"/>
                <w:sz w:val="21"/>
                <w:szCs w:val="21"/>
                <w14:textFill>
                  <w14:solidFill>
                    <w14:schemeClr w14:val="tx1"/>
                  </w14:solidFill>
                </w14:textFill>
              </w:rPr>
              <w:t>第三十一条</w:t>
            </w:r>
            <w:bookmarkEnd w:id="944"/>
            <w:bookmarkEnd w:id="945"/>
            <w:bookmarkEnd w:id="946"/>
            <w:bookmarkEnd w:id="947"/>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企业</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按要求</w:t>
            </w:r>
            <w:r>
              <w:rPr>
                <w:rFonts w:hint="eastAsia" w:ascii="Times New Roman" w:hAnsi="Times New Roman" w:eastAsia="宋体" w:cs="Times New Roman"/>
                <w:color w:val="000000" w:themeColor="text1"/>
                <w:sz w:val="21"/>
                <w:szCs w:val="21"/>
                <w14:textFill>
                  <w14:solidFill>
                    <w14:schemeClr w14:val="tx1"/>
                  </w14:solidFill>
                </w14:textFill>
              </w:rPr>
              <w:t>组织开展应急预案、应急知识、自救互救和避险逃生技能的培训活动</w:t>
            </w:r>
            <w:r>
              <w:rPr>
                <w:rFonts w:ascii="Times New Roman" w:hAnsi="Times New Roman" w:eastAsia="宋体" w:cs="Times New Roman"/>
                <w:color w:val="000000" w:themeColor="text1"/>
                <w:sz w:val="21"/>
                <w:szCs w:val="21"/>
                <w14:textFill>
                  <w14:solidFill>
                    <w14:schemeClr w14:val="tx1"/>
                  </w14:solidFill>
                </w14:textFill>
              </w:rPr>
              <w:t>。</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662" w:type="dxa"/>
            <w:tcBorders>
              <w:top w:val="single" w:color="auto" w:sz="4" w:space="0"/>
              <w:left w:val="single" w:color="auto" w:sz="4" w:space="0"/>
              <w:bottom w:val="single" w:color="auto" w:sz="4" w:space="0"/>
              <w:right w:val="single" w:color="auto" w:sz="4" w:space="0"/>
            </w:tcBorders>
            <w:vAlign w:val="center"/>
          </w:tcPr>
          <w:p>
            <w:pPr>
              <w:numPr>
                <w:ilvl w:val="0"/>
                <w:numId w:val="52"/>
              </w:numPr>
              <w:spacing w:line="240" w:lineRule="auto"/>
              <w:ind w:firstLineChars="0"/>
              <w:jc w:val="center"/>
              <w:rPr>
                <w:color w:val="000000" w:themeColor="text1"/>
                <w:sz w:val="21"/>
                <w:szCs w:val="21"/>
                <w14:textFill>
                  <w14:solidFill>
                    <w14:schemeClr w14:val="tx1"/>
                  </w14:solidFill>
                </w14:textFill>
              </w:rPr>
            </w:pPr>
          </w:p>
        </w:tc>
        <w:tc>
          <w:tcPr>
            <w:tcW w:w="343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生产经营单位应当按照应急预案的规定，落实应急指挥体系、应急救援队伍、应急物资及装备，建立应急物资、装备配备及其使用档案，并对应急物资、装备进行定期检测和维护，使其处于适用状态。</w:t>
            </w:r>
          </w:p>
        </w:tc>
        <w:tc>
          <w:tcPr>
            <w:tcW w:w="212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《生产安全事故应急预案管理办法》</w:t>
            </w:r>
          </w:p>
          <w:p>
            <w:pPr>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（国家安全生产监督管理总局令第88号，根据应急管理部2号令修正）</w:t>
            </w:r>
          </w:p>
          <w:p>
            <w:pPr>
              <w:spacing w:line="240" w:lineRule="auto"/>
              <w:ind w:firstLine="0" w:firstLineChars="0"/>
              <w:jc w:val="center"/>
              <w:rPr>
                <w:color w:val="000000" w:themeColor="text1"/>
                <w:sz w:val="21"/>
                <w:szCs w:val="21"/>
                <w14:textFill>
                  <w14:solidFill>
                    <w14:schemeClr w14:val="tx1"/>
                  </w14:solidFill>
                </w14:textFill>
              </w:rPr>
            </w:pPr>
            <w:bookmarkStart w:id="948" w:name="_Toc510859844"/>
            <w:bookmarkStart w:id="949" w:name="_Toc2253649"/>
            <w:bookmarkStart w:id="950" w:name="_Toc494296195"/>
            <w:bookmarkStart w:id="951" w:name="_Toc523950029"/>
            <w:r>
              <w:rPr>
                <w:color w:val="000000" w:themeColor="text1"/>
                <w:sz w:val="21"/>
                <w:szCs w:val="21"/>
                <w14:textFill>
                  <w14:solidFill>
                    <w14:schemeClr w14:val="tx1"/>
                  </w14:solidFill>
                </w14:textFill>
              </w:rPr>
              <w:t>第三十八条</w:t>
            </w:r>
            <w:bookmarkEnd w:id="948"/>
            <w:bookmarkEnd w:id="949"/>
            <w:bookmarkEnd w:id="950"/>
            <w:bookmarkEnd w:id="951"/>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企业按照应急预案的规定，落实了应急指挥体系、应急救援队伍、应急物资及装备，应急物资、装备进行处于适用状态。</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符合</w:t>
            </w:r>
          </w:p>
        </w:tc>
      </w:tr>
    </w:tbl>
    <w:p>
      <w:pPr>
        <w:pStyle w:val="6"/>
        <w:rPr>
          <w:snapToGrid w:val="0"/>
          <w:color w:val="000000" w:themeColor="text1"/>
          <w14:textFill>
            <w14:solidFill>
              <w14:schemeClr w14:val="tx1"/>
            </w14:solidFill>
          </w14:textFill>
        </w:rPr>
      </w:pPr>
      <w:bookmarkStart w:id="952" w:name="_Toc9812"/>
      <w:bookmarkStart w:id="953" w:name="_Toc98864498"/>
      <w:bookmarkStart w:id="954" w:name="_Toc129520692"/>
      <w:bookmarkStart w:id="955" w:name="_Toc45548475"/>
      <w:bookmarkStart w:id="956" w:name="_Toc103178349"/>
      <w:bookmarkStart w:id="957" w:name="_Toc28720"/>
      <w:r>
        <w:rPr>
          <w:snapToGrid w:val="0"/>
          <w:color w:val="000000" w:themeColor="text1"/>
          <w14:textFill>
            <w14:solidFill>
              <w14:schemeClr w14:val="tx1"/>
            </w14:solidFill>
          </w14:textFill>
        </w:rPr>
        <w:t>评价单元小结</w:t>
      </w:r>
      <w:bookmarkEnd w:id="940"/>
      <w:bookmarkEnd w:id="941"/>
      <w:bookmarkEnd w:id="942"/>
      <w:bookmarkEnd w:id="943"/>
      <w:bookmarkEnd w:id="952"/>
      <w:bookmarkEnd w:id="953"/>
      <w:bookmarkEnd w:id="954"/>
      <w:bookmarkEnd w:id="955"/>
      <w:bookmarkEnd w:id="956"/>
      <w:bookmarkEnd w:id="957"/>
    </w:p>
    <w:p>
      <w:pPr>
        <w:numPr>
          <w:ilvl w:val="0"/>
          <w:numId w:val="53"/>
        </w:numPr>
        <w:ind w:left="0" w:leftChars="0" w:firstLine="560" w:firstLineChars="2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企业结合自身实际成立了安全</w:t>
      </w:r>
      <w:r>
        <w:rPr>
          <w:rFonts w:hint="eastAsia"/>
          <w:color w:val="000000" w:themeColor="text1"/>
          <w:szCs w:val="28"/>
          <w:lang w:eastAsia="zh-CN"/>
          <w14:textFill>
            <w14:solidFill>
              <w14:schemeClr w14:val="tx1"/>
            </w14:solidFill>
          </w14:textFill>
        </w:rPr>
        <w:t>生产</w:t>
      </w:r>
      <w:r>
        <w:rPr>
          <w:rFonts w:hint="eastAsia"/>
          <w:color w:val="000000" w:themeColor="text1"/>
          <w:szCs w:val="28"/>
          <w14:textFill>
            <w14:solidFill>
              <w14:schemeClr w14:val="tx1"/>
            </w14:solidFill>
          </w14:textFill>
        </w:rPr>
        <w:t>领导小组，并任命了专职安全管理人员，建立了全员安全生产责任制、安全管理规章制度、安全操作规程及安全</w:t>
      </w:r>
      <w:r>
        <w:rPr>
          <w:rFonts w:hint="eastAsia"/>
          <w:color w:val="000000" w:themeColor="text1"/>
          <w:szCs w:val="28"/>
          <w:lang w:eastAsia="zh-CN"/>
          <w14:textFill>
            <w14:solidFill>
              <w14:schemeClr w14:val="tx1"/>
            </w14:solidFill>
          </w14:textFill>
        </w:rPr>
        <w:t>管理台账</w:t>
      </w:r>
      <w:r>
        <w:rPr>
          <w:rFonts w:hint="eastAsia"/>
          <w:color w:val="000000" w:themeColor="text1"/>
          <w:szCs w:val="28"/>
          <w14:textFill>
            <w14:solidFill>
              <w14:schemeClr w14:val="tx1"/>
            </w14:solidFill>
          </w14:textFill>
        </w:rPr>
        <w:t>，为企业职工配发了劳动防护用品。</w:t>
      </w:r>
    </w:p>
    <w:p>
      <w:pPr>
        <w:numPr>
          <w:ilvl w:val="0"/>
          <w:numId w:val="53"/>
        </w:numPr>
        <w:ind w:left="0" w:leftChars="0" w:firstLine="560" w:firstLineChars="20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企业按照应急预案的规定，</w:t>
      </w:r>
      <w:r>
        <w:rPr>
          <w:rFonts w:hint="eastAsia"/>
          <w:color w:val="000000" w:themeColor="text1"/>
          <w:szCs w:val="28"/>
          <w:lang w:val="en-US" w:eastAsia="zh-CN"/>
          <w14:textFill>
            <w14:solidFill>
              <w14:schemeClr w14:val="tx1"/>
            </w14:solidFill>
          </w14:textFill>
        </w:rPr>
        <w:t>编制了应急预案，</w:t>
      </w:r>
      <w:r>
        <w:rPr>
          <w:rFonts w:hint="eastAsia"/>
          <w:color w:val="000000" w:themeColor="text1"/>
          <w:szCs w:val="28"/>
          <w14:textFill>
            <w14:solidFill>
              <w14:schemeClr w14:val="tx1"/>
            </w14:solidFill>
          </w14:textFill>
        </w:rPr>
        <w:t>落实了应急指挥体系、应急救援队伍、应急物资及装备，应急物资、装备进行处于适用状态。</w:t>
      </w:r>
      <w:r>
        <w:rPr>
          <w:rFonts w:hint="eastAsia"/>
          <w:color w:val="000000" w:themeColor="text1"/>
          <w:szCs w:val="28"/>
          <w:lang w:val="en-US" w:eastAsia="zh-CN"/>
          <w14:textFill>
            <w14:solidFill>
              <w14:schemeClr w14:val="tx1"/>
            </w14:solidFill>
          </w14:textFill>
        </w:rPr>
        <w:t>企业预案已按要求到红塔区应急管理局进行了备案。</w:t>
      </w:r>
    </w:p>
    <w:p>
      <w:pPr>
        <w:ind w:firstLine="560"/>
        <w:rPr>
          <w:rFonts w:hint="eastAsia"/>
          <w:lang w:val="en-US" w:eastAsia="zh-CN"/>
        </w:rPr>
      </w:pPr>
      <w:r>
        <w:rPr>
          <w:rFonts w:hint="eastAsia"/>
          <w:color w:val="000000" w:themeColor="text1"/>
          <w:szCs w:val="28"/>
          <w:lang w:val="en-US" w:eastAsia="zh-CN"/>
          <w14:textFill>
            <w14:solidFill>
              <w14:schemeClr w14:val="tx1"/>
            </w14:solidFill>
          </w14:textFill>
        </w:rPr>
        <w:t>根据评价分析，安全管理评价单元</w:t>
      </w:r>
      <w:r>
        <w:rPr>
          <w:rFonts w:hint="eastAsia"/>
          <w:color w:val="000000" w:themeColor="text1"/>
          <w:szCs w:val="28"/>
          <w14:textFill>
            <w14:solidFill>
              <w14:schemeClr w14:val="tx1"/>
            </w14:solidFill>
          </w14:textFill>
        </w:rPr>
        <w:t>符合</w:t>
      </w:r>
      <w:r>
        <w:rPr>
          <w:rFonts w:hint="eastAsia"/>
          <w:color w:val="000000" w:themeColor="text1"/>
          <w:szCs w:val="28"/>
          <w:lang w:val="en-US" w:eastAsia="zh-CN"/>
          <w14:textFill>
            <w14:solidFill>
              <w14:schemeClr w14:val="tx1"/>
            </w14:solidFill>
          </w14:textFill>
        </w:rPr>
        <w:t>相关法律规范的</w:t>
      </w:r>
      <w:r>
        <w:rPr>
          <w:rFonts w:hint="eastAsia"/>
          <w:color w:val="000000" w:themeColor="text1"/>
          <w:szCs w:val="28"/>
          <w14:textFill>
            <w14:solidFill>
              <w14:schemeClr w14:val="tx1"/>
            </w14:solidFill>
          </w14:textFill>
        </w:rPr>
        <w:t>要求。</w:t>
      </w:r>
    </w:p>
    <w:p>
      <w:pPr>
        <w:pStyle w:val="2"/>
        <w:rPr>
          <w:rFonts w:hint="default"/>
          <w:lang w:val="en-US"/>
        </w:rPr>
      </w:pPr>
    </w:p>
    <w:p>
      <w:pPr>
        <w:pStyle w:val="2"/>
      </w:pPr>
    </w:p>
    <w:p>
      <w:pPr>
        <w:ind w:firstLine="560"/>
        <w:rPr>
          <w:color w:val="000000" w:themeColor="text1"/>
          <w:szCs w:val="21"/>
          <w14:textFill>
            <w14:solidFill>
              <w14:schemeClr w14:val="tx1"/>
            </w14:solidFill>
          </w14:textFill>
        </w:rPr>
        <w:sectPr>
          <w:headerReference r:id="rId20" w:type="even"/>
          <w:pgSz w:w="11906" w:h="16838"/>
          <w:pgMar w:top="1440" w:right="1800" w:bottom="1440" w:left="1800" w:header="850" w:footer="992" w:gutter="0"/>
          <w:pgNumType w:fmt="decimal"/>
          <w:cols w:space="720" w:num="1"/>
          <w:docGrid w:linePitch="312" w:charSpace="0"/>
        </w:sectPr>
      </w:pPr>
    </w:p>
    <w:bookmarkEnd w:id="885"/>
    <w:bookmarkEnd w:id="886"/>
    <w:bookmarkEnd w:id="887"/>
    <w:bookmarkEnd w:id="888"/>
    <w:p>
      <w:pPr>
        <w:pStyle w:val="4"/>
        <w:ind w:firstLine="883"/>
        <w:rPr>
          <w:color w:val="000000" w:themeColor="text1"/>
          <w14:textFill>
            <w14:solidFill>
              <w14:schemeClr w14:val="tx1"/>
            </w14:solidFill>
          </w14:textFill>
        </w:rPr>
      </w:pPr>
      <w:bookmarkStart w:id="958" w:name="_Toc29247"/>
      <w:bookmarkStart w:id="959" w:name="_Toc129520693"/>
      <w:bookmarkStart w:id="960" w:name="_Toc16436"/>
      <w:r>
        <w:rPr>
          <w:color w:val="000000" w:themeColor="text1"/>
          <w14:textFill>
            <w14:solidFill>
              <w14:schemeClr w14:val="tx1"/>
            </w14:solidFill>
          </w14:textFill>
        </w:rPr>
        <w:t>安全对策措施及建议</w:t>
      </w:r>
      <w:bookmarkEnd w:id="958"/>
      <w:bookmarkEnd w:id="959"/>
      <w:bookmarkEnd w:id="960"/>
    </w:p>
    <w:p>
      <w:pPr>
        <w:pStyle w:val="5"/>
        <w:rPr>
          <w:snapToGrid w:val="0"/>
          <w:color w:val="000000" w:themeColor="text1"/>
          <w14:textFill>
            <w14:solidFill>
              <w14:schemeClr w14:val="tx1"/>
            </w14:solidFill>
          </w14:textFill>
        </w:rPr>
      </w:pPr>
      <w:bookmarkStart w:id="961" w:name="_Toc51340742"/>
      <w:bookmarkStart w:id="962" w:name="_Toc54294508"/>
      <w:bookmarkStart w:id="963" w:name="_Toc103178351"/>
      <w:bookmarkStart w:id="964" w:name="_Toc458246034"/>
      <w:bookmarkStart w:id="965" w:name="_Toc129520694"/>
      <w:bookmarkStart w:id="966" w:name="_Toc22797"/>
      <w:bookmarkStart w:id="967" w:name="_Toc13965"/>
      <w:r>
        <w:rPr>
          <w:snapToGrid w:val="0"/>
          <w:color w:val="000000" w:themeColor="text1"/>
          <w14:textFill>
            <w14:solidFill>
              <w14:schemeClr w14:val="tx1"/>
            </w14:solidFill>
          </w14:textFill>
        </w:rPr>
        <w:t>存在的问题</w:t>
      </w:r>
      <w:bookmarkEnd w:id="961"/>
      <w:bookmarkEnd w:id="962"/>
      <w:bookmarkEnd w:id="963"/>
      <w:bookmarkEnd w:id="964"/>
      <w:r>
        <w:rPr>
          <w:rFonts w:hint="eastAsia"/>
          <w:snapToGrid w:val="0"/>
          <w:color w:val="000000" w:themeColor="text1"/>
          <w14:textFill>
            <w14:solidFill>
              <w14:schemeClr w14:val="tx1"/>
            </w14:solidFill>
          </w14:textFill>
        </w:rPr>
        <w:t>及整改情况</w:t>
      </w:r>
      <w:bookmarkEnd w:id="965"/>
      <w:bookmarkEnd w:id="966"/>
      <w:bookmarkEnd w:id="967"/>
    </w:p>
    <w:p>
      <w:pPr>
        <w:pStyle w:val="50"/>
        <w:numPr>
          <w:ilvl w:val="0"/>
          <w:numId w:val="54"/>
        </w:numPr>
        <w:ind w:firstLineChars="0"/>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 </w:t>
      </w:r>
      <w:r>
        <w:rPr>
          <w:color w:val="000000" w:themeColor="text1"/>
          <w:sz w:val="24"/>
          <w:szCs w:val="24"/>
          <w14:textFill>
            <w14:solidFill>
              <w14:schemeClr w14:val="tx1"/>
            </w14:solidFill>
          </w14:textFill>
        </w:rPr>
        <w:t>存在的问题</w:t>
      </w:r>
      <w:r>
        <w:rPr>
          <w:rFonts w:hint="eastAsia"/>
          <w:color w:val="000000" w:themeColor="text1"/>
          <w:sz w:val="24"/>
          <w:szCs w:val="24"/>
          <w14:textFill>
            <w14:solidFill>
              <w14:schemeClr w14:val="tx1"/>
            </w14:solidFill>
          </w14:textFill>
        </w:rPr>
        <w:t>及整改情况表</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518"/>
        <w:gridCol w:w="2556"/>
        <w:gridCol w:w="2664"/>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60" w:type="pct"/>
            <w:shd w:val="clear" w:color="auto" w:fill="auto"/>
            <w:vAlign w:val="center"/>
          </w:tcPr>
          <w:p>
            <w:pPr>
              <w:widowControl/>
              <w:spacing w:line="240" w:lineRule="auto"/>
              <w:ind w:firstLine="0" w:firstLineChars="0"/>
              <w:jc w:val="center"/>
              <w:rPr>
                <w:b/>
                <w:color w:val="000000" w:themeColor="text1"/>
                <w:sz w:val="21"/>
                <w:szCs w:val="21"/>
                <w14:textFill>
                  <w14:solidFill>
                    <w14:schemeClr w14:val="tx1"/>
                  </w14:solidFill>
                </w14:textFill>
              </w:rPr>
            </w:pPr>
            <w:bookmarkStart w:id="968" w:name="_Hlk128577338"/>
            <w:r>
              <w:rPr>
                <w:b/>
                <w:color w:val="000000" w:themeColor="text1"/>
                <w:sz w:val="21"/>
                <w:szCs w:val="21"/>
                <w14:textFill>
                  <w14:solidFill>
                    <w14:schemeClr w14:val="tx1"/>
                  </w14:solidFill>
                </w14:textFill>
              </w:rPr>
              <w:t>序号</w:t>
            </w:r>
          </w:p>
        </w:tc>
        <w:tc>
          <w:tcPr>
            <w:tcW w:w="1007" w:type="pct"/>
            <w:shd w:val="clear" w:color="auto" w:fill="auto"/>
            <w:vAlign w:val="center"/>
          </w:tcPr>
          <w:p>
            <w:pPr>
              <w:widowControl/>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隐患描述</w:t>
            </w:r>
          </w:p>
        </w:tc>
        <w:tc>
          <w:tcPr>
            <w:tcW w:w="1362" w:type="pct"/>
            <w:shd w:val="clear" w:color="auto" w:fill="auto"/>
            <w:vAlign w:val="center"/>
          </w:tcPr>
          <w:p>
            <w:pPr>
              <w:widowControl/>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现场照片</w:t>
            </w:r>
          </w:p>
        </w:tc>
        <w:tc>
          <w:tcPr>
            <w:tcW w:w="1361" w:type="pct"/>
            <w:shd w:val="clear" w:color="auto" w:fill="auto"/>
            <w:vAlign w:val="center"/>
          </w:tcPr>
          <w:p>
            <w:pPr>
              <w:widowControl/>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整改后照片</w:t>
            </w:r>
          </w:p>
        </w:tc>
        <w:tc>
          <w:tcPr>
            <w:tcW w:w="907" w:type="pct"/>
            <w:shd w:val="clear" w:color="auto" w:fill="auto"/>
            <w:vAlign w:val="center"/>
          </w:tcPr>
          <w:p>
            <w:pPr>
              <w:widowControl/>
              <w:spacing w:line="240" w:lineRule="auto"/>
              <w:ind w:firstLine="0" w:firstLineChars="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整改情况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灭火器放置于地面，部分有底部被侵蚀的风险、配电室内两具灭火器瓶底</w:t>
            </w:r>
            <w:r>
              <w:rPr>
                <w:rFonts w:hint="eastAsia"/>
                <w:color w:val="000000" w:themeColor="text1"/>
                <w:sz w:val="21"/>
                <w:szCs w:val="21"/>
                <w:lang w:eastAsia="zh-CN"/>
                <w14:textFill>
                  <w14:solidFill>
                    <w14:schemeClr w14:val="tx1"/>
                  </w14:solidFill>
                </w14:textFill>
              </w:rPr>
              <w:t>受</w:t>
            </w:r>
            <w:r>
              <w:rPr>
                <w:rFonts w:hint="eastAsia"/>
                <w:color w:val="000000" w:themeColor="text1"/>
                <w:sz w:val="21"/>
                <w:szCs w:val="21"/>
                <w14:textFill>
                  <w14:solidFill>
                    <w14:schemeClr w14:val="tx1"/>
                  </w14:solidFill>
                </w14:textFill>
              </w:rPr>
              <w:t>外力有损伤</w:t>
            </w:r>
            <w:r>
              <w:rPr>
                <w:color w:val="000000" w:themeColor="text1"/>
                <w:sz w:val="21"/>
                <w:szCs w:val="21"/>
                <w14:textFill>
                  <w14:solidFill>
                    <w14:schemeClr w14:val="tx1"/>
                  </w14:solidFill>
                </w14:textFill>
              </w:rPr>
              <w:t>。</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076960" cy="1212850"/>
                  <wp:effectExtent l="0" t="0" r="889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3"/>
                          <a:stretch>
                            <a:fillRect/>
                          </a:stretch>
                        </pic:blipFill>
                        <pic:spPr>
                          <a:xfrm>
                            <a:off x="0" y="0"/>
                            <a:ext cx="1078293" cy="1214926"/>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942975" cy="1236345"/>
                  <wp:effectExtent l="0" t="0" r="0" b="19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4"/>
                          <a:stretch>
                            <a:fillRect/>
                          </a:stretch>
                        </pic:blipFill>
                        <pic:spPr>
                          <a:xfrm>
                            <a:off x="0" y="0"/>
                            <a:ext cx="949813" cy="1245944"/>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已将灭火器放置于消防器材架上。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工具房内砂轮机放置于地面未进行固定，侧面防护罩缺失。</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113155" cy="93726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5"/>
                          <a:stretch>
                            <a:fillRect/>
                          </a:stretch>
                        </pic:blipFill>
                        <pic:spPr>
                          <a:xfrm>
                            <a:off x="0" y="0"/>
                            <a:ext cx="1116106" cy="939325"/>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971550" cy="838835"/>
                  <wp:effectExtent l="0" t="0" r="3810" b="146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6"/>
                          <a:stretch>
                            <a:fillRect/>
                          </a:stretch>
                        </pic:blipFill>
                        <pic:spPr>
                          <a:xfrm>
                            <a:off x="0" y="0"/>
                            <a:ext cx="980321" cy="846761"/>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将砂轮机固定在操作平台上，并补全侧面防护罩。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工具房内一台空气压缩机电机皮带缺失护罩</w:t>
            </w:r>
            <w:r>
              <w:rPr>
                <w:color w:val="000000" w:themeColor="text1"/>
                <w:sz w:val="21"/>
                <w:szCs w:val="21"/>
                <w14:textFill>
                  <w14:solidFill>
                    <w14:schemeClr w14:val="tx1"/>
                  </w14:solidFill>
                </w14:textFill>
              </w:rPr>
              <w:t>。</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901825"/>
                  <wp:effectExtent l="0" t="0" r="2540" b="317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7"/>
                          <a:stretch>
                            <a:fillRect/>
                          </a:stretch>
                        </pic:blipFill>
                        <pic:spPr>
                          <a:xfrm>
                            <a:off x="0" y="0"/>
                            <a:ext cx="1483360" cy="1901825"/>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553210" cy="1712595"/>
                  <wp:effectExtent l="0" t="0" r="1270"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38"/>
                          <a:stretch>
                            <a:fillRect/>
                          </a:stretch>
                        </pic:blipFill>
                        <pic:spPr>
                          <a:xfrm>
                            <a:off x="0" y="0"/>
                            <a:ext cx="1553210" cy="1723339"/>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已完成整改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配电房机柜后方无绝缘胶垫</w:t>
            </w:r>
            <w:r>
              <w:rPr>
                <w:color w:val="000000" w:themeColor="text1"/>
                <w:sz w:val="21"/>
                <w:szCs w:val="21"/>
                <w14:textFill>
                  <w14:solidFill>
                    <w14:schemeClr w14:val="tx1"/>
                  </w14:solidFill>
                </w14:textFill>
              </w:rPr>
              <w:t>。</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302385"/>
                  <wp:effectExtent l="0" t="0" r="254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39"/>
                          <a:stretch>
                            <a:fillRect/>
                          </a:stretch>
                        </pic:blipFill>
                        <pic:spPr>
                          <a:xfrm>
                            <a:off x="0" y="0"/>
                            <a:ext cx="1483360" cy="1302385"/>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179195" cy="1309370"/>
                  <wp:effectExtent l="0" t="0" r="1905" b="508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40"/>
                          <a:stretch>
                            <a:fillRect/>
                          </a:stretch>
                        </pic:blipFill>
                        <pic:spPr>
                          <a:xfrm>
                            <a:off x="0" y="0"/>
                            <a:ext cx="1184920" cy="1315337"/>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已在配电房机柜后方增加绝缘胶垫。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生产车间内部分配电柜未做跨接，部分箱体缺少警示标识。</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569720"/>
                  <wp:effectExtent l="0" t="0" r="254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1"/>
                          <a:stretch>
                            <a:fillRect/>
                          </a:stretch>
                        </pic:blipFill>
                        <pic:spPr>
                          <a:xfrm>
                            <a:off x="0" y="0"/>
                            <a:ext cx="1483360" cy="1569720"/>
                          </a:xfrm>
                          <a:prstGeom prst="rect">
                            <a:avLst/>
                          </a:prstGeom>
                        </pic:spPr>
                      </pic:pic>
                    </a:graphicData>
                  </a:graphic>
                </wp:inline>
              </w:drawing>
            </w:r>
          </w:p>
          <w:p>
            <w:pPr>
              <w:widowControl/>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缺静电跨接缺失问题图片</w:t>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167765" cy="1212850"/>
                  <wp:effectExtent l="0" t="0" r="0"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2"/>
                          <a:stretch>
                            <a:fillRect/>
                          </a:stretch>
                        </pic:blipFill>
                        <pic:spPr>
                          <a:xfrm>
                            <a:off x="0" y="0"/>
                            <a:ext cx="1172185" cy="1217366"/>
                          </a:xfrm>
                          <a:prstGeom prst="rect">
                            <a:avLst/>
                          </a:prstGeom>
                        </pic:spPr>
                      </pic:pic>
                    </a:graphicData>
                  </a:graphic>
                </wp:inline>
              </w:drawing>
            </w:r>
          </w:p>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177925" cy="1016000"/>
                  <wp:effectExtent l="0" t="0" r="3175"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43"/>
                          <a:stretch>
                            <a:fillRect/>
                          </a:stretch>
                        </pic:blipFill>
                        <pic:spPr>
                          <a:xfrm>
                            <a:off x="0" y="0"/>
                            <a:ext cx="1184652" cy="1021795"/>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已在箱体上方增加警示标识。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配电房未做防鼠预防（如电缆井管线未用防火泥等封堵，有老鼠流窜痕迹）。</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506220"/>
                  <wp:effectExtent l="0" t="0" r="254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44"/>
                          <a:stretch>
                            <a:fillRect/>
                          </a:stretch>
                        </pic:blipFill>
                        <pic:spPr>
                          <a:xfrm>
                            <a:off x="0" y="0"/>
                            <a:ext cx="1483360" cy="1506220"/>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2725" cy="1438910"/>
                  <wp:effectExtent l="0" t="0" r="3175" b="889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45"/>
                          <a:stretch>
                            <a:fillRect/>
                          </a:stretch>
                        </pic:blipFill>
                        <pic:spPr>
                          <a:xfrm>
                            <a:off x="0" y="0"/>
                            <a:ext cx="1487614" cy="1443932"/>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已使用防火泥对孔洞进行封堵。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生产车间通往储存区旁一配电柜顶部摆放杂物。</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383030"/>
                  <wp:effectExtent l="0" t="0" r="2540" b="762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46"/>
                          <a:stretch>
                            <a:fillRect/>
                          </a:stretch>
                        </pic:blipFill>
                        <pic:spPr>
                          <a:xfrm>
                            <a:off x="0" y="0"/>
                            <a:ext cx="1485811" cy="1385813"/>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2725" cy="1351280"/>
                  <wp:effectExtent l="0" t="0" r="3175" b="127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47"/>
                          <a:stretch>
                            <a:fillRect/>
                          </a:stretch>
                        </pic:blipFill>
                        <pic:spPr>
                          <a:xfrm>
                            <a:off x="0" y="0"/>
                            <a:ext cx="1487272" cy="1355867"/>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已将配电柜顶部杂物清除。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中空成型机内摆放检修工具，有一台设备内摆放有易燃的柏油清洁剂（中空成型机内温度较高）。</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005840" cy="1188720"/>
                  <wp:effectExtent l="0" t="0" r="381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8"/>
                          <a:stretch>
                            <a:fillRect/>
                          </a:stretch>
                        </pic:blipFill>
                        <pic:spPr>
                          <a:xfrm>
                            <a:off x="0" y="0"/>
                            <a:ext cx="1014218" cy="1199174"/>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2725" cy="1188085"/>
                  <wp:effectExtent l="0" t="0" r="317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9"/>
                          <a:stretch>
                            <a:fillRect/>
                          </a:stretch>
                        </pic:blipFill>
                        <pic:spPr>
                          <a:xfrm>
                            <a:off x="0" y="0"/>
                            <a:ext cx="1482725" cy="1188085"/>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已将设备内摆放的柏油清洁剂移除。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生产车间进门处的中空成型机机顶上的投料罐电源线采用两线制。</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209675" cy="109347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50"/>
                          <a:stretch>
                            <a:fillRect/>
                          </a:stretch>
                        </pic:blipFill>
                        <pic:spPr>
                          <a:xfrm>
                            <a:off x="0" y="0"/>
                            <a:ext cx="1215779" cy="1099198"/>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198880" cy="1073785"/>
                  <wp:effectExtent l="0" t="0" r="127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51"/>
                          <a:stretch>
                            <a:fillRect/>
                          </a:stretch>
                        </pic:blipFill>
                        <pic:spPr>
                          <a:xfrm>
                            <a:off x="0" y="0"/>
                            <a:ext cx="1201279" cy="1075749"/>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已将设备插头更换为三相插头。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循环冷却水池缺少警示标识（当心淹溺、水深*米、未经允许禁止入内）。</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287780" cy="1126490"/>
                  <wp:effectExtent l="0" t="0" r="762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52"/>
                          <a:stretch>
                            <a:fillRect/>
                          </a:stretch>
                        </pic:blipFill>
                        <pic:spPr>
                          <a:xfrm>
                            <a:off x="0" y="0"/>
                            <a:ext cx="1293076" cy="1130888"/>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209675" cy="1363980"/>
                  <wp:effectExtent l="0" t="0" r="0" b="762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53"/>
                          <a:stretch>
                            <a:fillRect/>
                          </a:stretch>
                        </pic:blipFill>
                        <pic:spPr>
                          <a:xfrm>
                            <a:off x="0" y="0"/>
                            <a:ext cx="1217175" cy="1372515"/>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已在水池外粘贴相应安全警示标识。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生产车间部分区域缺少应急疏散指示灯。</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161415"/>
                  <wp:effectExtent l="0" t="0" r="2540" b="63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54"/>
                          <a:stretch>
                            <a:fillRect/>
                          </a:stretch>
                        </pic:blipFill>
                        <pic:spPr>
                          <a:xfrm>
                            <a:off x="0" y="0"/>
                            <a:ext cx="1483360" cy="1161415"/>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2725" cy="1322070"/>
                  <wp:effectExtent l="0" t="0" r="3175"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55"/>
                          <a:stretch>
                            <a:fillRect/>
                          </a:stretch>
                        </pic:blipFill>
                        <pic:spPr>
                          <a:xfrm>
                            <a:off x="0" y="0"/>
                            <a:ext cx="1482725" cy="1322070"/>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已在现场增加应急疏散指示灯。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中转仓库安全门被堵塞。</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089025"/>
                  <wp:effectExtent l="0" t="0" r="254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56"/>
                          <a:stretch>
                            <a:fillRect/>
                          </a:stretch>
                        </pic:blipFill>
                        <pic:spPr>
                          <a:xfrm>
                            <a:off x="0" y="0"/>
                            <a:ext cx="1488999" cy="1093469"/>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2725" cy="1109980"/>
                  <wp:effectExtent l="0" t="0" r="317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57"/>
                          <a:stretch>
                            <a:fillRect/>
                          </a:stretch>
                        </pic:blipFill>
                        <pic:spPr>
                          <a:xfrm>
                            <a:off x="0" y="0"/>
                            <a:ext cx="1482725" cy="1109980"/>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已将堵塞物料移除。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停用设备未粘贴停用标识，建议将电源线断开并粘贴停用标识。</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179195"/>
                  <wp:effectExtent l="0" t="0" r="2540" b="190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58"/>
                          <a:stretch>
                            <a:fillRect/>
                          </a:stretch>
                        </pic:blipFill>
                        <pic:spPr>
                          <a:xfrm>
                            <a:off x="0" y="0"/>
                            <a:ext cx="1483360" cy="1179195"/>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116965" cy="1277620"/>
                  <wp:effectExtent l="0" t="0" r="6985"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59"/>
                          <a:stretch>
                            <a:fillRect/>
                          </a:stretch>
                        </pic:blipFill>
                        <pic:spPr>
                          <a:xfrm>
                            <a:off x="0" y="0"/>
                            <a:ext cx="1127098" cy="1289284"/>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已粘贴停用设备标识，并将电源线断开。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成型机柜门联锁取消，建议恢复联锁或在厢门上锁。</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104900" cy="132334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60"/>
                          <a:stretch>
                            <a:fillRect/>
                          </a:stretch>
                        </pic:blipFill>
                        <pic:spPr>
                          <a:xfrm>
                            <a:off x="0" y="0"/>
                            <a:ext cx="1108794" cy="1328559"/>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2725" cy="1391285"/>
                  <wp:effectExtent l="0" t="0" r="317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61"/>
                          <a:stretch>
                            <a:fillRect/>
                          </a:stretch>
                        </pic:blipFill>
                        <pic:spPr>
                          <a:xfrm>
                            <a:off x="0" y="0"/>
                            <a:ext cx="1482725" cy="1391285"/>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已在厢门上做上锁处理。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0" w:type="pct"/>
            <w:shd w:val="clear" w:color="auto" w:fill="auto"/>
            <w:vAlign w:val="center"/>
          </w:tcPr>
          <w:p>
            <w:pPr>
              <w:widowControl/>
              <w:numPr>
                <w:ilvl w:val="0"/>
                <w:numId w:val="55"/>
              </w:numPr>
              <w:spacing w:line="240" w:lineRule="auto"/>
              <w:ind w:firstLineChars="0"/>
              <w:jc w:val="center"/>
              <w:rPr>
                <w:color w:val="000000" w:themeColor="text1"/>
                <w:sz w:val="21"/>
                <w:szCs w:val="21"/>
                <w14:textFill>
                  <w14:solidFill>
                    <w14:schemeClr w14:val="tx1"/>
                  </w14:solidFill>
                </w14:textFill>
              </w:rPr>
            </w:pPr>
          </w:p>
        </w:tc>
        <w:tc>
          <w:tcPr>
            <w:tcW w:w="10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破碎机电源控制箱无接地线，无当心触电标识。</w:t>
            </w:r>
          </w:p>
        </w:tc>
        <w:tc>
          <w:tcPr>
            <w:tcW w:w="1362"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3360" cy="1447800"/>
                  <wp:effectExtent l="0" t="0" r="254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62"/>
                          <a:stretch>
                            <a:fillRect/>
                          </a:stretch>
                        </pic:blipFill>
                        <pic:spPr>
                          <a:xfrm>
                            <a:off x="0" y="0"/>
                            <a:ext cx="1483360" cy="1447800"/>
                          </a:xfrm>
                          <a:prstGeom prst="rect">
                            <a:avLst/>
                          </a:prstGeom>
                        </pic:spPr>
                      </pic:pic>
                    </a:graphicData>
                  </a:graphic>
                </wp:inline>
              </w:drawing>
            </w:r>
          </w:p>
        </w:tc>
        <w:tc>
          <w:tcPr>
            <w:tcW w:w="1361" w:type="pct"/>
            <w:shd w:val="clear" w:color="auto" w:fill="auto"/>
            <w:vAlign w:val="center"/>
          </w:tcPr>
          <w:p>
            <w:pPr>
              <w:widowControl/>
              <w:spacing w:line="240" w:lineRule="auto"/>
              <w:ind w:firstLine="0" w:firstLineChars="0"/>
              <w:jc w:val="center"/>
              <w:rPr>
                <w:color w:val="000000" w:themeColor="text1"/>
                <w:sz w:val="21"/>
                <w:szCs w:val="21"/>
                <w14:textFill>
                  <w14:solidFill>
                    <w14:schemeClr w14:val="tx1"/>
                  </w14:solidFill>
                </w14:textFill>
              </w:rPr>
            </w:pPr>
            <w:r>
              <w:drawing>
                <wp:inline distT="0" distB="0" distL="0" distR="0">
                  <wp:extent cx="1482725" cy="1375410"/>
                  <wp:effectExtent l="0" t="0" r="317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63"/>
                          <a:stretch>
                            <a:fillRect/>
                          </a:stretch>
                        </pic:blipFill>
                        <pic:spPr>
                          <a:xfrm>
                            <a:off x="0" y="0"/>
                            <a:ext cx="1487220" cy="1379747"/>
                          </a:xfrm>
                          <a:prstGeom prst="rect">
                            <a:avLst/>
                          </a:prstGeom>
                        </pic:spPr>
                      </pic:pic>
                    </a:graphicData>
                  </a:graphic>
                </wp:inline>
              </w:drawing>
            </w:r>
          </w:p>
        </w:tc>
        <w:tc>
          <w:tcPr>
            <w:tcW w:w="907" w:type="pct"/>
            <w:shd w:val="clear" w:color="auto" w:fill="auto"/>
            <w:vAlign w:val="center"/>
          </w:tcPr>
          <w:p>
            <w:pPr>
              <w:widowControl/>
              <w:spacing w:line="240" w:lineRule="auto"/>
              <w:ind w:firstLine="0" w:firstLineChars="0"/>
              <w:jc w:val="left"/>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已将箱体接地，并在箱体上粘贴当心触电标识。</w:t>
            </w:r>
          </w:p>
        </w:tc>
      </w:tr>
      <w:bookmarkEnd w:id="968"/>
    </w:tbl>
    <w:p>
      <w:pPr>
        <w:pStyle w:val="5"/>
        <w:rPr>
          <w:color w:val="000000" w:themeColor="text1"/>
          <w14:textFill>
            <w14:solidFill>
              <w14:schemeClr w14:val="tx1"/>
            </w14:solidFill>
          </w14:textFill>
        </w:rPr>
      </w:pPr>
      <w:bookmarkStart w:id="969" w:name="_Toc103178353"/>
      <w:bookmarkStart w:id="970" w:name="_Toc278151449"/>
      <w:bookmarkStart w:id="971" w:name="_Toc28006"/>
      <w:bookmarkStart w:id="972" w:name="_Toc458246036"/>
      <w:bookmarkStart w:id="973" w:name="_Toc51340744"/>
      <w:bookmarkStart w:id="974" w:name="_Toc129520695"/>
      <w:bookmarkStart w:id="975" w:name="_Toc54294510"/>
      <w:bookmarkStart w:id="976" w:name="_Toc8387"/>
      <w:r>
        <w:rPr>
          <w:color w:val="000000" w:themeColor="text1"/>
          <w14:textFill>
            <w14:solidFill>
              <w14:schemeClr w14:val="tx1"/>
            </w14:solidFill>
          </w14:textFill>
        </w:rPr>
        <w:t>安全对策措施及建议</w:t>
      </w:r>
      <w:bookmarkEnd w:id="969"/>
      <w:bookmarkEnd w:id="970"/>
      <w:bookmarkEnd w:id="971"/>
      <w:bookmarkEnd w:id="972"/>
      <w:bookmarkEnd w:id="973"/>
      <w:bookmarkEnd w:id="974"/>
      <w:bookmarkEnd w:id="975"/>
      <w:bookmarkEnd w:id="976"/>
    </w:p>
    <w:p>
      <w:pPr>
        <w:pStyle w:val="6"/>
        <w:rPr>
          <w:snapToGrid w:val="0"/>
          <w:color w:val="000000" w:themeColor="text1"/>
          <w14:textFill>
            <w14:solidFill>
              <w14:schemeClr w14:val="tx1"/>
            </w14:solidFill>
          </w14:textFill>
        </w:rPr>
      </w:pPr>
      <w:bookmarkStart w:id="977" w:name="_Toc51340747"/>
      <w:bookmarkStart w:id="978" w:name="_Toc433802538"/>
      <w:bookmarkStart w:id="979" w:name="_Toc458246039"/>
      <w:bookmarkStart w:id="980" w:name="_Toc54294511"/>
      <w:bookmarkStart w:id="981" w:name="_Toc129520696"/>
      <w:bookmarkStart w:id="982" w:name="_Toc103178354"/>
      <w:bookmarkStart w:id="983" w:name="_Toc7364"/>
      <w:bookmarkStart w:id="984" w:name="_Toc14609"/>
      <w:bookmarkStart w:id="985" w:name="_Toc121910283"/>
      <w:r>
        <w:rPr>
          <w:snapToGrid w:val="0"/>
          <w:color w:val="000000" w:themeColor="text1"/>
          <w14:textFill>
            <w14:solidFill>
              <w14:schemeClr w14:val="tx1"/>
            </w14:solidFill>
          </w14:textFill>
        </w:rPr>
        <w:t>安全生产条件</w:t>
      </w:r>
      <w:bookmarkEnd w:id="977"/>
      <w:bookmarkEnd w:id="978"/>
      <w:bookmarkEnd w:id="979"/>
      <w:bookmarkEnd w:id="980"/>
      <w:bookmarkEnd w:id="981"/>
      <w:bookmarkEnd w:id="982"/>
      <w:bookmarkEnd w:id="983"/>
      <w:bookmarkEnd w:id="984"/>
    </w:p>
    <w:p>
      <w:pPr>
        <w:numPr>
          <w:ilvl w:val="3"/>
          <w:numId w:val="56"/>
        </w:numPr>
        <w:adjustRightInd w:val="0"/>
        <w:snapToGrid w:val="0"/>
        <w:ind w:firstLine="560"/>
        <w:rPr>
          <w:rFonts w:hint="eastAsia" w:ascii="Times New Roman" w:hAnsi="Times New Roman" w:eastAsia="宋体" w:cs="Times New Roman"/>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针对企</w:t>
      </w:r>
      <w:r>
        <w:rPr>
          <w:rFonts w:hint="eastAsia" w:ascii="Times New Roman" w:hAnsi="Times New Roman" w:eastAsia="宋体" w:cs="Times New Roman"/>
          <w:color w:val="000000" w:themeColor="text1"/>
          <w:szCs w:val="28"/>
          <w:lang w:val="en-US" w:eastAsia="zh-CN"/>
          <w14:textFill>
            <w14:solidFill>
              <w14:schemeClr w14:val="tx1"/>
            </w14:solidFill>
          </w14:textFill>
        </w:rPr>
        <w:t>业同周边白龙路路边商铺、李棋农贸市场商铺、盛来房地产办公业务用房之间防火间距不足，为防范火灾事故的发生：</w:t>
      </w:r>
    </w:p>
    <w:p>
      <w:pPr>
        <w:pStyle w:val="2"/>
        <w:keepNext w:val="0"/>
        <w:keepLines w:val="0"/>
        <w:pageBreakBefore w:val="0"/>
        <w:widowControl w:val="0"/>
        <w:numPr>
          <w:ilvl w:val="0"/>
          <w:numId w:val="57"/>
        </w:numPr>
        <w:kinsoku/>
        <w:wordWrap/>
        <w:overflowPunct/>
        <w:topLinePunct w:val="0"/>
        <w:autoSpaceDE/>
        <w:autoSpaceDN/>
        <w:bidi w:val="0"/>
        <w:adjustRightInd/>
        <w:snapToGrid/>
        <w:spacing w:after="0"/>
        <w:ind w:left="0" w:leftChars="0" w:firstLine="560" w:firstLineChars="200"/>
        <w:jc w:val="left"/>
        <w:textAlignment w:val="auto"/>
        <w:rPr>
          <w:rFonts w:hint="eastAsia" w:ascii="Times New Roman" w:hAnsi="Times New Roman" w:eastAsia="宋体" w:cs="Times New Roman"/>
          <w:color w:val="000000" w:themeColor="text1"/>
          <w:szCs w:val="28"/>
          <w:lang w:val="en-US" w:eastAsia="zh-CN"/>
          <w14:textFill>
            <w14:solidFill>
              <w14:schemeClr w14:val="tx1"/>
            </w14:solidFill>
          </w14:textFill>
        </w:rPr>
      </w:pPr>
      <w:r>
        <w:rPr>
          <w:rFonts w:hint="eastAsia"/>
          <w:lang w:val="en-US" w:eastAsia="zh-CN"/>
        </w:rPr>
        <w:t xml:space="preserve"> </w:t>
      </w:r>
      <w:r>
        <w:rPr>
          <w:rFonts w:hint="eastAsia" w:ascii="Times New Roman" w:hAnsi="Times New Roman" w:eastAsia="宋体" w:cs="Times New Roman"/>
          <w:color w:val="000000" w:themeColor="text1"/>
          <w:szCs w:val="28"/>
          <w:lang w:val="en-US" w:eastAsia="zh-CN"/>
          <w14:textFill>
            <w14:solidFill>
              <w14:schemeClr w14:val="tx1"/>
            </w14:solidFill>
          </w14:textFill>
        </w:rPr>
        <w:t>企业应应汇同承租单位、当地街道社区、消防部门一起，定期排查治理外部周边商铺火灾隐患。</w:t>
      </w:r>
    </w:p>
    <w:p>
      <w:pPr>
        <w:pStyle w:val="2"/>
        <w:keepNext w:val="0"/>
        <w:keepLines w:val="0"/>
        <w:pageBreakBefore w:val="0"/>
        <w:widowControl w:val="0"/>
        <w:numPr>
          <w:ilvl w:val="0"/>
          <w:numId w:val="57"/>
        </w:numPr>
        <w:kinsoku/>
        <w:wordWrap/>
        <w:overflowPunct/>
        <w:topLinePunct w:val="0"/>
        <w:autoSpaceDE/>
        <w:autoSpaceDN/>
        <w:bidi w:val="0"/>
        <w:adjustRightInd/>
        <w:snapToGrid/>
        <w:spacing w:after="0"/>
        <w:ind w:left="0" w:leftChars="0" w:firstLine="560" w:firstLineChars="200"/>
        <w:jc w:val="left"/>
        <w:textAlignment w:val="auto"/>
        <w:rPr>
          <w:rFonts w:hint="eastAsia" w:ascii="Times New Roman" w:hAnsi="Times New Roman" w:eastAsia="宋体" w:cs="Times New Roman"/>
          <w:color w:val="000000" w:themeColor="text1"/>
          <w:szCs w:val="28"/>
          <w:lang w:val="en-US" w:eastAsia="zh-CN"/>
          <w14:textFill>
            <w14:solidFill>
              <w14:schemeClr w14:val="tx1"/>
            </w14:solidFill>
          </w14:textFill>
        </w:rPr>
      </w:pPr>
      <w:r>
        <w:rPr>
          <w:rFonts w:hint="eastAsia" w:ascii="Times New Roman" w:hAnsi="Times New Roman" w:eastAsia="宋体" w:cs="Times New Roman"/>
          <w:color w:val="000000" w:themeColor="text1"/>
          <w:szCs w:val="28"/>
          <w:lang w:val="en-US" w:eastAsia="zh-CN"/>
          <w14:textFill>
            <w14:solidFill>
              <w14:schemeClr w14:val="tx1"/>
            </w14:solidFill>
          </w14:textFill>
        </w:rPr>
        <w:t>确保公司周边的消防道路的畅通。</w:t>
      </w:r>
    </w:p>
    <w:p>
      <w:pPr>
        <w:pStyle w:val="2"/>
        <w:keepNext w:val="0"/>
        <w:keepLines w:val="0"/>
        <w:pageBreakBefore w:val="0"/>
        <w:widowControl w:val="0"/>
        <w:numPr>
          <w:ilvl w:val="0"/>
          <w:numId w:val="57"/>
        </w:numPr>
        <w:kinsoku/>
        <w:wordWrap/>
        <w:overflowPunct/>
        <w:topLinePunct w:val="0"/>
        <w:autoSpaceDE/>
        <w:autoSpaceDN/>
        <w:bidi w:val="0"/>
        <w:adjustRightInd/>
        <w:snapToGrid/>
        <w:spacing w:after="0"/>
        <w:ind w:left="0" w:leftChars="0" w:firstLine="560" w:firstLineChars="200"/>
        <w:jc w:val="left"/>
        <w:textAlignment w:val="auto"/>
        <w:rPr>
          <w:rFonts w:hint="eastAsia" w:ascii="Times New Roman" w:hAnsi="Times New Roman" w:eastAsia="宋体" w:cs="Times New Roman"/>
          <w:color w:val="000000" w:themeColor="text1"/>
          <w:szCs w:val="28"/>
          <w:lang w:val="en-US" w:eastAsia="zh-CN"/>
          <w14:textFill>
            <w14:solidFill>
              <w14:schemeClr w14:val="tx1"/>
            </w14:solidFill>
          </w14:textFill>
        </w:rPr>
      </w:pPr>
      <w:r>
        <w:rPr>
          <w:rFonts w:hint="eastAsia" w:ascii="Times New Roman" w:hAnsi="Times New Roman" w:eastAsia="宋体" w:cs="Times New Roman"/>
          <w:color w:val="000000" w:themeColor="text1"/>
          <w:szCs w:val="28"/>
          <w:lang w:val="en-US" w:eastAsia="zh-CN"/>
          <w14:textFill>
            <w14:solidFill>
              <w14:schemeClr w14:val="tx1"/>
            </w14:solidFill>
          </w14:textFill>
        </w:rPr>
        <w:t>开展周边发生火灾的针对性消防应急演练。</w:t>
      </w:r>
    </w:p>
    <w:p>
      <w:pPr>
        <w:pStyle w:val="2"/>
        <w:keepNext w:val="0"/>
        <w:keepLines w:val="0"/>
        <w:pageBreakBefore w:val="0"/>
        <w:widowControl w:val="0"/>
        <w:numPr>
          <w:ilvl w:val="0"/>
          <w:numId w:val="57"/>
        </w:numPr>
        <w:kinsoku/>
        <w:wordWrap/>
        <w:overflowPunct/>
        <w:topLinePunct w:val="0"/>
        <w:autoSpaceDE/>
        <w:autoSpaceDN/>
        <w:bidi w:val="0"/>
        <w:adjustRightInd/>
        <w:snapToGrid/>
        <w:spacing w:after="0"/>
        <w:ind w:left="0" w:leftChars="0" w:firstLine="560" w:firstLineChars="200"/>
        <w:jc w:val="left"/>
        <w:textAlignment w:val="auto"/>
        <w:rPr>
          <w:rFonts w:hint="eastAsia" w:ascii="Times New Roman" w:hAnsi="Times New Roman" w:eastAsia="宋体" w:cs="Times New Roman"/>
          <w:color w:val="000000" w:themeColor="text1"/>
          <w:szCs w:val="28"/>
          <w:lang w:val="en-US" w:eastAsia="zh-CN"/>
          <w14:textFill>
            <w14:solidFill>
              <w14:schemeClr w14:val="tx1"/>
            </w14:solidFill>
          </w14:textFill>
        </w:rPr>
      </w:pPr>
      <w:r>
        <w:rPr>
          <w:rFonts w:hint="eastAsia" w:ascii="Times New Roman" w:hAnsi="Times New Roman" w:eastAsia="宋体" w:cs="Times New Roman"/>
          <w:color w:val="000000" w:themeColor="text1"/>
          <w:szCs w:val="28"/>
          <w:lang w:val="en-US" w:eastAsia="zh-CN"/>
          <w14:textFill>
            <w14:solidFill>
              <w14:schemeClr w14:val="tx1"/>
            </w14:solidFill>
          </w14:textFill>
        </w:rPr>
        <w:t>加强消防宣传。</w:t>
      </w:r>
    </w:p>
    <w:p>
      <w:pPr>
        <w:numPr>
          <w:ilvl w:val="3"/>
          <w:numId w:val="56"/>
        </w:numPr>
        <w:ind w:firstLine="560"/>
        <w:rPr>
          <w:color w:val="000000" w:themeColor="text1"/>
          <w:szCs w:val="28"/>
          <w14:textFill>
            <w14:solidFill>
              <w14:schemeClr w14:val="tx1"/>
            </w14:solidFill>
          </w14:textFill>
        </w:rPr>
      </w:pPr>
      <w:r>
        <w:rPr>
          <w:rFonts w:hint="eastAsia"/>
          <w:color w:val="000000" w:themeColor="text1"/>
          <w:szCs w:val="24"/>
          <w:lang w:val="en-US" w:eastAsia="zh-CN"/>
          <w14:textFill>
            <w14:solidFill>
              <w14:schemeClr w14:val="tx1"/>
            </w14:solidFill>
          </w14:textFill>
        </w:rPr>
        <w:t>针对项目成品仓库与办公楼、厂房的防火间距不足：</w:t>
      </w:r>
    </w:p>
    <w:p>
      <w:pPr>
        <w:pStyle w:val="2"/>
        <w:keepNext w:val="0"/>
        <w:keepLines w:val="0"/>
        <w:pageBreakBefore w:val="0"/>
        <w:widowControl w:val="0"/>
        <w:numPr>
          <w:ilvl w:val="0"/>
          <w:numId w:val="58"/>
        </w:numPr>
        <w:kinsoku/>
        <w:wordWrap/>
        <w:overflowPunct/>
        <w:topLinePunct w:val="0"/>
        <w:autoSpaceDE/>
        <w:autoSpaceDN/>
        <w:bidi w:val="0"/>
        <w:adjustRightInd/>
        <w:snapToGrid/>
        <w:spacing w:after="0"/>
        <w:ind w:left="0" w:leftChars="0" w:firstLine="560" w:firstLineChars="200"/>
        <w:jc w:val="left"/>
        <w:textAlignment w:val="auto"/>
        <w:rPr>
          <w:color w:val="000000" w:themeColor="text1"/>
          <w:szCs w:val="24"/>
          <w14:textFill>
            <w14:solidFill>
              <w14:schemeClr w14:val="tx1"/>
            </w14:solidFill>
          </w14:textFill>
        </w:rPr>
      </w:pPr>
      <w:r>
        <w:rPr>
          <w:rFonts w:hint="eastAsia" w:ascii="Times New Roman" w:hAnsi="Times New Roman" w:eastAsia="宋体" w:cs="Times New Roman"/>
          <w:color w:val="000000" w:themeColor="text1"/>
          <w:szCs w:val="28"/>
          <w:lang w:val="en-US" w:eastAsia="zh-CN"/>
          <w14:textFill>
            <w14:solidFill>
              <w14:schemeClr w14:val="tx1"/>
            </w14:solidFill>
          </w14:textFill>
        </w:rPr>
        <w:t>要加强公司防火管理，全厂范围禁止烟火，每天定人定时对各生产区域进行消防、安全检查，确保消防措施到位。</w:t>
      </w:r>
    </w:p>
    <w:p>
      <w:pPr>
        <w:pStyle w:val="2"/>
        <w:keepNext w:val="0"/>
        <w:keepLines w:val="0"/>
        <w:pageBreakBefore w:val="0"/>
        <w:widowControl w:val="0"/>
        <w:numPr>
          <w:ilvl w:val="0"/>
          <w:numId w:val="58"/>
        </w:numPr>
        <w:kinsoku/>
        <w:wordWrap/>
        <w:overflowPunct/>
        <w:topLinePunct w:val="0"/>
        <w:autoSpaceDE/>
        <w:autoSpaceDN/>
        <w:bidi w:val="0"/>
        <w:adjustRightInd/>
        <w:snapToGrid/>
        <w:spacing w:after="0"/>
        <w:ind w:left="0" w:leftChars="0" w:firstLine="560" w:firstLineChars="200"/>
        <w:jc w:val="left"/>
        <w:textAlignment w:val="auto"/>
        <w:rPr>
          <w:color w:val="000000" w:themeColor="text1"/>
          <w:szCs w:val="28"/>
          <w14:textFill>
            <w14:solidFill>
              <w14:schemeClr w14:val="tx1"/>
            </w14:solidFill>
          </w14:textFill>
        </w:rPr>
      </w:pPr>
      <w:r>
        <w:rPr>
          <w:color w:val="000000" w:themeColor="text1"/>
          <w:szCs w:val="24"/>
          <w14:textFill>
            <w14:solidFill>
              <w14:schemeClr w14:val="tx1"/>
            </w14:solidFill>
          </w14:textFill>
        </w:rPr>
        <w:t>定期检查厂内灭火器等消防设施，及时更换过期、失效的消防器材。按照《建筑灭火器配置设计规范》（GB50140-2005）、《建筑设计防火规范</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2018年版</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》（GB50016-2014）等标准要求，完善厂区消防设施。</w:t>
      </w:r>
    </w:p>
    <w:p>
      <w:pPr>
        <w:pStyle w:val="2"/>
        <w:keepNext w:val="0"/>
        <w:keepLines w:val="0"/>
        <w:pageBreakBefore w:val="0"/>
        <w:widowControl w:val="0"/>
        <w:numPr>
          <w:ilvl w:val="0"/>
          <w:numId w:val="58"/>
        </w:numPr>
        <w:kinsoku/>
        <w:wordWrap/>
        <w:overflowPunct/>
        <w:topLinePunct w:val="0"/>
        <w:autoSpaceDE/>
        <w:autoSpaceDN/>
        <w:bidi w:val="0"/>
        <w:adjustRightInd/>
        <w:snapToGrid/>
        <w:spacing w:after="0"/>
        <w:ind w:left="0" w:leftChars="0" w:firstLine="560" w:firstLineChars="200"/>
        <w:jc w:val="left"/>
        <w:textAlignment w:val="auto"/>
        <w:rPr>
          <w:color w:val="000000" w:themeColor="text1"/>
          <w:szCs w:val="24"/>
          <w14:textFill>
            <w14:solidFill>
              <w14:schemeClr w14:val="tx1"/>
            </w14:solidFill>
          </w14:textFill>
        </w:rPr>
      </w:pPr>
      <w:r>
        <w:rPr>
          <w:color w:val="000000" w:themeColor="text1"/>
          <w:szCs w:val="28"/>
          <w14:textFill>
            <w14:solidFill>
              <w14:schemeClr w14:val="tx1"/>
            </w14:solidFill>
          </w14:textFill>
        </w:rPr>
        <w:t>保持车间通道和消防通道的畅通无阻，路旁不得堆放杂物和废弃设备。</w:t>
      </w:r>
    </w:p>
    <w:p>
      <w:pPr>
        <w:pStyle w:val="2"/>
        <w:keepNext w:val="0"/>
        <w:keepLines w:val="0"/>
        <w:pageBreakBefore w:val="0"/>
        <w:widowControl w:val="0"/>
        <w:numPr>
          <w:ilvl w:val="0"/>
          <w:numId w:val="58"/>
        </w:numPr>
        <w:kinsoku/>
        <w:wordWrap/>
        <w:overflowPunct/>
        <w:topLinePunct w:val="0"/>
        <w:autoSpaceDE/>
        <w:autoSpaceDN/>
        <w:bidi w:val="0"/>
        <w:adjustRightInd/>
        <w:snapToGrid/>
        <w:spacing w:after="0"/>
        <w:ind w:left="0" w:leftChars="0" w:firstLine="560" w:firstLineChars="200"/>
        <w:jc w:val="left"/>
        <w:textAlignment w:val="auto"/>
        <w:rPr>
          <w:color w:val="000000" w:themeColor="text1"/>
          <w:szCs w:val="24"/>
          <w14:textFill>
            <w14:solidFill>
              <w14:schemeClr w14:val="tx1"/>
            </w14:solidFill>
          </w14:textFill>
        </w:rPr>
      </w:pPr>
      <w:r>
        <w:rPr>
          <w:rFonts w:hint="eastAsia"/>
          <w:color w:val="000000" w:themeColor="text1"/>
          <w:szCs w:val="24"/>
          <w:lang w:val="en-US" w:eastAsia="zh-CN"/>
          <w14:textFill>
            <w14:solidFill>
              <w14:schemeClr w14:val="tx1"/>
            </w14:solidFill>
          </w14:textFill>
        </w:rPr>
        <w:t>防范好电气火灾，</w:t>
      </w:r>
      <w:r>
        <w:rPr>
          <w:color w:val="000000" w:themeColor="text1"/>
          <w:szCs w:val="28"/>
          <w14:textFill>
            <w14:solidFill>
              <w14:schemeClr w14:val="tx1"/>
            </w14:solidFill>
          </w14:textFill>
        </w:rPr>
        <w:t>厂内的电气线路应规范敷设，不得乱拉乱接；电气线路应定期进行检查，及时更换老化、损坏的电气线路。加强对工艺设备、电气设备的管理，及时维修、更换受损、老化的设备及电线；定期检查安全设施设备的有效性。</w:t>
      </w:r>
    </w:p>
    <w:p>
      <w:pPr>
        <w:pStyle w:val="2"/>
        <w:keepNext w:val="0"/>
        <w:keepLines w:val="0"/>
        <w:pageBreakBefore w:val="0"/>
        <w:widowControl w:val="0"/>
        <w:numPr>
          <w:ilvl w:val="0"/>
          <w:numId w:val="58"/>
        </w:numPr>
        <w:kinsoku/>
        <w:wordWrap/>
        <w:overflowPunct/>
        <w:topLinePunct w:val="0"/>
        <w:autoSpaceDE/>
        <w:autoSpaceDN/>
        <w:bidi w:val="0"/>
        <w:adjustRightInd/>
        <w:snapToGrid/>
        <w:spacing w:after="0"/>
        <w:ind w:left="0" w:leftChars="0" w:firstLine="560" w:firstLineChars="200"/>
        <w:jc w:val="left"/>
        <w:textAlignment w:val="auto"/>
        <w:rPr>
          <w:color w:val="000000" w:themeColor="text1"/>
          <w:szCs w:val="24"/>
          <w14:textFill>
            <w14:solidFill>
              <w14:schemeClr w14:val="tx1"/>
            </w14:solidFill>
          </w14:textFill>
        </w:rPr>
      </w:pPr>
      <w:r>
        <w:rPr>
          <w:rFonts w:hint="eastAsia"/>
          <w:color w:val="000000" w:themeColor="text1"/>
          <w:szCs w:val="24"/>
          <w:lang w:val="en-US" w:eastAsia="zh-CN"/>
          <w14:textFill>
            <w14:solidFill>
              <w14:schemeClr w14:val="tx1"/>
            </w14:solidFill>
          </w14:textFill>
        </w:rPr>
        <w:t>厂区内</w:t>
      </w:r>
      <w:r>
        <w:rPr>
          <w:rFonts w:hint="eastAsia"/>
          <w:color w:val="000000" w:themeColor="text1"/>
          <w:szCs w:val="24"/>
          <w14:textFill>
            <w14:solidFill>
              <w14:schemeClr w14:val="tx1"/>
            </w14:solidFill>
          </w14:textFill>
        </w:rPr>
        <w:t>动火作业、临时用电作业实施</w:t>
      </w:r>
      <w:r>
        <w:rPr>
          <w:rFonts w:hint="eastAsia"/>
          <w:color w:val="000000" w:themeColor="text1"/>
          <w:szCs w:val="24"/>
          <w:lang w:val="en-US" w:eastAsia="zh-CN"/>
          <w14:textFill>
            <w14:solidFill>
              <w14:schemeClr w14:val="tx1"/>
            </w14:solidFill>
          </w14:textFill>
        </w:rPr>
        <w:t>严格的</w:t>
      </w:r>
      <w:r>
        <w:rPr>
          <w:rFonts w:hint="eastAsia"/>
          <w:color w:val="000000" w:themeColor="text1"/>
          <w:szCs w:val="24"/>
          <w14:textFill>
            <w14:solidFill>
              <w14:schemeClr w14:val="tx1"/>
            </w14:solidFill>
          </w14:textFill>
        </w:rPr>
        <w:t>作业</w:t>
      </w:r>
      <w:r>
        <w:rPr>
          <w:rFonts w:hint="eastAsia"/>
          <w:color w:val="000000" w:themeColor="text1"/>
          <w:szCs w:val="24"/>
          <w:lang w:val="en-US" w:eastAsia="zh-CN"/>
          <w14:textFill>
            <w14:solidFill>
              <w14:schemeClr w14:val="tx1"/>
            </w14:solidFill>
          </w14:textFill>
        </w:rPr>
        <w:t>许可管理</w:t>
      </w:r>
      <w:r>
        <w:rPr>
          <w:rFonts w:hint="eastAsia"/>
          <w:color w:val="000000" w:themeColor="text1"/>
          <w:szCs w:val="24"/>
          <w14:textFill>
            <w14:solidFill>
              <w14:schemeClr w14:val="tx1"/>
            </w14:solidFill>
          </w14:textFill>
        </w:rPr>
        <w:t>，严格履行审批手续。</w:t>
      </w:r>
    </w:p>
    <w:p>
      <w:pPr>
        <w:pStyle w:val="2"/>
        <w:keepNext w:val="0"/>
        <w:keepLines w:val="0"/>
        <w:pageBreakBefore w:val="0"/>
        <w:widowControl w:val="0"/>
        <w:numPr>
          <w:ilvl w:val="0"/>
          <w:numId w:val="58"/>
        </w:numPr>
        <w:kinsoku/>
        <w:wordWrap/>
        <w:overflowPunct/>
        <w:topLinePunct w:val="0"/>
        <w:autoSpaceDE/>
        <w:autoSpaceDN/>
        <w:bidi w:val="0"/>
        <w:adjustRightInd/>
        <w:snapToGrid/>
        <w:spacing w:after="0"/>
        <w:ind w:left="0" w:leftChars="0" w:firstLine="560" w:firstLineChars="200"/>
        <w:jc w:val="left"/>
        <w:textAlignment w:val="auto"/>
        <w:rPr>
          <w:color w:val="000000" w:themeColor="text1"/>
          <w:szCs w:val="24"/>
          <w14:textFill>
            <w14:solidFill>
              <w14:schemeClr w14:val="tx1"/>
            </w14:solidFill>
          </w14:textFill>
        </w:rPr>
      </w:pPr>
      <w:r>
        <w:rPr>
          <w:rFonts w:hint="eastAsia" w:ascii="Times New Roman" w:hAnsi="Times New Roman" w:eastAsia="宋体" w:cs="Times New Roman"/>
          <w:color w:val="000000" w:themeColor="text1"/>
          <w:szCs w:val="28"/>
          <w:lang w:val="en-US" w:eastAsia="zh-CN"/>
          <w14:textFill>
            <w14:solidFill>
              <w14:schemeClr w14:val="tx1"/>
            </w14:solidFill>
          </w14:textFill>
        </w:rPr>
        <w:t>定期组织开展消防应急演练。</w:t>
      </w:r>
    </w:p>
    <w:p>
      <w:pPr>
        <w:numPr>
          <w:ilvl w:val="3"/>
          <w:numId w:val="56"/>
        </w:numPr>
        <w:ind w:firstLine="560"/>
        <w:rPr>
          <w:color w:val="000000" w:themeColor="text1"/>
          <w:szCs w:val="24"/>
          <w14:textFill>
            <w14:solidFill>
              <w14:schemeClr w14:val="tx1"/>
            </w14:solidFill>
          </w14:textFill>
        </w:rPr>
      </w:pPr>
      <w:r>
        <w:rPr>
          <w:color w:val="000000" w:themeColor="text1"/>
          <w:szCs w:val="24"/>
          <w14:textFill>
            <w14:solidFill>
              <w14:schemeClr w14:val="tx1"/>
            </w14:solidFill>
          </w14:textFill>
        </w:rPr>
        <w:t>设备电气装置和安全装置不得随意拆除；擦拭和检修设备时，必须停机，关闭电源。</w:t>
      </w:r>
    </w:p>
    <w:p>
      <w:pPr>
        <w:numPr>
          <w:ilvl w:val="3"/>
          <w:numId w:val="56"/>
        </w:numPr>
        <w:ind w:firstLine="560"/>
        <w:rPr>
          <w:color w:val="000000" w:themeColor="text1"/>
          <w:szCs w:val="24"/>
          <w14:textFill>
            <w14:solidFill>
              <w14:schemeClr w14:val="tx1"/>
            </w14:solidFill>
          </w14:textFill>
        </w:rPr>
      </w:pPr>
      <w:r>
        <w:rPr>
          <w:color w:val="000000" w:themeColor="text1"/>
          <w:szCs w:val="24"/>
          <w14:textFill>
            <w14:solidFill>
              <w14:schemeClr w14:val="tx1"/>
            </w14:solidFill>
          </w14:textFill>
        </w:rPr>
        <w:t>加强设备管理和维护检修工作，消除设备缺陷和隐患，对设备隐患一定要及时处理，提出相应的整改措施，并监督落实，认真进行设备检修及事故隐患整改记录，杜绝设备的带病运转现象，为安全生产提供坚实的物质保障。</w:t>
      </w:r>
    </w:p>
    <w:p>
      <w:pPr>
        <w:numPr>
          <w:ilvl w:val="3"/>
          <w:numId w:val="56"/>
        </w:numPr>
        <w:ind w:firstLine="560"/>
        <w:rPr>
          <w:color w:val="000000" w:themeColor="text1"/>
          <w:szCs w:val="24"/>
          <w14:textFill>
            <w14:solidFill>
              <w14:schemeClr w14:val="tx1"/>
            </w14:solidFill>
          </w14:textFill>
        </w:rPr>
      </w:pPr>
      <w:r>
        <w:rPr>
          <w:color w:val="000000" w:themeColor="text1"/>
          <w:szCs w:val="24"/>
          <w14:textFill>
            <w14:solidFill>
              <w14:schemeClr w14:val="tx1"/>
            </w14:solidFill>
          </w14:textFill>
        </w:rPr>
        <w:t>加强生产车间设备用电安全检查，防止触电事故的发生，注意以下几点：</w:t>
      </w:r>
    </w:p>
    <w:p>
      <w:pPr>
        <w:numPr>
          <w:ilvl w:val="0"/>
          <w:numId w:val="59"/>
        </w:num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提高电气设备的可靠性，保持电气设备的完好率，提高绝缘性能，用绝缘的方法来防止触及带电体；</w:t>
      </w:r>
    </w:p>
    <w:p>
      <w:pPr>
        <w:numPr>
          <w:ilvl w:val="0"/>
          <w:numId w:val="59"/>
        </w:num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加强电气设备的维修、保护和检查测定工作，发现不安全因素及时予以消除；</w:t>
      </w:r>
    </w:p>
    <w:p>
      <w:pPr>
        <w:numPr>
          <w:ilvl w:val="0"/>
          <w:numId w:val="59"/>
        </w:num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完善漏电保护装置；</w:t>
      </w:r>
    </w:p>
    <w:p>
      <w:pPr>
        <w:numPr>
          <w:ilvl w:val="0"/>
          <w:numId w:val="59"/>
        </w:num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根据生产和生活的特点，采用相应等级的安全电压；</w:t>
      </w:r>
    </w:p>
    <w:p>
      <w:pPr>
        <w:numPr>
          <w:ilvl w:val="0"/>
          <w:numId w:val="59"/>
        </w:num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各用电设备应进行保护接地和接零；</w:t>
      </w:r>
    </w:p>
    <w:p>
      <w:pPr>
        <w:numPr>
          <w:ilvl w:val="0"/>
          <w:numId w:val="59"/>
        </w:num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不论是正常情况下工作，还是在特殊情况下工作，都必须按规定正确使用相应的个人防护用具，如绝缘靴、绝缘手套、绝缘钳、试电笔等；</w:t>
      </w:r>
    </w:p>
    <w:p>
      <w:pPr>
        <w:numPr>
          <w:ilvl w:val="0"/>
          <w:numId w:val="59"/>
        </w:numPr>
        <w:adjustRightInd w:val="0"/>
        <w:snapToGrid w:val="0"/>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建立必要而合理的电气安全用电规程和各项规章制度。</w:t>
      </w:r>
    </w:p>
    <w:p>
      <w:pPr>
        <w:numPr>
          <w:ilvl w:val="3"/>
          <w:numId w:val="56"/>
        </w:num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可能造成吸入、卷入、发生缠绕的设备转动部件和传动装置应予以封闭或设安全防护装置</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安装的防护装置，因检修等原因拆除的，检修工作完毕后立即恢复。</w:t>
      </w:r>
    </w:p>
    <w:p>
      <w:pPr>
        <w:numPr>
          <w:ilvl w:val="3"/>
          <w:numId w:val="56"/>
        </w:num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加强厂区车辆管理，保证运输车辆安全有序进行装卸作业。</w:t>
      </w:r>
    </w:p>
    <w:p>
      <w:pPr>
        <w:numPr>
          <w:ilvl w:val="3"/>
          <w:numId w:val="56"/>
        </w:numPr>
        <w:ind w:firstLine="560"/>
        <w:rPr>
          <w:color w:val="000000" w:themeColor="text1"/>
          <w14:textFill>
            <w14:solidFill>
              <w14:schemeClr w14:val="tx1"/>
            </w14:solidFill>
          </w14:textFill>
        </w:rPr>
      </w:pPr>
      <w:r>
        <w:rPr>
          <w:rFonts w:hint="eastAsia"/>
          <w:color w:val="000000" w:themeColor="text1"/>
          <w:szCs w:val="28"/>
          <w14:textFill>
            <w14:solidFill>
              <w14:schemeClr w14:val="tx1"/>
            </w14:solidFill>
          </w14:textFill>
        </w:rPr>
        <w:t>对动火作业、临时用电作业、高处作业等危险性较高的作业活动实施作业许可管理，严格履行审批手续。作业许可证应包含危害因素分析和安全措施等内容。</w:t>
      </w:r>
    </w:p>
    <w:p>
      <w:pPr>
        <w:pStyle w:val="6"/>
        <w:rPr>
          <w:snapToGrid w:val="0"/>
          <w:color w:val="000000" w:themeColor="text1"/>
          <w14:textFill>
            <w14:solidFill>
              <w14:schemeClr w14:val="tx1"/>
            </w14:solidFill>
          </w14:textFill>
        </w:rPr>
      </w:pPr>
      <w:bookmarkStart w:id="986" w:name="_Toc209520698"/>
      <w:bookmarkStart w:id="987" w:name="_Toc309682528"/>
      <w:bookmarkStart w:id="988" w:name="_Toc129520697"/>
      <w:bookmarkStart w:id="989" w:name="_Toc433802539"/>
      <w:bookmarkStart w:id="990" w:name="_Toc51340748"/>
      <w:bookmarkStart w:id="991" w:name="_Toc13658"/>
      <w:bookmarkStart w:id="992" w:name="_Toc278151451"/>
      <w:bookmarkStart w:id="993" w:name="_Toc211237924"/>
      <w:bookmarkStart w:id="994" w:name="_Toc103178355"/>
      <w:bookmarkStart w:id="995" w:name="_Toc458246040"/>
      <w:bookmarkStart w:id="996" w:name="_Toc54294512"/>
      <w:bookmarkStart w:id="997" w:name="_Toc28487"/>
      <w:r>
        <w:rPr>
          <w:snapToGrid w:val="0"/>
          <w:color w:val="000000" w:themeColor="text1"/>
          <w14:textFill>
            <w14:solidFill>
              <w14:schemeClr w14:val="tx1"/>
            </w14:solidFill>
          </w14:textFill>
        </w:rPr>
        <w:t>安全管理</w:t>
      </w:r>
      <w:bookmarkEnd w:id="986"/>
      <w:bookmarkEnd w:id="987"/>
      <w:bookmarkEnd w:id="988"/>
      <w:bookmarkEnd w:id="989"/>
      <w:bookmarkEnd w:id="990"/>
      <w:bookmarkEnd w:id="991"/>
      <w:bookmarkEnd w:id="992"/>
      <w:bookmarkEnd w:id="993"/>
      <w:bookmarkEnd w:id="994"/>
      <w:bookmarkEnd w:id="995"/>
      <w:bookmarkEnd w:id="996"/>
      <w:bookmarkEnd w:id="997"/>
    </w:p>
    <w:p>
      <w:pPr>
        <w:spacing w:line="480" w:lineRule="exact"/>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1</w:t>
      </w:r>
      <w:r>
        <w:rPr>
          <w:color w:val="000000" w:themeColor="text1"/>
          <w:szCs w:val="28"/>
          <w14:textFill>
            <w14:solidFill>
              <w14:schemeClr w14:val="tx1"/>
            </w14:solidFill>
          </w14:textFill>
        </w:rPr>
        <w:t>.设备的操作人员和有关工作人员，在初次上岗前必须经受安全教育，掌握安全知识。操作者经考核合格后取得操作证，方能上机操作；有关工作人员也需通过适当方式进行考核，合格后才能上岗。</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2.公司安全管理人员</w:t>
      </w:r>
      <w:r>
        <w:rPr>
          <w:rFonts w:hint="eastAsia"/>
          <w:color w:val="000000" w:themeColor="text1"/>
          <w:szCs w:val="28"/>
          <w14:textFill>
            <w14:solidFill>
              <w14:schemeClr w14:val="tx1"/>
            </w14:solidFill>
          </w14:textFill>
        </w:rPr>
        <w:t>和主要负责人</w:t>
      </w:r>
      <w:r>
        <w:rPr>
          <w:color w:val="000000" w:themeColor="text1"/>
          <w:szCs w:val="28"/>
          <w14:textFill>
            <w14:solidFill>
              <w14:schemeClr w14:val="tx1"/>
            </w14:solidFill>
          </w14:textFill>
        </w:rPr>
        <w:t>应不断提高自身的综合安全管理水平，并应取得相应的安全资格证书；加强对职工及新进人员的安全教育工作，进行风险预警和告知，教育员工树立“安全第一，预防为主，综合治理”的思想，</w:t>
      </w:r>
      <w:r>
        <w:rPr>
          <w:rFonts w:hint="eastAsia"/>
          <w:color w:val="000000" w:themeColor="text1"/>
          <w:szCs w:val="28"/>
          <w:lang w:eastAsia="zh-CN"/>
          <w14:textFill>
            <w14:solidFill>
              <w14:schemeClr w14:val="tx1"/>
            </w14:solidFill>
          </w14:textFill>
        </w:rPr>
        <w:t>增强</w:t>
      </w:r>
      <w:r>
        <w:rPr>
          <w:color w:val="000000" w:themeColor="text1"/>
          <w:szCs w:val="28"/>
          <w14:textFill>
            <w14:solidFill>
              <w14:schemeClr w14:val="tx1"/>
            </w14:solidFill>
          </w14:textFill>
        </w:rPr>
        <w:t>全体员工的安全意识和自我保护能力；并做好日常的安全教育培训记录；严禁违章作业、违章指挥；安全管理人员及特种设备作业人员应全员参加培训，经考核合格后，持证上岗。</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3.加强操作人员的职业技能培训，提高人员的安全操作技能；加强生产过程中的各个环节的安全管理，操作人员要严格按照操作规程进行操作，严禁违规操作。</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4.根据生产的实际情况，不断完善安全生产管理规章制度；完善生产、检修等作业的安全操作规程；做好</w:t>
      </w:r>
      <w:r>
        <w:rPr>
          <w:rFonts w:hint="eastAsia"/>
          <w:color w:val="000000" w:themeColor="text1"/>
          <w:szCs w:val="28"/>
          <w:lang w:eastAsia="zh-CN"/>
          <w14:textFill>
            <w14:solidFill>
              <w14:schemeClr w14:val="tx1"/>
            </w14:solidFill>
          </w14:textFill>
        </w:rPr>
        <w:t>安全管理台账</w:t>
      </w:r>
      <w:r>
        <w:rPr>
          <w:color w:val="000000" w:themeColor="text1"/>
          <w:szCs w:val="28"/>
          <w14:textFill>
            <w14:solidFill>
              <w14:schemeClr w14:val="tx1"/>
            </w14:solidFill>
          </w14:textFill>
        </w:rPr>
        <w:t>的记录。</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5.企业保证每年安全生产所需要的资金投入，并按照以下范围进行使用。</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（1）完善、改造和维护安全防护设施设备支出（不含“三同时”要求初期投入的安全设施），包括生产作业场所的防火</w:t>
      </w:r>
      <w:r>
        <w:rPr>
          <w:rFonts w:hint="eastAsia"/>
          <w:color w:val="000000" w:themeColor="text1"/>
          <w:szCs w:val="28"/>
          <w:lang w:eastAsia="zh-CN"/>
          <w14:textFill>
            <w14:solidFill>
              <w14:schemeClr w14:val="tx1"/>
            </w14:solidFill>
          </w14:textFill>
        </w:rPr>
        <w:t>、</w:t>
      </w:r>
      <w:r>
        <w:rPr>
          <w:color w:val="000000" w:themeColor="text1"/>
          <w:szCs w:val="28"/>
          <w14:textFill>
            <w14:solidFill>
              <w14:schemeClr w14:val="tx1"/>
            </w14:solidFill>
          </w14:textFill>
        </w:rPr>
        <w:t>防坠落、防静电、防尘、防噪声与振动或者隔离操作等设施设备支出；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（2）配备、维护、保养应急救援器材、设备支出和应急演练支出；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（3）开展重大危险源和事故隐患评估、监控和整改支出；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（4）安全生产检查、评价（不包括新建、改建、扩建项目安全评价）、咨询和标准化建设支出；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（5）安全生产宣传、教育、培训支出；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（6）配备和更新现场作业人员安全防护用品支出；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（7）安全生产适用的新技术、新标准、新工艺、新装备的推广应用；</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（8）安全设施检测检验支出；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（9）其他与安全生产直接相关的支出。</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6.定期为作业人员配发合格的劳动防护用品（劳保服、劳保鞋、安全帽、防尘口罩等），并严格监督作业人员的劳动防护用品佩戴情况，及时更换失效的劳动防护用品。</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7.</w:t>
      </w:r>
      <w:r>
        <w:rPr>
          <w:snapToGrid w:val="0"/>
          <w:color w:val="000000" w:themeColor="text1"/>
          <w:kern w:val="0"/>
          <w:szCs w:val="28"/>
          <w14:textFill>
            <w14:solidFill>
              <w14:schemeClr w14:val="tx1"/>
            </w14:solidFill>
          </w14:textFill>
        </w:rPr>
        <w:t>企业应建立职工职业健康档案，</w:t>
      </w:r>
      <w:r>
        <w:rPr>
          <w:color w:val="000000" w:themeColor="text1"/>
          <w:szCs w:val="28"/>
          <w14:textFill>
            <w14:solidFill>
              <w14:schemeClr w14:val="tx1"/>
            </w14:solidFill>
          </w14:textFill>
        </w:rPr>
        <w:t>定期对劳动者进行职业健康体检，</w:t>
      </w:r>
      <w:r>
        <w:rPr>
          <w:color w:val="000000" w:themeColor="text1"/>
          <w:kern w:val="0"/>
          <w:szCs w:val="28"/>
          <w14:textFill>
            <w14:solidFill>
              <w14:schemeClr w14:val="tx1"/>
            </w14:solidFill>
          </w14:textFill>
        </w:rPr>
        <w:t>不得安排有职业禁忌的劳动者从事其所禁忌的作业。</w:t>
      </w:r>
    </w:p>
    <w:p>
      <w:pPr>
        <w:spacing w:line="480" w:lineRule="exact"/>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8.在各作业岗位将相关的安全岗位职责、安全管理制度及安全操作规程上墙；加强现场安全管理，配置现场安全监督检查人员。</w:t>
      </w:r>
    </w:p>
    <w:p>
      <w:pPr>
        <w:spacing w:line="480" w:lineRule="exact"/>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9</w:t>
      </w:r>
      <w:r>
        <w:rPr>
          <w:color w:val="000000" w:themeColor="text1"/>
          <w:szCs w:val="28"/>
          <w14:textFill>
            <w14:solidFill>
              <w14:schemeClr w14:val="tx1"/>
            </w14:solidFill>
          </w14:textFill>
        </w:rPr>
        <w:t>.</w:t>
      </w:r>
      <w:r>
        <w:rPr>
          <w:rFonts w:hint="eastAsia"/>
          <w:color w:val="000000" w:themeColor="text1"/>
          <w:szCs w:val="28"/>
          <w14:textFill>
            <w14:solidFill>
              <w14:schemeClr w14:val="tx1"/>
            </w14:solidFill>
          </w14:textFill>
        </w:rPr>
        <w:t>企业应为全体</w:t>
      </w:r>
      <w:r>
        <w:rPr>
          <w:color w:val="000000" w:themeColor="text1"/>
          <w:szCs w:val="28"/>
          <w14:textFill>
            <w14:solidFill>
              <w14:schemeClr w14:val="tx1"/>
            </w14:solidFill>
          </w14:textFill>
        </w:rPr>
        <w:t>从业人员</w:t>
      </w:r>
      <w:r>
        <w:rPr>
          <w:rFonts w:hint="eastAsia"/>
          <w:color w:val="000000" w:themeColor="text1"/>
          <w:szCs w:val="28"/>
          <w14:textFill>
            <w14:solidFill>
              <w14:schemeClr w14:val="tx1"/>
            </w14:solidFill>
          </w14:textFill>
        </w:rPr>
        <w:t>足额</w:t>
      </w:r>
      <w:r>
        <w:rPr>
          <w:color w:val="000000" w:themeColor="text1"/>
          <w:szCs w:val="28"/>
          <w14:textFill>
            <w14:solidFill>
              <w14:schemeClr w14:val="tx1"/>
            </w14:solidFill>
          </w14:textFill>
        </w:rPr>
        <w:t>缴纳工伤保险。</w:t>
      </w:r>
    </w:p>
    <w:p>
      <w:pPr>
        <w:spacing w:line="480" w:lineRule="exact"/>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1</w:t>
      </w:r>
      <w:r>
        <w:rPr>
          <w:color w:val="000000" w:themeColor="text1"/>
          <w:szCs w:val="28"/>
          <w14:textFill>
            <w14:solidFill>
              <w14:schemeClr w14:val="tx1"/>
            </w14:solidFill>
          </w14:textFill>
        </w:rPr>
        <w:t>0.</w:t>
      </w:r>
      <w:r>
        <w:rPr>
          <w:rFonts w:hint="eastAsia"/>
          <w:color w:val="000000" w:themeColor="text1"/>
          <w:szCs w:val="28"/>
          <w14:textFill>
            <w14:solidFill>
              <w14:schemeClr w14:val="tx1"/>
            </w14:solidFill>
          </w14:textFill>
        </w:rPr>
        <w:t>企业应定期清理厂内相关闲置设备设施，并悬挂“停用设备牌”。</w:t>
      </w:r>
    </w:p>
    <w:p>
      <w:pPr>
        <w:spacing w:line="480" w:lineRule="exact"/>
        <w:ind w:firstLine="56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1</w:t>
      </w: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.企业应定期对厂区建筑物防雷措施进行检测。</w:t>
      </w:r>
    </w:p>
    <w:p>
      <w:pPr>
        <w:pStyle w:val="6"/>
        <w:rPr>
          <w:snapToGrid w:val="0"/>
          <w:color w:val="000000" w:themeColor="text1"/>
          <w14:textFill>
            <w14:solidFill>
              <w14:schemeClr w14:val="tx1"/>
            </w14:solidFill>
          </w14:textFill>
        </w:rPr>
      </w:pPr>
      <w:bookmarkStart w:id="998" w:name="_Toc54294513"/>
      <w:bookmarkStart w:id="999" w:name="_Toc29621"/>
      <w:bookmarkStart w:id="1000" w:name="_Toc458246041"/>
      <w:bookmarkStart w:id="1001" w:name="_Toc433802540"/>
      <w:bookmarkStart w:id="1002" w:name="_Toc103178356"/>
      <w:bookmarkStart w:id="1003" w:name="_Toc129520698"/>
      <w:bookmarkStart w:id="1004" w:name="_Toc209520699"/>
      <w:bookmarkStart w:id="1005" w:name="_Toc211237925"/>
      <w:bookmarkStart w:id="1006" w:name="_Toc51340749"/>
      <w:bookmarkStart w:id="1007" w:name="_Toc309682529"/>
      <w:bookmarkStart w:id="1008" w:name="_Toc278151452"/>
      <w:bookmarkStart w:id="1009" w:name="_Toc887"/>
      <w:r>
        <w:rPr>
          <w:snapToGrid w:val="0"/>
          <w:color w:val="000000" w:themeColor="text1"/>
          <w14:textFill>
            <w14:solidFill>
              <w14:schemeClr w14:val="tx1"/>
            </w14:solidFill>
          </w14:textFill>
        </w:rPr>
        <w:t>应急救援</w:t>
      </w:r>
      <w:bookmarkEnd w:id="998"/>
      <w:bookmarkEnd w:id="999"/>
      <w:bookmarkEnd w:id="1000"/>
      <w:bookmarkEnd w:id="1001"/>
      <w:bookmarkEnd w:id="1002"/>
      <w:bookmarkEnd w:id="1003"/>
      <w:bookmarkEnd w:id="1004"/>
      <w:bookmarkEnd w:id="1005"/>
      <w:bookmarkEnd w:id="1006"/>
      <w:bookmarkEnd w:id="1007"/>
      <w:bookmarkEnd w:id="1008"/>
      <w:bookmarkEnd w:id="1009"/>
    </w:p>
    <w:p>
      <w:pPr>
        <w:pStyle w:val="50"/>
        <w:numPr>
          <w:ilvl w:val="6"/>
          <w:numId w:val="60"/>
        </w:num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结合实际情况，按照《生产经营单位生产安全事故应急预案编制导则》（GB/T 29639-2020）、《生产安全事故应急预案管理办法》（国家安全生产监督管理总局令第88号，</w:t>
      </w:r>
      <w:bookmarkStart w:id="1010" w:name="_Hlk51333915"/>
      <w:r>
        <w:rPr>
          <w:color w:val="000000" w:themeColor="text1"/>
          <w:szCs w:val="28"/>
          <w14:textFill>
            <w14:solidFill>
              <w14:schemeClr w14:val="tx1"/>
            </w14:solidFill>
          </w14:textFill>
        </w:rPr>
        <w:t>应急管理部令第2号令修订，自2019年9月1日起施行</w:t>
      </w:r>
      <w:bookmarkEnd w:id="1010"/>
      <w:r>
        <w:rPr>
          <w:color w:val="000000" w:themeColor="text1"/>
          <w:szCs w:val="28"/>
          <w14:textFill>
            <w14:solidFill>
              <w14:schemeClr w14:val="tx1"/>
            </w14:solidFill>
          </w14:textFill>
        </w:rPr>
        <w:t>）的要求，制定和不断完善厂内生产安全事故应急预案，使其具备针对性、可操作性和实用性，能对企业的应急救援提供强有力的保障。并定期按照应急救援预案的要求对相关人员进行培训，并进行应急救援预案的演练。</w:t>
      </w:r>
    </w:p>
    <w:p>
      <w:pPr>
        <w:pStyle w:val="50"/>
        <w:numPr>
          <w:ilvl w:val="6"/>
          <w:numId w:val="60"/>
        </w:num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完善相应的应急救援器材及其他常用的急救药品等，并保证相应的应急器材处于良好有效的状态。</w:t>
      </w:r>
    </w:p>
    <w:p>
      <w:pPr>
        <w:pStyle w:val="50"/>
        <w:numPr>
          <w:ilvl w:val="6"/>
          <w:numId w:val="60"/>
        </w:num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加强对应急队伍的建设和应急救援的操作训练，不断提高人员的应急救援水平。</w:t>
      </w:r>
    </w:p>
    <w:p>
      <w:pPr>
        <w:pStyle w:val="50"/>
        <w:numPr>
          <w:ilvl w:val="6"/>
          <w:numId w:val="60"/>
        </w:num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定期进行应急救援预案的演练，并做好相关的记录。</w:t>
      </w:r>
    </w:p>
    <w:p>
      <w:pPr>
        <w:pStyle w:val="50"/>
        <w:numPr>
          <w:ilvl w:val="6"/>
          <w:numId w:val="60"/>
        </w:num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做好与周边企事业单位的</w:t>
      </w:r>
      <w:r>
        <w:rPr>
          <w:rFonts w:hint="eastAsia"/>
          <w:color w:val="000000" w:themeColor="text1"/>
          <w:szCs w:val="28"/>
          <w:lang w:val="en-US" w:eastAsia="zh-CN"/>
          <w14:textFill>
            <w14:solidFill>
              <w14:schemeClr w14:val="tx1"/>
            </w14:solidFill>
          </w14:textFill>
        </w:rPr>
        <w:t>应急信息</w:t>
      </w:r>
      <w:r>
        <w:rPr>
          <w:color w:val="000000" w:themeColor="text1"/>
          <w:szCs w:val="28"/>
          <w14:textFill>
            <w14:solidFill>
              <w14:schemeClr w14:val="tx1"/>
            </w14:solidFill>
          </w14:textFill>
        </w:rPr>
        <w:t>告知和联动工作。</w:t>
      </w:r>
    </w:p>
    <w:p>
      <w:pPr>
        <w:pStyle w:val="50"/>
        <w:numPr>
          <w:ilvl w:val="6"/>
          <w:numId w:val="60"/>
        </w:numPr>
        <w:spacing w:line="480" w:lineRule="exact"/>
        <w:ind w:firstLineChars="0"/>
        <w:rPr>
          <w:color w:val="000000" w:themeColor="text1"/>
          <w:szCs w:val="28"/>
          <w14:textFill>
            <w14:solidFill>
              <w14:schemeClr w14:val="tx1"/>
            </w14:solidFill>
          </w14:textFill>
        </w:rPr>
        <w:sectPr>
          <w:pgSz w:w="11907" w:h="16840"/>
          <w:pgMar w:top="1440" w:right="1800" w:bottom="1440" w:left="1800" w:header="851" w:footer="992" w:gutter="0"/>
          <w:pgNumType w:fmt="decimal"/>
          <w:cols w:space="720" w:num="1"/>
          <w:docGrid w:linePitch="286" w:charSpace="0"/>
        </w:sectPr>
      </w:pPr>
    </w:p>
    <w:bookmarkEnd w:id="985"/>
    <w:p>
      <w:pPr>
        <w:pStyle w:val="4"/>
        <w:ind w:firstLine="883"/>
        <w:rPr>
          <w:color w:val="000000" w:themeColor="text1"/>
          <w14:textFill>
            <w14:solidFill>
              <w14:schemeClr w14:val="tx1"/>
            </w14:solidFill>
          </w14:textFill>
        </w:rPr>
      </w:pPr>
      <w:bookmarkStart w:id="1011" w:name="_Toc51340751"/>
      <w:bookmarkStart w:id="1012" w:name="_Toc27584"/>
      <w:bookmarkStart w:id="1013" w:name="_Toc458246043"/>
      <w:bookmarkStart w:id="1014" w:name="_Toc129520699"/>
      <w:bookmarkStart w:id="1015" w:name="_Toc201697666"/>
      <w:bookmarkStart w:id="1016" w:name="_Toc54294515"/>
      <w:bookmarkStart w:id="1017" w:name="_Toc103178357"/>
      <w:bookmarkStart w:id="1018" w:name="_Toc17888"/>
      <w:r>
        <w:rPr>
          <w:color w:val="000000" w:themeColor="text1"/>
          <w14:textFill>
            <w14:solidFill>
              <w14:schemeClr w14:val="tx1"/>
            </w14:solidFill>
          </w14:textFill>
        </w:rPr>
        <w:t>安全现状评价结论</w:t>
      </w:r>
      <w:bookmarkEnd w:id="1011"/>
      <w:bookmarkEnd w:id="1012"/>
      <w:bookmarkEnd w:id="1013"/>
      <w:bookmarkEnd w:id="1014"/>
      <w:bookmarkEnd w:id="1015"/>
      <w:bookmarkEnd w:id="1016"/>
      <w:bookmarkEnd w:id="1017"/>
      <w:bookmarkEnd w:id="1018"/>
    </w:p>
    <w:p>
      <w:pPr>
        <w:ind w:firstLine="560"/>
        <w:jc w:val="left"/>
        <w:rPr>
          <w:color w:val="000000" w:themeColor="text1"/>
          <w:szCs w:val="24"/>
          <w14:textFill>
            <w14:solidFill>
              <w14:schemeClr w14:val="tx1"/>
            </w14:solidFill>
          </w14:textFill>
        </w:rPr>
      </w:pPr>
      <w:r>
        <w:rPr>
          <w:rFonts w:hint="eastAsia"/>
          <w:color w:val="000000" w:themeColor="text1"/>
          <w:szCs w:val="24"/>
          <w:lang w:eastAsia="zh-CN"/>
          <w14:textFill>
            <w14:solidFill>
              <w14:schemeClr w14:val="tx1"/>
            </w14:solidFill>
          </w14:textFill>
        </w:rPr>
        <w:t>昭通市鼎安科技有限公司</w:t>
      </w:r>
      <w:r>
        <w:rPr>
          <w:color w:val="000000" w:themeColor="text1"/>
          <w:szCs w:val="24"/>
          <w14:textFill>
            <w14:solidFill>
              <w14:schemeClr w14:val="tx1"/>
            </w14:solidFill>
          </w14:textFill>
        </w:rPr>
        <w:t>受</w:t>
      </w:r>
      <w:r>
        <w:rPr>
          <w:rFonts w:hint="eastAsia"/>
          <w:color w:val="000000" w:themeColor="text1"/>
          <w:szCs w:val="24"/>
          <w14:textFill>
            <w14:solidFill>
              <w14:schemeClr w14:val="tx1"/>
            </w14:solidFill>
          </w14:textFill>
        </w:rPr>
        <w:t>玉溪玉象包装材料有限公司</w:t>
      </w:r>
      <w:r>
        <w:rPr>
          <w:color w:val="000000" w:themeColor="text1"/>
          <w:szCs w:val="24"/>
          <w14:textFill>
            <w14:solidFill>
              <w14:schemeClr w14:val="tx1"/>
            </w14:solidFill>
          </w14:textFill>
        </w:rPr>
        <w:t>的委托，本着合法性、科学性、公正性、针对性的评价原则，依据国家和地方</w:t>
      </w:r>
      <w:r>
        <w:rPr>
          <w:rFonts w:hint="eastAsia"/>
          <w:color w:val="000000" w:themeColor="text1"/>
          <w:szCs w:val="24"/>
          <w:lang w:eastAsia="zh-CN"/>
          <w14:textFill>
            <w14:solidFill>
              <w14:schemeClr w14:val="tx1"/>
            </w14:solidFill>
          </w14:textFill>
        </w:rPr>
        <w:t>法律法规</w:t>
      </w:r>
      <w:r>
        <w:rPr>
          <w:color w:val="000000" w:themeColor="text1"/>
          <w:szCs w:val="24"/>
          <w14:textFill>
            <w14:solidFill>
              <w14:schemeClr w14:val="tx1"/>
            </w14:solidFill>
          </w14:textFill>
        </w:rPr>
        <w:t>、标准、规范及政策文件的要求，对该公司</w:t>
      </w:r>
      <w:r>
        <w:rPr>
          <w:rFonts w:hint="eastAsia"/>
          <w:color w:val="000000" w:themeColor="text1"/>
          <w:szCs w:val="24"/>
          <w14:textFill>
            <w14:solidFill>
              <w14:schemeClr w14:val="tx1"/>
            </w14:solidFill>
          </w14:textFill>
        </w:rPr>
        <w:t>纸质品生产项目</w:t>
      </w:r>
      <w:r>
        <w:rPr>
          <w:color w:val="000000" w:themeColor="text1"/>
          <w:szCs w:val="24"/>
          <w14:textFill>
            <w14:solidFill>
              <w14:schemeClr w14:val="tx1"/>
            </w14:solidFill>
          </w14:textFill>
        </w:rPr>
        <w:t>的厂址与总平面布置、生产工艺及设施、公用工程及辅助设施、安全管理等方面进行了分析评价，并作出如下结论：</w:t>
      </w:r>
    </w:p>
    <w:p>
      <w:pPr>
        <w:pStyle w:val="5"/>
        <w:rPr>
          <w:snapToGrid w:val="0"/>
          <w:color w:val="000000" w:themeColor="text1"/>
          <w14:textFill>
            <w14:solidFill>
              <w14:schemeClr w14:val="tx1"/>
            </w14:solidFill>
          </w14:textFill>
        </w:rPr>
      </w:pPr>
      <w:bookmarkStart w:id="1019" w:name="_Toc129520700"/>
      <w:bookmarkStart w:id="1020" w:name="_Toc278282344"/>
      <w:bookmarkStart w:id="1021" w:name="_Toc51340752"/>
      <w:bookmarkStart w:id="1022" w:name="_Toc458246044"/>
      <w:bookmarkStart w:id="1023" w:name="_Toc103178358"/>
      <w:bookmarkStart w:id="1024" w:name="_Toc54294516"/>
      <w:bookmarkStart w:id="1025" w:name="_Toc18428"/>
      <w:bookmarkStart w:id="1026" w:name="_Toc22376"/>
      <w:r>
        <w:rPr>
          <w:snapToGrid w:val="0"/>
          <w:color w:val="000000" w:themeColor="text1"/>
          <w14:textFill>
            <w14:solidFill>
              <w14:schemeClr w14:val="tx1"/>
            </w14:solidFill>
          </w14:textFill>
        </w:rPr>
        <w:t>主要危险有害因素评价结果</w:t>
      </w:r>
      <w:bookmarkEnd w:id="1019"/>
      <w:bookmarkEnd w:id="1020"/>
      <w:bookmarkEnd w:id="1021"/>
      <w:bookmarkEnd w:id="1022"/>
      <w:bookmarkEnd w:id="1023"/>
      <w:bookmarkEnd w:id="1024"/>
      <w:bookmarkEnd w:id="1025"/>
      <w:bookmarkEnd w:id="1026"/>
    </w:p>
    <w:p>
      <w:pPr>
        <w:pStyle w:val="6"/>
        <w:rPr>
          <w:color w:val="000000" w:themeColor="text1"/>
          <w14:textFill>
            <w14:solidFill>
              <w14:schemeClr w14:val="tx1"/>
            </w14:solidFill>
          </w14:textFill>
        </w:rPr>
      </w:pPr>
      <w:bookmarkStart w:id="1027" w:name="_Toc458246045"/>
      <w:bookmarkStart w:id="1028" w:name="_Toc51340753"/>
      <w:bookmarkStart w:id="1029" w:name="_Toc103178359"/>
      <w:bookmarkStart w:id="1030" w:name="_Toc249505485"/>
      <w:bookmarkStart w:id="1031" w:name="_Toc278282345"/>
      <w:bookmarkStart w:id="1032" w:name="_Toc256168429"/>
      <w:bookmarkStart w:id="1033" w:name="_Toc129520701"/>
      <w:bookmarkStart w:id="1034" w:name="_Toc183423460"/>
      <w:bookmarkStart w:id="1035" w:name="_Toc54294517"/>
      <w:bookmarkStart w:id="1036" w:name="_Toc150217811"/>
      <w:bookmarkStart w:id="1037" w:name="_Toc3362"/>
      <w:bookmarkStart w:id="1038" w:name="_Toc22391"/>
      <w:r>
        <w:rPr>
          <w:color w:val="000000" w:themeColor="text1"/>
          <w14:textFill>
            <w14:solidFill>
              <w14:schemeClr w14:val="tx1"/>
            </w14:solidFill>
          </w14:textFill>
        </w:rPr>
        <w:t>项目存在的主要危险、有害物质</w:t>
      </w:r>
      <w:bookmarkEnd w:id="1027"/>
      <w:bookmarkEnd w:id="1028"/>
      <w:bookmarkEnd w:id="1029"/>
      <w:bookmarkEnd w:id="1030"/>
      <w:bookmarkEnd w:id="1031"/>
      <w:bookmarkEnd w:id="1032"/>
      <w:bookmarkEnd w:id="1033"/>
      <w:bookmarkEnd w:id="1034"/>
      <w:bookmarkEnd w:id="1035"/>
      <w:bookmarkEnd w:id="1036"/>
      <w:bookmarkEnd w:id="1037"/>
      <w:bookmarkEnd w:id="1038"/>
    </w:p>
    <w:p>
      <w:pPr>
        <w:tabs>
          <w:tab w:val="left" w:pos="6915"/>
        </w:tabs>
        <w:ind w:firstLine="560"/>
        <w:rPr>
          <w:color w:val="000000" w:themeColor="text1"/>
          <w:szCs w:val="24"/>
          <w14:textFill>
            <w14:solidFill>
              <w14:schemeClr w14:val="tx1"/>
            </w14:solidFill>
          </w14:textFill>
        </w:rPr>
      </w:pPr>
      <w:bookmarkStart w:id="1039" w:name="_Toc256168430"/>
      <w:bookmarkStart w:id="1040" w:name="_Toc94155404"/>
      <w:bookmarkStart w:id="1041" w:name="_Toc183423461"/>
      <w:bookmarkStart w:id="1042" w:name="_Toc249505486"/>
      <w:bookmarkStart w:id="1043" w:name="_Toc150217812"/>
      <w:r>
        <w:rPr>
          <w:color w:val="000000" w:themeColor="text1"/>
          <w:szCs w:val="24"/>
          <w14:textFill>
            <w14:solidFill>
              <w14:schemeClr w14:val="tx1"/>
            </w14:solidFill>
          </w14:textFill>
        </w:rPr>
        <w:t>项目在生产过程中涉及的主要危险、有害物质有：</w:t>
      </w:r>
      <w:r>
        <w:rPr>
          <w:rFonts w:hint="eastAsia"/>
          <w:color w:val="000000" w:themeColor="text1"/>
          <w:szCs w:val="28"/>
          <w14:textFill>
            <w14:solidFill>
              <w14:schemeClr w14:val="tx1"/>
            </w14:solidFill>
          </w14:textFill>
        </w:rPr>
        <w:t>高密度聚乙烯、</w:t>
      </w:r>
      <w:r>
        <w:rPr>
          <w:rFonts w:hint="eastAsia"/>
          <w:color w:val="000000" w:themeColor="text1"/>
          <w:szCs w:val="28"/>
          <w:lang w:val="en-US" w:eastAsia="zh-CN"/>
          <w14:textFill>
            <w14:solidFill>
              <w14:schemeClr w14:val="tx1"/>
            </w14:solidFill>
          </w14:textFill>
        </w:rPr>
        <w:t>色母、</w:t>
      </w:r>
      <w:r>
        <w:rPr>
          <w:rFonts w:hint="eastAsia"/>
          <w:color w:val="000000" w:themeColor="text1"/>
          <w:szCs w:val="28"/>
          <w14:textFill>
            <w14:solidFill>
              <w14:schemeClr w14:val="tx1"/>
            </w14:solidFill>
          </w14:textFill>
        </w:rPr>
        <w:t>压缩空气、润滑油等</w:t>
      </w:r>
      <w:r>
        <w:rPr>
          <w:rFonts w:hint="eastAsia"/>
          <w:color w:val="000000" w:themeColor="text1"/>
          <w:szCs w:val="24"/>
          <w14:textFill>
            <w14:solidFill>
              <w14:schemeClr w14:val="tx1"/>
            </w14:solidFill>
          </w14:textFill>
        </w:rPr>
        <w:t>等</w:t>
      </w:r>
      <w:r>
        <w:rPr>
          <w:color w:val="000000" w:themeColor="text1"/>
          <w:szCs w:val="24"/>
          <w14:textFill>
            <w14:solidFill>
              <w14:schemeClr w14:val="tx1"/>
            </w14:solidFill>
          </w14:textFill>
        </w:rPr>
        <w:t>。</w:t>
      </w:r>
    </w:p>
    <w:bookmarkEnd w:id="1039"/>
    <w:bookmarkEnd w:id="1040"/>
    <w:bookmarkEnd w:id="1041"/>
    <w:bookmarkEnd w:id="1042"/>
    <w:bookmarkEnd w:id="1043"/>
    <w:p>
      <w:pPr>
        <w:pStyle w:val="6"/>
        <w:rPr>
          <w:color w:val="000000" w:themeColor="text1"/>
          <w14:textFill>
            <w14:solidFill>
              <w14:schemeClr w14:val="tx1"/>
            </w14:solidFill>
          </w14:textFill>
        </w:rPr>
      </w:pPr>
      <w:bookmarkStart w:id="1044" w:name="_Toc103178360"/>
      <w:bookmarkStart w:id="1045" w:name="_Toc54294518"/>
      <w:bookmarkStart w:id="1046" w:name="_Toc31572"/>
      <w:bookmarkStart w:id="1047" w:name="_Toc278282346"/>
      <w:bookmarkStart w:id="1048" w:name="_Toc129520702"/>
      <w:bookmarkStart w:id="1049" w:name="_Toc458246046"/>
      <w:bookmarkStart w:id="1050" w:name="_Toc51340754"/>
      <w:bookmarkStart w:id="1051" w:name="_Toc15493"/>
      <w:r>
        <w:rPr>
          <w:color w:val="000000" w:themeColor="text1"/>
          <w14:textFill>
            <w14:solidFill>
              <w14:schemeClr w14:val="tx1"/>
            </w14:solidFill>
          </w14:textFill>
        </w:rPr>
        <w:t>项目存在的主要危险、有害因素</w:t>
      </w:r>
      <w:bookmarkEnd w:id="1044"/>
      <w:bookmarkEnd w:id="1045"/>
      <w:bookmarkEnd w:id="1046"/>
      <w:bookmarkEnd w:id="1047"/>
      <w:bookmarkEnd w:id="1048"/>
      <w:bookmarkEnd w:id="1049"/>
      <w:bookmarkEnd w:id="1050"/>
      <w:bookmarkEnd w:id="1051"/>
    </w:p>
    <w:p>
      <w:pPr>
        <w:ind w:firstLine="560"/>
        <w:rPr>
          <w:color w:val="000000" w:themeColor="text1"/>
          <w:szCs w:val="24"/>
          <w14:textFill>
            <w14:solidFill>
              <w14:schemeClr w14:val="tx1"/>
            </w14:solidFill>
          </w14:textFill>
        </w:rPr>
      </w:pPr>
      <w:r>
        <w:rPr>
          <w:color w:val="000000" w:themeColor="text1"/>
          <w:szCs w:val="24"/>
          <w14:textFill>
            <w14:solidFill>
              <w14:schemeClr w14:val="tx1"/>
            </w14:solidFill>
          </w14:textFill>
        </w:rPr>
        <w:t>本项目在生产过程存在以下主要危险、有害因素：</w:t>
      </w:r>
      <w:r>
        <w:rPr>
          <w:color w:val="000000" w:themeColor="text1"/>
          <w:szCs w:val="28"/>
          <w14:textFill>
            <w14:solidFill>
              <w14:schemeClr w14:val="tx1"/>
            </w14:solidFill>
          </w14:textFill>
        </w:rPr>
        <w:t>物体打击、车辆伤害、机械伤害、触电、</w:t>
      </w:r>
      <w:r>
        <w:rPr>
          <w:rFonts w:hint="eastAsia"/>
          <w:color w:val="000000" w:themeColor="text1"/>
          <w:szCs w:val="28"/>
          <w:lang w:val="en-US" w:eastAsia="zh-CN"/>
          <w14:textFill>
            <w14:solidFill>
              <w14:schemeClr w14:val="tx1"/>
            </w14:solidFill>
          </w14:textFill>
        </w:rPr>
        <w:t>淹溺、</w:t>
      </w:r>
      <w:r>
        <w:rPr>
          <w:rFonts w:hint="eastAsia"/>
          <w:color w:val="000000" w:themeColor="text1"/>
          <w:szCs w:val="28"/>
          <w14:textFill>
            <w14:solidFill>
              <w14:schemeClr w14:val="tx1"/>
            </w14:solidFill>
          </w14:textFill>
        </w:rPr>
        <w:t>灼烫、</w:t>
      </w:r>
      <w:r>
        <w:rPr>
          <w:color w:val="000000" w:themeColor="text1"/>
          <w:szCs w:val="28"/>
          <w14:textFill>
            <w14:solidFill>
              <w14:schemeClr w14:val="tx1"/>
            </w14:solidFill>
          </w14:textFill>
        </w:rPr>
        <w:t>火灾、高处坠落、坍塌、</w:t>
      </w:r>
      <w:r>
        <w:rPr>
          <w:rFonts w:hint="eastAsia"/>
          <w:color w:val="000000" w:themeColor="text1"/>
          <w:szCs w:val="28"/>
          <w14:textFill>
            <w14:solidFill>
              <w14:schemeClr w14:val="tx1"/>
            </w14:solidFill>
          </w14:textFill>
        </w:rPr>
        <w:t>容器爆炸、</w:t>
      </w:r>
      <w:r>
        <w:rPr>
          <w:color w:val="000000" w:themeColor="text1"/>
          <w:szCs w:val="28"/>
          <w14:textFill>
            <w14:solidFill>
              <w14:schemeClr w14:val="tx1"/>
            </w14:solidFill>
          </w14:textFill>
        </w:rPr>
        <w:t>其他爆炸、其他伤害等</w:t>
      </w:r>
      <w:r>
        <w:rPr>
          <w:rFonts w:hint="eastAsia"/>
          <w:color w:val="000000" w:themeColor="text1"/>
          <w:szCs w:val="28"/>
          <w14:textFill>
            <w14:solidFill>
              <w14:schemeClr w14:val="tx1"/>
            </w14:solidFill>
          </w14:textFill>
        </w:rPr>
        <w:t>。</w:t>
      </w:r>
    </w:p>
    <w:p>
      <w:pPr>
        <w:pStyle w:val="5"/>
        <w:rPr>
          <w:snapToGrid w:val="0"/>
          <w:color w:val="000000" w:themeColor="text1"/>
          <w14:textFill>
            <w14:solidFill>
              <w14:schemeClr w14:val="tx1"/>
            </w14:solidFill>
          </w14:textFill>
        </w:rPr>
      </w:pPr>
      <w:bookmarkStart w:id="1052" w:name="_Toc129520703"/>
      <w:bookmarkStart w:id="1053" w:name="_Toc51340755"/>
      <w:bookmarkStart w:id="1054" w:name="_Toc54294519"/>
      <w:bookmarkStart w:id="1055" w:name="_Toc103178361"/>
      <w:bookmarkStart w:id="1056" w:name="_Toc22078"/>
      <w:bookmarkStart w:id="1057" w:name="_Toc5147"/>
      <w:r>
        <w:rPr>
          <w:snapToGrid w:val="0"/>
          <w:color w:val="000000" w:themeColor="text1"/>
          <w14:textFill>
            <w14:solidFill>
              <w14:schemeClr w14:val="tx1"/>
            </w14:solidFill>
          </w14:textFill>
        </w:rPr>
        <w:t>本项目应重点防范的重大事故</w:t>
      </w:r>
      <w:bookmarkEnd w:id="1052"/>
      <w:bookmarkEnd w:id="1053"/>
      <w:bookmarkEnd w:id="1054"/>
      <w:bookmarkEnd w:id="1055"/>
      <w:bookmarkEnd w:id="1056"/>
      <w:bookmarkEnd w:id="1057"/>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通过本项目厂址、平面布置、生产装置、储存设施的危险有害因素分析及各生产单元的作业条件危险性分析可知，本项目应重点防范的事故</w:t>
      </w:r>
      <w:r>
        <w:rPr>
          <w:rFonts w:hint="eastAsia"/>
          <w:color w:val="000000" w:themeColor="text1"/>
          <w:szCs w:val="28"/>
          <w14:textFill>
            <w14:solidFill>
              <w14:schemeClr w14:val="tx1"/>
            </w14:solidFill>
          </w14:textFill>
        </w:rPr>
        <w:t>及危险部位</w:t>
      </w:r>
      <w:r>
        <w:rPr>
          <w:color w:val="000000" w:themeColor="text1"/>
          <w:szCs w:val="28"/>
          <w14:textFill>
            <w14:solidFill>
              <w14:schemeClr w14:val="tx1"/>
            </w14:solidFill>
          </w14:textFill>
        </w:rPr>
        <w:t>：</w:t>
      </w:r>
    </w:p>
    <w:p>
      <w:pPr>
        <w:ind w:firstLine="560"/>
        <w:rPr>
          <w:color w:val="000000" w:themeColor="text1"/>
          <w:szCs w:val="28"/>
          <w14:textFill>
            <w14:solidFill>
              <w14:schemeClr w14:val="tx1"/>
            </w14:solidFill>
          </w14:textFill>
        </w:rPr>
      </w:pPr>
      <w:r>
        <w:rPr>
          <w:color w:val="000000" w:themeColor="text1"/>
          <w:szCs w:val="28"/>
          <w14:textFill>
            <w14:solidFill>
              <w14:schemeClr w14:val="tx1"/>
            </w14:solidFill>
          </w14:textFill>
        </w:rPr>
        <w:t>1</w:t>
      </w:r>
      <w:r>
        <w:rPr>
          <w:rFonts w:hint="eastAsia"/>
          <w:color w:val="000000" w:themeColor="text1"/>
          <w:szCs w:val="28"/>
          <w14:textFill>
            <w14:solidFill>
              <w14:schemeClr w14:val="tx1"/>
            </w14:solidFill>
          </w14:textFill>
        </w:rPr>
        <w:t>.火灾事故</w:t>
      </w:r>
      <w:r>
        <w:rPr>
          <w:color w:val="000000" w:themeColor="text1"/>
          <w:szCs w:val="28"/>
          <w14:textFill>
            <w14:solidFill>
              <w14:schemeClr w14:val="tx1"/>
            </w14:solidFill>
          </w14:textFill>
        </w:rPr>
        <w:t>；</w:t>
      </w:r>
    </w:p>
    <w:p>
      <w:pPr>
        <w:ind w:firstLine="560"/>
      </w:pPr>
      <w:r>
        <w:rPr>
          <w:rFonts w:hint="eastAsia"/>
          <w:color w:val="000000" w:themeColor="text1"/>
          <w:szCs w:val="28"/>
          <w:lang w:val="en-US" w:eastAsia="zh-CN"/>
          <w14:textFill>
            <w14:solidFill>
              <w14:schemeClr w14:val="tx1"/>
            </w14:solidFill>
          </w14:textFill>
        </w:rPr>
        <w:t>2.触电事故；</w:t>
      </w:r>
    </w:p>
    <w:p>
      <w:pPr>
        <w:ind w:firstLine="560"/>
        <w:rPr>
          <w:color w:val="000000" w:themeColor="text1"/>
          <w:szCs w:val="28"/>
          <w14:textFill>
            <w14:solidFill>
              <w14:schemeClr w14:val="tx1"/>
            </w14:solidFill>
          </w14:textFill>
        </w:rPr>
      </w:pPr>
      <w:r>
        <w:rPr>
          <w:rFonts w:hint="eastAsia"/>
          <w:color w:val="000000" w:themeColor="text1"/>
          <w:szCs w:val="28"/>
          <w:lang w:val="en-US" w:eastAsia="zh-CN"/>
          <w14:textFill>
            <w14:solidFill>
              <w14:schemeClr w14:val="tx1"/>
            </w14:solidFill>
          </w14:textFill>
        </w:rPr>
        <w:t>3</w:t>
      </w:r>
      <w:r>
        <w:rPr>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机械</w:t>
      </w:r>
      <w:r>
        <w:rPr>
          <w:rFonts w:hint="eastAsia"/>
          <w:color w:val="000000" w:themeColor="text1"/>
          <w:szCs w:val="28"/>
          <w14:textFill>
            <w14:solidFill>
              <w14:schemeClr w14:val="tx1"/>
            </w14:solidFill>
          </w14:textFill>
        </w:rPr>
        <w:t>伤害事故。</w:t>
      </w:r>
    </w:p>
    <w:p>
      <w:pPr>
        <w:pStyle w:val="5"/>
        <w:bidi w:val="0"/>
      </w:pPr>
      <w:bookmarkStart w:id="1058" w:name="_Toc129520704"/>
      <w:bookmarkStart w:id="1059" w:name="_Toc278282348"/>
      <w:bookmarkStart w:id="1060" w:name="_Toc103178362"/>
      <w:bookmarkStart w:id="1061" w:name="_Toc54294520"/>
      <w:bookmarkStart w:id="1062" w:name="_Toc51340756"/>
      <w:bookmarkStart w:id="1063" w:name="_Toc31150"/>
      <w:bookmarkStart w:id="1064" w:name="_Toc458246049"/>
      <w:bookmarkStart w:id="1065" w:name="_Toc5579"/>
      <w:bookmarkStart w:id="1075" w:name="_GoBack"/>
      <w:r>
        <w:t>安全评价结论</w:t>
      </w:r>
      <w:bookmarkEnd w:id="1058"/>
      <w:bookmarkEnd w:id="1059"/>
      <w:bookmarkEnd w:id="1060"/>
      <w:bookmarkEnd w:id="1061"/>
      <w:bookmarkEnd w:id="1062"/>
      <w:bookmarkEnd w:id="1063"/>
      <w:bookmarkEnd w:id="1064"/>
      <w:bookmarkEnd w:id="1065"/>
    </w:p>
    <w:bookmarkEnd w:id="1075"/>
    <w:p>
      <w:pPr>
        <w:keepNext w:val="0"/>
        <w:keepLines w:val="0"/>
        <w:pageBreakBefore w:val="0"/>
        <w:widowControl w:val="0"/>
        <w:numPr>
          <w:ilvl w:val="0"/>
          <w:numId w:val="61"/>
        </w:numPr>
        <w:kinsoku/>
        <w:wordWrap/>
        <w:overflowPunct/>
        <w:topLinePunct w:val="0"/>
        <w:autoSpaceDE/>
        <w:autoSpaceDN/>
        <w:bidi w:val="0"/>
        <w:adjustRightInd/>
        <w:snapToGrid w:val="0"/>
        <w:spacing w:line="500" w:lineRule="exact"/>
        <w:ind w:left="0" w:leftChars="0" w:firstLine="560" w:firstLineChars="200"/>
        <w:jc w:val="left"/>
        <w:textAlignment w:val="auto"/>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Cs w:val="28"/>
          <w14:textFill>
            <w14:solidFill>
              <w14:schemeClr w14:val="tx1"/>
            </w14:solidFill>
          </w14:textFill>
        </w:rPr>
        <w:t>本项目总平面布置</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总体</w:t>
      </w:r>
      <w:r>
        <w:rPr>
          <w:rFonts w:hint="eastAsia" w:asciiTheme="minorEastAsia" w:hAnsiTheme="minorEastAsia" w:eastAsiaTheme="minorEastAsia" w:cstheme="minorEastAsia"/>
          <w:color w:val="000000" w:themeColor="text1"/>
          <w:szCs w:val="28"/>
          <w14:textFill>
            <w14:solidFill>
              <w14:schemeClr w14:val="tx1"/>
            </w14:solidFill>
          </w14:textFill>
        </w:rPr>
        <w:t>符合《工业企业总平面设计规范》（GB 50187-2012）《建筑设计防火规范（2018年版）》（GB 50016-2014）等相关标准规范的要求。</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但由于历史原因，项目同周边企业的防火间距、项目办公楼与成品仓库的防火间距不符合</w:t>
      </w:r>
      <w:r>
        <w:rPr>
          <w:rFonts w:hint="eastAsia" w:asciiTheme="minorEastAsia" w:hAnsiTheme="minorEastAsia" w:eastAsiaTheme="minorEastAsia" w:cstheme="minorEastAsia"/>
          <w:color w:val="000000" w:themeColor="text1"/>
          <w:szCs w:val="28"/>
          <w14:textFill>
            <w14:solidFill>
              <w14:schemeClr w14:val="tx1"/>
            </w14:solidFill>
          </w14:textFill>
        </w:rPr>
        <w:t>《建筑设计防火规范（2018年版）》（GB 50016-2014）</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规范要求。</w:t>
      </w:r>
    </w:p>
    <w:p>
      <w:pPr>
        <w:keepNext w:val="0"/>
        <w:keepLines w:val="0"/>
        <w:pageBreakBefore w:val="0"/>
        <w:widowControl w:val="0"/>
        <w:numPr>
          <w:ilvl w:val="0"/>
          <w:numId w:val="61"/>
        </w:numPr>
        <w:kinsoku/>
        <w:wordWrap/>
        <w:overflowPunct/>
        <w:topLinePunct w:val="0"/>
        <w:autoSpaceDE/>
        <w:autoSpaceDN/>
        <w:bidi w:val="0"/>
        <w:adjustRightInd/>
        <w:snapToGrid w:val="0"/>
        <w:spacing w:line="500" w:lineRule="exact"/>
        <w:ind w:left="0" w:leftChars="0" w:firstLine="560" w:firstLineChars="200"/>
        <w:jc w:val="left"/>
        <w:textAlignment w:val="auto"/>
        <w:rPr>
          <w:rFonts w:hint="eastAsia" w:asciiTheme="minorEastAsia" w:hAnsiTheme="minorEastAsia" w:eastAsiaTheme="minorEastAsia" w:cstheme="minorEastAsia"/>
          <w:color w:val="000000" w:themeColor="text1"/>
          <w:szCs w:val="28"/>
          <w14:textFill>
            <w14:solidFill>
              <w14:schemeClr w14:val="tx1"/>
            </w14:solidFill>
          </w14:textFill>
        </w:rPr>
      </w:pPr>
      <w:r>
        <w:rPr>
          <w:rFonts w:hint="eastAsia" w:asciiTheme="minorEastAsia" w:hAnsiTheme="minorEastAsia" w:eastAsiaTheme="minorEastAsia" w:cstheme="minorEastAsia"/>
          <w:color w:val="000000" w:themeColor="text1"/>
          <w:szCs w:val="28"/>
          <w14:textFill>
            <w14:solidFill>
              <w14:schemeClr w14:val="tx1"/>
            </w14:solidFill>
          </w14:textFill>
        </w:rPr>
        <w:t>项目生产工艺及设施评价单元符合《生产设备安全卫生设计总则》（GB 5083-1999）、《生产过程安全卫生要求总则》（GB/T 12801-2008）等国家相关标准、规范的规定和要求。</w:t>
      </w:r>
    </w:p>
    <w:p>
      <w:pPr>
        <w:keepNext w:val="0"/>
        <w:keepLines w:val="0"/>
        <w:pageBreakBefore w:val="0"/>
        <w:widowControl w:val="0"/>
        <w:numPr>
          <w:ilvl w:val="0"/>
          <w:numId w:val="61"/>
        </w:numPr>
        <w:kinsoku/>
        <w:wordWrap/>
        <w:overflowPunct/>
        <w:topLinePunct w:val="0"/>
        <w:autoSpaceDE/>
        <w:autoSpaceDN/>
        <w:bidi w:val="0"/>
        <w:adjustRightInd/>
        <w:snapToGrid w:val="0"/>
        <w:spacing w:line="500" w:lineRule="exact"/>
        <w:ind w:left="0" w:leftChars="0" w:firstLine="560" w:firstLineChars="200"/>
        <w:jc w:val="left"/>
        <w:textAlignment w:val="auto"/>
        <w:rPr>
          <w:rFonts w:hint="eastAsia" w:asciiTheme="minorEastAsia" w:hAnsiTheme="minorEastAsia" w:eastAsiaTheme="minorEastAsia" w:cstheme="minorEastAsia"/>
          <w:color w:val="000000" w:themeColor="text1"/>
          <w:szCs w:val="28"/>
          <w14:textFill>
            <w14:solidFill>
              <w14:schemeClr w14:val="tx1"/>
            </w14:solidFill>
          </w14:textFill>
        </w:rPr>
      </w:pPr>
      <w:r>
        <w:rPr>
          <w:rFonts w:hint="eastAsia" w:asciiTheme="minorEastAsia" w:hAnsiTheme="minorEastAsia" w:eastAsiaTheme="minorEastAsia" w:cstheme="minorEastAsia"/>
          <w:color w:val="000000" w:themeColor="text1"/>
          <w:szCs w:val="28"/>
          <w14:textFill>
            <w14:solidFill>
              <w14:schemeClr w14:val="tx1"/>
            </w14:solidFill>
          </w14:textFill>
        </w:rPr>
        <w:t>本项目吹塑系统</w:t>
      </w:r>
      <w:r>
        <w:rPr>
          <w:rFonts w:hint="eastAsia" w:asciiTheme="minorEastAsia" w:hAnsiTheme="minorEastAsia" w:eastAsiaTheme="minorEastAsia" w:cstheme="minorEastAsia"/>
          <w:color w:val="000000" w:themeColor="text1"/>
          <w:szCs w:val="28"/>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8"/>
          <w14:textFill>
            <w14:solidFill>
              <w14:schemeClr w14:val="tx1"/>
            </w14:solidFill>
          </w14:textFill>
        </w:rPr>
        <w:t>供配电为显著危险单元；原辅料混合、后处理、边角料破碎回收、给排水、供气系统为可能危险单元。</w:t>
      </w:r>
    </w:p>
    <w:p>
      <w:pPr>
        <w:keepNext w:val="0"/>
        <w:keepLines w:val="0"/>
        <w:pageBreakBefore w:val="0"/>
        <w:widowControl w:val="0"/>
        <w:numPr>
          <w:ilvl w:val="0"/>
          <w:numId w:val="61"/>
        </w:numPr>
        <w:kinsoku/>
        <w:wordWrap w:val="0"/>
        <w:overflowPunct/>
        <w:topLinePunct/>
        <w:autoSpaceDE/>
        <w:autoSpaceDN/>
        <w:bidi w:val="0"/>
        <w:adjustRightInd/>
        <w:snapToGrid w:val="0"/>
        <w:spacing w:line="500" w:lineRule="exact"/>
        <w:ind w:left="0" w:leftChars="0" w:firstLine="560" w:firstLineChars="200"/>
        <w:jc w:val="left"/>
        <w:textAlignment w:val="auto"/>
        <w:rPr>
          <w:rFonts w:hint="eastAsia" w:asciiTheme="minorEastAsia" w:hAnsiTheme="minorEastAsia" w:eastAsiaTheme="minorEastAsia" w:cstheme="minorEastAsia"/>
          <w:color w:val="000000" w:themeColor="text1"/>
          <w:szCs w:val="28"/>
          <w14:textFill>
            <w14:solidFill>
              <w14:schemeClr w14:val="tx1"/>
            </w14:solidFill>
          </w14:textFill>
        </w:rPr>
      </w:pPr>
      <w:r>
        <w:rPr>
          <w:rFonts w:hint="eastAsia" w:asciiTheme="minorEastAsia" w:hAnsiTheme="minorEastAsia" w:eastAsiaTheme="minorEastAsia" w:cstheme="minorEastAsia"/>
          <w:color w:val="000000" w:themeColor="text1"/>
          <w:szCs w:val="28"/>
          <w14:textFill>
            <w14:solidFill>
              <w14:schemeClr w14:val="tx1"/>
            </w14:solidFill>
          </w14:textFill>
        </w:rPr>
        <w:t>本项目常规防护设施符合根据《安全色》（GB2893-2008）、《安全标志及其使用导则》（GB2894-2008）、《</w:t>
      </w:r>
      <w:r>
        <w:rPr>
          <w:rFonts w:hint="eastAsia" w:asciiTheme="minorEastAsia" w:hAnsiTheme="minorEastAsia" w:eastAsiaTheme="minorEastAsia" w:cstheme="minorEastAsia"/>
          <w:color w:val="000000" w:themeColor="text1"/>
          <w:szCs w:val="28"/>
          <w:lang w:eastAsia="zh-CN"/>
          <w14:textFill>
            <w14:solidFill>
              <w14:schemeClr w14:val="tx1"/>
            </w14:solidFill>
          </w14:textFill>
        </w:rPr>
        <w:t>工业管道的基本识别色、识别符号和安全标识</w:t>
      </w:r>
      <w:r>
        <w:rPr>
          <w:rFonts w:hint="eastAsia" w:asciiTheme="minorEastAsia" w:hAnsiTheme="minorEastAsia" w:eastAsiaTheme="minorEastAsia" w:cstheme="minorEastAsia"/>
          <w:color w:val="000000" w:themeColor="text1"/>
          <w:szCs w:val="28"/>
          <w14:textFill>
            <w14:solidFill>
              <w14:schemeClr w14:val="tx1"/>
            </w14:solidFill>
          </w14:textFill>
        </w:rPr>
        <w:t>》（GB 7231-2003）、《</w:t>
      </w:r>
      <w:r>
        <w:rPr>
          <w:rFonts w:hint="eastAsia" w:asciiTheme="minorEastAsia" w:hAnsiTheme="minorEastAsia" w:eastAsiaTheme="minorEastAsia" w:cstheme="minorEastAsia"/>
          <w:color w:val="000000" w:themeColor="text1"/>
          <w:szCs w:val="28"/>
          <w:lang w:eastAsia="zh-CN"/>
          <w14:textFill>
            <w14:solidFill>
              <w14:schemeClr w14:val="tx1"/>
            </w14:solidFill>
          </w14:textFill>
        </w:rPr>
        <w:t>机械安全 防护装置 固定式和活动式防护装置的设计与制造一般要求</w:t>
      </w:r>
      <w:r>
        <w:rPr>
          <w:rFonts w:hint="eastAsia" w:asciiTheme="minorEastAsia" w:hAnsiTheme="minorEastAsia" w:eastAsiaTheme="minorEastAsia" w:cstheme="minorEastAsia"/>
          <w:color w:val="000000" w:themeColor="text1"/>
          <w:szCs w:val="28"/>
          <w14:textFill>
            <w14:solidFill>
              <w14:schemeClr w14:val="tx1"/>
            </w14:solidFill>
          </w14:textFill>
        </w:rPr>
        <w:t>》（GB/T 8196-2018）《梯子</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8"/>
          <w14:textFill>
            <w14:solidFill>
              <w14:schemeClr w14:val="tx1"/>
            </w14:solidFill>
          </w14:textFill>
        </w:rPr>
        <w:t>第6部分：可移动式平台梯》（GB/T17889.6-2019）等规范的要求。</w:t>
      </w:r>
    </w:p>
    <w:p>
      <w:pPr>
        <w:keepNext w:val="0"/>
        <w:keepLines w:val="0"/>
        <w:pageBreakBefore w:val="0"/>
        <w:widowControl w:val="0"/>
        <w:numPr>
          <w:ilvl w:val="0"/>
          <w:numId w:val="61"/>
        </w:numPr>
        <w:kinsoku/>
        <w:wordWrap/>
        <w:overflowPunct/>
        <w:topLinePunct w:val="0"/>
        <w:autoSpaceDE/>
        <w:autoSpaceDN/>
        <w:bidi w:val="0"/>
        <w:adjustRightInd/>
        <w:snapToGrid w:val="0"/>
        <w:spacing w:line="500" w:lineRule="exact"/>
        <w:ind w:left="0" w:leftChars="0" w:firstLine="560" w:firstLineChars="200"/>
        <w:jc w:val="left"/>
        <w:textAlignment w:val="auto"/>
        <w:rPr>
          <w:rFonts w:hint="eastAsia" w:asciiTheme="minorEastAsia" w:hAnsiTheme="minorEastAsia" w:eastAsiaTheme="minorEastAsia" w:cstheme="minorEastAsia"/>
          <w:color w:val="000000" w:themeColor="text1"/>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szCs w:val="28"/>
          <w14:textFill>
            <w14:solidFill>
              <w14:schemeClr w14:val="tx1"/>
            </w14:solidFill>
          </w14:textFill>
        </w:rPr>
        <w:t>本项目</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供配电、给排水、消防设施公用工程和辅助</w:t>
      </w:r>
      <w:r>
        <w:rPr>
          <w:rFonts w:hint="eastAsia" w:asciiTheme="minorEastAsia" w:hAnsiTheme="minorEastAsia" w:eastAsiaTheme="minorEastAsia" w:cstheme="minorEastAsia"/>
          <w:color w:val="000000" w:themeColor="text1"/>
          <w:szCs w:val="28"/>
          <w14:textFill>
            <w14:solidFill>
              <w14:schemeClr w14:val="tx1"/>
            </w14:solidFill>
          </w14:textFill>
        </w:rPr>
        <w:t>设施符合</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相关法律规范的</w:t>
      </w:r>
      <w:r>
        <w:rPr>
          <w:rFonts w:hint="eastAsia" w:asciiTheme="minorEastAsia" w:hAnsiTheme="minorEastAsia" w:eastAsiaTheme="minorEastAsia" w:cstheme="minorEastAsia"/>
          <w:color w:val="000000" w:themeColor="text1"/>
          <w:szCs w:val="28"/>
          <w14:textFill>
            <w14:solidFill>
              <w14:schemeClr w14:val="tx1"/>
            </w14:solidFill>
          </w14:textFill>
        </w:rPr>
        <w:t>要求</w:t>
      </w:r>
      <w:r>
        <w:rPr>
          <w:rFonts w:hint="eastAsia" w:asciiTheme="minorEastAsia" w:hAnsiTheme="minorEastAsia" w:eastAsiaTheme="minorEastAsia" w:cstheme="minorEastAsia"/>
          <w:color w:val="000000" w:themeColor="text1"/>
          <w:szCs w:val="28"/>
          <w:lang w:eastAsia="zh-CN"/>
          <w14:textFill>
            <w14:solidFill>
              <w14:schemeClr w14:val="tx1"/>
            </w14:solidFill>
          </w14:textFill>
        </w:rPr>
        <w:t>。</w:t>
      </w:r>
    </w:p>
    <w:p>
      <w:pPr>
        <w:keepNext w:val="0"/>
        <w:keepLines w:val="0"/>
        <w:pageBreakBefore w:val="0"/>
        <w:widowControl w:val="0"/>
        <w:numPr>
          <w:ilvl w:val="0"/>
          <w:numId w:val="61"/>
        </w:numPr>
        <w:kinsoku/>
        <w:wordWrap/>
        <w:overflowPunct/>
        <w:topLinePunct w:val="0"/>
        <w:autoSpaceDE/>
        <w:autoSpaceDN/>
        <w:bidi w:val="0"/>
        <w:adjustRightInd/>
        <w:snapToGrid w:val="0"/>
        <w:spacing w:line="500" w:lineRule="exact"/>
        <w:ind w:left="0" w:leftChars="0" w:firstLine="560" w:firstLineChars="200"/>
        <w:jc w:val="left"/>
        <w:textAlignment w:val="auto"/>
        <w:rPr>
          <w:rFonts w:hint="eastAsia" w:asciiTheme="minorEastAsia" w:hAnsiTheme="minorEastAsia" w:eastAsiaTheme="minorEastAsia" w:cstheme="minorEastAsia"/>
          <w:color w:val="000000" w:themeColor="text1"/>
          <w:szCs w:val="28"/>
          <w14:textFill>
            <w14:solidFill>
              <w14:schemeClr w14:val="tx1"/>
            </w14:solidFill>
          </w14:textFill>
        </w:rPr>
      </w:pPr>
      <w:r>
        <w:rPr>
          <w:rFonts w:hint="eastAsia" w:asciiTheme="minorEastAsia" w:hAnsiTheme="minorEastAsia" w:eastAsiaTheme="minorEastAsia" w:cstheme="minorEastAsia"/>
          <w:color w:val="000000" w:themeColor="text1"/>
          <w:szCs w:val="28"/>
          <w14:textFill>
            <w14:solidFill>
              <w14:schemeClr w14:val="tx1"/>
            </w14:solidFill>
          </w14:textFill>
        </w:rPr>
        <w:t>企业结合自身实际成立了安全</w:t>
      </w:r>
      <w:r>
        <w:rPr>
          <w:rFonts w:hint="eastAsia" w:asciiTheme="minorEastAsia" w:hAnsiTheme="minorEastAsia" w:eastAsiaTheme="minorEastAsia" w:cstheme="minorEastAsia"/>
          <w:color w:val="000000" w:themeColor="text1"/>
          <w:szCs w:val="28"/>
          <w:lang w:eastAsia="zh-CN"/>
          <w14:textFill>
            <w14:solidFill>
              <w14:schemeClr w14:val="tx1"/>
            </w14:solidFill>
          </w14:textFill>
        </w:rPr>
        <w:t>生产</w:t>
      </w:r>
      <w:r>
        <w:rPr>
          <w:rFonts w:hint="eastAsia" w:asciiTheme="minorEastAsia" w:hAnsiTheme="minorEastAsia" w:eastAsiaTheme="minorEastAsia" w:cstheme="minorEastAsia"/>
          <w:color w:val="000000" w:themeColor="text1"/>
          <w:szCs w:val="28"/>
          <w14:textFill>
            <w14:solidFill>
              <w14:schemeClr w14:val="tx1"/>
            </w14:solidFill>
          </w14:textFill>
        </w:rPr>
        <w:t>领导小组，并任命了专职安全管理人员，建立了全员安全生产责任制、安全管理规章制度、安全操作规程及安全</w:t>
      </w:r>
      <w:r>
        <w:rPr>
          <w:rFonts w:hint="eastAsia" w:asciiTheme="minorEastAsia" w:hAnsiTheme="minorEastAsia" w:eastAsiaTheme="minorEastAsia" w:cstheme="minorEastAsia"/>
          <w:color w:val="000000" w:themeColor="text1"/>
          <w:szCs w:val="28"/>
          <w:lang w:eastAsia="zh-CN"/>
          <w14:textFill>
            <w14:solidFill>
              <w14:schemeClr w14:val="tx1"/>
            </w14:solidFill>
          </w14:textFill>
        </w:rPr>
        <w:t>管理台账</w:t>
      </w:r>
      <w:r>
        <w:rPr>
          <w:rFonts w:hint="eastAsia" w:asciiTheme="minorEastAsia" w:hAnsiTheme="minorEastAsia" w:eastAsiaTheme="minorEastAsia" w:cstheme="minorEastAsia"/>
          <w:color w:val="000000" w:themeColor="text1"/>
          <w:szCs w:val="28"/>
          <w14:textFill>
            <w14:solidFill>
              <w14:schemeClr w14:val="tx1"/>
            </w14:solidFill>
          </w14:textFill>
        </w:rPr>
        <w:t>，为企业职工配发了劳动防护用品。</w:t>
      </w:r>
    </w:p>
    <w:p>
      <w:pPr>
        <w:keepNext w:val="0"/>
        <w:keepLines w:val="0"/>
        <w:pageBreakBefore w:val="0"/>
        <w:widowControl w:val="0"/>
        <w:numPr>
          <w:ilvl w:val="0"/>
          <w:numId w:val="61"/>
        </w:numPr>
        <w:kinsoku/>
        <w:wordWrap/>
        <w:overflowPunct/>
        <w:topLinePunct w:val="0"/>
        <w:autoSpaceDE/>
        <w:autoSpaceDN/>
        <w:bidi w:val="0"/>
        <w:adjustRightInd/>
        <w:snapToGrid w:val="0"/>
        <w:spacing w:line="500" w:lineRule="exact"/>
        <w:ind w:left="0" w:leftChars="0" w:firstLine="560" w:firstLineChars="200"/>
        <w:jc w:val="left"/>
        <w:textAlignment w:val="auto"/>
        <w:rPr>
          <w:rFonts w:hint="eastAsia" w:asciiTheme="minorEastAsia" w:hAnsiTheme="minorEastAsia" w:eastAsiaTheme="minorEastAsia" w:cstheme="minorEastAsia"/>
          <w:color w:val="000000" w:themeColor="text1"/>
          <w:szCs w:val="28"/>
          <w14:textFill>
            <w14:solidFill>
              <w14:schemeClr w14:val="tx1"/>
            </w14:solidFill>
          </w14:textFill>
        </w:rPr>
      </w:pPr>
      <w:r>
        <w:rPr>
          <w:rFonts w:hint="eastAsia" w:asciiTheme="minorEastAsia" w:hAnsiTheme="minorEastAsia" w:eastAsiaTheme="minorEastAsia" w:cstheme="minorEastAsia"/>
          <w:color w:val="000000" w:themeColor="text1"/>
          <w:szCs w:val="28"/>
          <w14:textFill>
            <w14:solidFill>
              <w14:schemeClr w14:val="tx1"/>
            </w14:solidFill>
          </w14:textFill>
        </w:rPr>
        <w:t>企业按照应急预案的规定，</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编制了应急预案，</w:t>
      </w:r>
      <w:r>
        <w:rPr>
          <w:rFonts w:hint="eastAsia" w:asciiTheme="minorEastAsia" w:hAnsiTheme="minorEastAsia" w:eastAsiaTheme="minorEastAsia" w:cstheme="minorEastAsia"/>
          <w:color w:val="000000" w:themeColor="text1"/>
          <w:szCs w:val="28"/>
          <w14:textFill>
            <w14:solidFill>
              <w14:schemeClr w14:val="tx1"/>
            </w14:solidFill>
          </w14:textFill>
        </w:rPr>
        <w:t>落实了应急指挥体系、应急救援队伍、应急物资及装备，应急物资、装备进行处于适用状态。</w:t>
      </w:r>
      <w:r>
        <w:rPr>
          <w:rFonts w:hint="eastAsia" w:asciiTheme="minorEastAsia" w:hAnsiTheme="minorEastAsia" w:eastAsiaTheme="minorEastAsia" w:cstheme="minorEastAsia"/>
          <w:color w:val="000000" w:themeColor="text1"/>
          <w:szCs w:val="28"/>
          <w:lang w:val="en-US" w:eastAsia="zh-CN"/>
          <w14:textFill>
            <w14:solidFill>
              <w14:schemeClr w14:val="tx1"/>
            </w14:solidFill>
          </w14:textFill>
        </w:rPr>
        <w:t>企业预案已按要求到红塔区应急管理局进行了备案。</w:t>
      </w:r>
    </w:p>
    <w:p>
      <w:pPr>
        <w:keepNext w:val="0"/>
        <w:keepLines w:val="0"/>
        <w:pageBreakBefore w:val="0"/>
        <w:widowControl w:val="0"/>
        <w:kinsoku/>
        <w:wordWrap/>
        <w:overflowPunct/>
        <w:topLinePunct w:val="0"/>
        <w:autoSpaceDE/>
        <w:autoSpaceDN/>
        <w:bidi w:val="0"/>
        <w:adjustRightInd/>
        <w:snapToGrid w:val="0"/>
        <w:spacing w:line="500" w:lineRule="exact"/>
        <w:ind w:left="0" w:firstLine="560"/>
        <w:jc w:val="left"/>
        <w:textAlignment w:val="auto"/>
        <w:rPr>
          <w:rFonts w:hint="eastAsia" w:asciiTheme="minorEastAsia" w:hAnsiTheme="minorEastAsia" w:eastAsiaTheme="minorEastAsia" w:cstheme="minorEastAsia"/>
          <w:b/>
          <w:bCs/>
          <w:snapToGrid w:val="0"/>
          <w:color w:val="000000" w:themeColor="text1"/>
          <w:kern w:val="0"/>
          <w:szCs w:val="24"/>
          <w:lang w:eastAsia="zh-CN"/>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Cs w:val="24"/>
          <w14:textFill>
            <w14:solidFill>
              <w14:schemeClr w14:val="tx1"/>
            </w14:solidFill>
          </w14:textFill>
        </w:rPr>
        <w:t>评价</w:t>
      </w:r>
      <w:r>
        <w:rPr>
          <w:rFonts w:hint="eastAsia" w:asciiTheme="minorEastAsia" w:hAnsiTheme="minorEastAsia" w:eastAsiaTheme="minorEastAsia" w:cstheme="minorEastAsia"/>
          <w:snapToGrid w:val="0"/>
          <w:color w:val="000000" w:themeColor="text1"/>
          <w:kern w:val="0"/>
          <w:szCs w:val="24"/>
          <w:lang w:val="en-US" w:eastAsia="zh-CN"/>
          <w14:textFill>
            <w14:solidFill>
              <w14:schemeClr w14:val="tx1"/>
            </w14:solidFill>
          </w14:textFill>
        </w:rPr>
        <w:t>结论</w:t>
      </w:r>
      <w:r>
        <w:rPr>
          <w:rFonts w:hint="eastAsia" w:asciiTheme="minorEastAsia" w:hAnsiTheme="minorEastAsia" w:eastAsiaTheme="minorEastAsia" w:cstheme="minorEastAsia"/>
          <w:snapToGrid w:val="0"/>
          <w:color w:val="000000" w:themeColor="text1"/>
          <w:kern w:val="0"/>
          <w:szCs w:val="24"/>
          <w:lang w:eastAsia="zh-CN"/>
          <w14:textFill>
            <w14:solidFill>
              <w14:schemeClr w14:val="tx1"/>
            </w14:solidFill>
          </w14:textFill>
        </w:rPr>
        <w:t>：</w:t>
      </w:r>
      <w:r>
        <w:rPr>
          <w:rFonts w:hint="eastAsia" w:asciiTheme="minorEastAsia" w:hAnsiTheme="minorEastAsia" w:eastAsiaTheme="minorEastAsia" w:cstheme="minorEastAsia"/>
          <w:b/>
          <w:bCs/>
          <w:snapToGrid w:val="0"/>
          <w:color w:val="000000" w:themeColor="text1"/>
          <w:kern w:val="0"/>
          <w:szCs w:val="24"/>
          <w:lang w:eastAsia="zh-CN"/>
          <w14:textFill>
            <w14:solidFill>
              <w14:schemeClr w14:val="tx1"/>
            </w14:solidFill>
          </w14:textFill>
        </w:rPr>
        <w:t>玉溪玉新包装材料有限公司安全生产条件符合国家有关安全方面的法律法规、标准、规范的要求，项目安全现状可以接受。</w:t>
      </w:r>
    </w:p>
    <w:p>
      <w:pPr>
        <w:keepNext w:val="0"/>
        <w:keepLines w:val="0"/>
        <w:pageBreakBefore w:val="0"/>
        <w:widowControl w:val="0"/>
        <w:tabs>
          <w:tab w:val="left" w:pos="7560"/>
          <w:tab w:val="left" w:pos="8100"/>
        </w:tabs>
        <w:kinsoku/>
        <w:wordWrap/>
        <w:overflowPunct/>
        <w:topLinePunct w:val="0"/>
        <w:autoSpaceDE/>
        <w:autoSpaceDN/>
        <w:bidi w:val="0"/>
        <w:adjustRightInd/>
        <w:snapToGrid w:val="0"/>
        <w:spacing w:line="500" w:lineRule="exact"/>
        <w:ind w:left="0" w:firstLine="560"/>
        <w:jc w:val="left"/>
        <w:textAlignment w:val="auto"/>
        <w:rPr>
          <w:rFonts w:hint="eastAsia" w:asciiTheme="minorEastAsia" w:hAnsiTheme="minorEastAsia" w:eastAsiaTheme="minorEastAsia" w:cstheme="minorEastAsia"/>
          <w:color w:val="000000" w:themeColor="text1"/>
          <w:szCs w:val="28"/>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Cs w:val="21"/>
          <w14:textFill>
            <w14:solidFill>
              <w14:schemeClr w14:val="tx1"/>
            </w14:solidFill>
          </w14:textFill>
        </w:rPr>
        <w:t>总之，企业生产是一个动态的过程，企业在今后的生产过程中，应根据生产条件的变化，把安全管理工作贯穿于生产的全过程，不断完善企业安全管理，依靠科技进步提升安全技术水平，防止安全事故的发生，实现本质化安全，切实保障人民生命和财产的安全。</w:t>
      </w:r>
    </w:p>
    <w:p>
      <w:pPr>
        <w:ind w:firstLine="560"/>
        <w:jc w:val="left"/>
        <w:rPr>
          <w:color w:val="000000" w:themeColor="text1"/>
          <w:szCs w:val="28"/>
          <w14:textFill>
            <w14:solidFill>
              <w14:schemeClr w14:val="tx1"/>
            </w14:solidFill>
          </w14:textFill>
        </w:rPr>
        <w:sectPr>
          <w:pgSz w:w="11907" w:h="16840"/>
          <w:pgMar w:top="1440" w:right="1800" w:bottom="1440" w:left="1800" w:header="850" w:footer="992" w:gutter="0"/>
          <w:pgNumType w:fmt="decimal"/>
          <w:cols w:space="425" w:num="1"/>
          <w:docGrid w:linePitch="312" w:charSpace="0"/>
        </w:sectPr>
      </w:pPr>
    </w:p>
    <w:p>
      <w:pPr>
        <w:pStyle w:val="4"/>
        <w:ind w:firstLine="883"/>
        <w:rPr>
          <w:rFonts w:ascii="Times New Roman" w:hAnsi="Times New Roman" w:eastAsia="黑体" w:cs="Times New Roman"/>
          <w:b/>
          <w:bCs/>
          <w:color w:val="000000" w:themeColor="text1"/>
          <w:kern w:val="44"/>
          <w:sz w:val="44"/>
          <w:szCs w:val="44"/>
          <w:lang w:val="en-US" w:eastAsia="zh-CN" w:bidi="ar-SA"/>
          <w14:textFill>
            <w14:solidFill>
              <w14:schemeClr w14:val="tx1"/>
            </w14:solidFill>
          </w14:textFill>
        </w:rPr>
      </w:pPr>
      <w:bookmarkStart w:id="1066" w:name="_Toc24915"/>
      <w:bookmarkStart w:id="1067" w:name="_Toc103178363"/>
      <w:bookmarkStart w:id="1068" w:name="_Toc51340757"/>
      <w:bookmarkStart w:id="1069" w:name="_Toc129520705"/>
      <w:bookmarkStart w:id="1070" w:name="_Toc17610"/>
      <w:bookmarkStart w:id="1071" w:name="_Toc54294521"/>
      <w:r>
        <w:rPr>
          <w:rFonts w:hint="eastAsia" w:cs="Times New Roman"/>
          <w:b/>
          <w:bCs/>
          <w:color w:val="000000" w:themeColor="text1"/>
          <w:kern w:val="44"/>
          <w:sz w:val="44"/>
          <w:szCs w:val="44"/>
          <w:lang w:val="en-US" w:eastAsia="zh-CN" w:bidi="ar-SA"/>
          <w14:textFill>
            <w14:solidFill>
              <w14:schemeClr w14:val="tx1"/>
            </w14:solidFill>
          </w14:textFill>
        </w:rPr>
        <w:t>与被评价单位交换意见的情况</w:t>
      </w:r>
      <w:bookmarkEnd w:id="1066"/>
    </w:p>
    <w:p>
      <w:pPr>
        <w:bidi w:val="0"/>
        <w:rPr>
          <w:rFonts w:hint="eastAsia"/>
        </w:rPr>
      </w:pPr>
      <w:r>
        <w:rPr>
          <w:rFonts w:hint="eastAsia"/>
        </w:rPr>
        <w:t>针对项目验收中存在的问题，评价组向玉溪自强玉新包装材料有限公司交换了意见，提出下面的意见建议：</w:t>
      </w:r>
    </w:p>
    <w:p>
      <w:pPr>
        <w:numPr>
          <w:ilvl w:val="0"/>
          <w:numId w:val="62"/>
        </w:numPr>
        <w:ind w:left="0" w:leftChars="0" w:firstLine="560" w:firstLineChars="200"/>
        <w:rPr>
          <w:rFonts w:hint="eastAsia" w:ascii="Times New Roman" w:hAnsi="Times New Roman" w:eastAsia="宋体" w:cs="Times New Roman"/>
          <w:color w:val="000000" w:themeColor="text1"/>
          <w:szCs w:val="28"/>
          <w14:textFill>
            <w14:solidFill>
              <w14:schemeClr w14:val="tx1"/>
            </w14:solidFill>
          </w14:textFill>
        </w:rPr>
      </w:pPr>
      <w:r>
        <w:rPr>
          <w:rFonts w:hint="eastAsia" w:ascii="Times New Roman" w:hAnsi="Times New Roman" w:eastAsia="宋体" w:cs="Times New Roman"/>
          <w:color w:val="000000" w:themeColor="text1"/>
          <w:szCs w:val="28"/>
          <w14:textFill>
            <w14:solidFill>
              <w14:schemeClr w14:val="tx1"/>
            </w14:solidFill>
          </w14:textFill>
        </w:rPr>
        <w:t>企业</w:t>
      </w:r>
      <w:r>
        <w:rPr>
          <w:rFonts w:hint="eastAsia" w:ascii="Times New Roman" w:hAnsi="Times New Roman" w:eastAsia="宋体" w:cs="Times New Roman"/>
          <w:color w:val="000000" w:themeColor="text1"/>
          <w:szCs w:val="28"/>
          <w:lang w:val="en-US" w:eastAsia="zh-CN"/>
          <w14:textFill>
            <w14:solidFill>
              <w14:schemeClr w14:val="tx1"/>
            </w14:solidFill>
          </w14:textFill>
        </w:rPr>
        <w:t>应进一步完善安全</w:t>
      </w:r>
      <w:r>
        <w:rPr>
          <w:rFonts w:hint="eastAsia" w:ascii="Times New Roman" w:hAnsi="Times New Roman" w:eastAsia="宋体" w:cs="Times New Roman"/>
          <w:color w:val="000000" w:themeColor="text1"/>
          <w:szCs w:val="28"/>
          <w14:textFill>
            <w14:solidFill>
              <w14:schemeClr w14:val="tx1"/>
            </w14:solidFill>
          </w14:textFill>
        </w:rPr>
        <w:t>风险分级管控及隐患排查治理双重预防机制</w:t>
      </w:r>
      <w:r>
        <w:rPr>
          <w:rFonts w:hint="eastAsia" w:cs="Times New Roman"/>
          <w:color w:val="000000" w:themeColor="text1"/>
          <w:szCs w:val="28"/>
          <w:lang w:eastAsia="zh-CN"/>
          <w14:textFill>
            <w14:solidFill>
              <w14:schemeClr w14:val="tx1"/>
            </w14:solidFill>
          </w14:textFill>
        </w:rPr>
        <w:t>。</w:t>
      </w:r>
    </w:p>
    <w:p>
      <w:pPr>
        <w:numPr>
          <w:ilvl w:val="0"/>
          <w:numId w:val="62"/>
        </w:numPr>
        <w:ind w:left="0" w:leftChars="0" w:firstLine="560" w:firstLineChars="200"/>
        <w:rPr>
          <w:rFonts w:hint="eastAsia" w:ascii="Times New Roman" w:hAnsi="Times New Roman" w:eastAsia="宋体" w:cs="Times New Roman"/>
          <w:color w:val="000000" w:themeColor="text1"/>
          <w:szCs w:val="28"/>
          <w14:textFill>
            <w14:solidFill>
              <w14:schemeClr w14:val="tx1"/>
            </w14:solidFill>
          </w14:textFill>
        </w:rPr>
      </w:pPr>
      <w:r>
        <w:rPr>
          <w:rFonts w:hint="eastAsia" w:ascii="Times New Roman" w:hAnsi="Times New Roman" w:eastAsia="宋体" w:cs="Times New Roman"/>
          <w:color w:val="000000" w:themeColor="text1"/>
          <w:szCs w:val="28"/>
          <w14:textFill>
            <w14:solidFill>
              <w14:schemeClr w14:val="tx1"/>
            </w14:solidFill>
          </w14:textFill>
        </w:rPr>
        <w:t>按《中华人民共和国安全生产法》等相关法律法规的要求，深入开展安全生产标准化达标创建工作，提高安全生产水平，促进企业安全生产主体责任落实到位，确保安全生产。</w:t>
      </w:r>
    </w:p>
    <w:p>
      <w:pPr>
        <w:numPr>
          <w:ilvl w:val="0"/>
          <w:numId w:val="62"/>
        </w:numPr>
        <w:ind w:left="0" w:leftChars="0" w:firstLine="560" w:firstLineChars="200"/>
        <w:rPr>
          <w:rFonts w:hint="eastAsia" w:ascii="Times New Roman" w:hAnsi="Times New Roman" w:eastAsia="宋体" w:cs="Times New Roman"/>
          <w:color w:val="000000" w:themeColor="text1"/>
          <w:szCs w:val="28"/>
          <w14:textFill>
            <w14:solidFill>
              <w14:schemeClr w14:val="tx1"/>
            </w14:solidFill>
          </w14:textFill>
        </w:rPr>
      </w:pPr>
      <w:r>
        <w:rPr>
          <w:rFonts w:hint="eastAsia" w:ascii="Times New Roman" w:hAnsi="Times New Roman" w:eastAsia="宋体" w:cs="Times New Roman"/>
          <w:color w:val="000000" w:themeColor="text1"/>
          <w:szCs w:val="28"/>
          <w14:textFill>
            <w14:solidFill>
              <w14:schemeClr w14:val="tx1"/>
            </w14:solidFill>
          </w14:textFill>
        </w:rPr>
        <w:t>公司应当组织职工学习了解本项目的安全风险，并组织应急预案、应急知识、自救互救和避险逃生技能的培训活动，使有关人员了解应急预案内容，熟悉应急职责、应急处置程序和措施。</w:t>
      </w:r>
    </w:p>
    <w:p>
      <w:pPr>
        <w:numPr>
          <w:ilvl w:val="0"/>
          <w:numId w:val="62"/>
        </w:numPr>
        <w:ind w:left="0" w:leftChars="0" w:firstLine="560" w:firstLineChars="200"/>
        <w:rPr>
          <w:rFonts w:hint="eastAsia" w:ascii="Times New Roman" w:hAnsi="Times New Roman" w:eastAsia="宋体" w:cs="Times New Roman"/>
          <w:color w:val="000000" w:themeColor="text1"/>
          <w:szCs w:val="28"/>
          <w14:textFill>
            <w14:solidFill>
              <w14:schemeClr w14:val="tx1"/>
            </w14:solidFill>
          </w14:textFill>
        </w:rPr>
      </w:pPr>
      <w:r>
        <w:rPr>
          <w:rFonts w:hint="eastAsia" w:ascii="Times New Roman" w:hAnsi="Times New Roman" w:eastAsia="宋体" w:cs="Times New Roman"/>
          <w:color w:val="000000" w:themeColor="text1"/>
          <w:szCs w:val="28"/>
          <w14:textFill>
            <w14:solidFill>
              <w14:schemeClr w14:val="tx1"/>
            </w14:solidFill>
          </w14:textFill>
        </w:rPr>
        <w:t>企业应</w:t>
      </w:r>
      <w:r>
        <w:rPr>
          <w:rFonts w:hint="eastAsia" w:cs="Times New Roman"/>
          <w:color w:val="000000" w:themeColor="text1"/>
          <w:szCs w:val="28"/>
          <w:lang w:val="en-US" w:eastAsia="zh-CN"/>
          <w14:textFill>
            <w14:solidFill>
              <w14:schemeClr w14:val="tx1"/>
            </w14:solidFill>
          </w14:textFill>
        </w:rPr>
        <w:t>按</w:t>
      </w:r>
      <w:r>
        <w:rPr>
          <w:rFonts w:hint="eastAsia" w:ascii="Times New Roman" w:hAnsi="Times New Roman" w:eastAsia="宋体" w:cs="Times New Roman"/>
          <w:color w:val="000000" w:themeColor="text1"/>
          <w:szCs w:val="28"/>
          <w14:textFill>
            <w14:solidFill>
              <w14:schemeClr w14:val="tx1"/>
            </w14:solidFill>
          </w14:textFill>
        </w:rPr>
        <w:t>相关</w:t>
      </w:r>
      <w:r>
        <w:rPr>
          <w:rFonts w:hint="eastAsia" w:cs="Times New Roman"/>
          <w:color w:val="000000" w:themeColor="text1"/>
          <w:szCs w:val="28"/>
          <w:lang w:val="en-US" w:eastAsia="zh-CN"/>
          <w14:textFill>
            <w14:solidFill>
              <w14:schemeClr w14:val="tx1"/>
            </w14:solidFill>
          </w14:textFill>
        </w:rPr>
        <w:t>规范</w:t>
      </w:r>
      <w:r>
        <w:rPr>
          <w:rFonts w:hint="eastAsia" w:ascii="Times New Roman" w:hAnsi="Times New Roman" w:eastAsia="宋体" w:cs="Times New Roman"/>
          <w:color w:val="000000" w:themeColor="text1"/>
          <w:szCs w:val="28"/>
          <w14:textFill>
            <w14:solidFill>
              <w14:schemeClr w14:val="tx1"/>
            </w14:solidFill>
          </w14:textFill>
        </w:rPr>
        <w:t>对求对厂房</w:t>
      </w:r>
      <w:r>
        <w:rPr>
          <w:rFonts w:hint="eastAsia" w:cs="Times New Roman"/>
          <w:color w:val="000000" w:themeColor="text1"/>
          <w:szCs w:val="28"/>
          <w:lang w:val="en-US" w:eastAsia="zh-CN"/>
          <w14:textFill>
            <w14:solidFill>
              <w14:schemeClr w14:val="tx1"/>
            </w14:solidFill>
          </w14:textFill>
        </w:rPr>
        <w:t>等建筑物</w:t>
      </w:r>
      <w:r>
        <w:rPr>
          <w:rFonts w:hint="eastAsia" w:ascii="Times New Roman" w:hAnsi="Times New Roman" w:eastAsia="宋体" w:cs="Times New Roman"/>
          <w:color w:val="000000" w:themeColor="text1"/>
          <w:szCs w:val="28"/>
          <w14:textFill>
            <w14:solidFill>
              <w14:schemeClr w14:val="tx1"/>
            </w14:solidFill>
          </w14:textFill>
        </w:rPr>
        <w:t>进行防雷检测</w:t>
      </w:r>
      <w:r>
        <w:rPr>
          <w:rFonts w:hint="eastAsia" w:cs="Times New Roman"/>
          <w:color w:val="000000" w:themeColor="text1"/>
          <w:szCs w:val="28"/>
          <w:lang w:eastAsia="zh-CN"/>
          <w14:textFill>
            <w14:solidFill>
              <w14:schemeClr w14:val="tx1"/>
            </w14:solidFill>
          </w14:textFill>
        </w:rPr>
        <w:t>，</w:t>
      </w:r>
      <w:r>
        <w:rPr>
          <w:rFonts w:hint="eastAsia" w:cs="Times New Roman"/>
          <w:color w:val="000000" w:themeColor="text1"/>
          <w:szCs w:val="28"/>
          <w:lang w:val="en-US" w:eastAsia="zh-CN"/>
          <w14:textFill>
            <w14:solidFill>
              <w14:schemeClr w14:val="tx1"/>
            </w14:solidFill>
          </w14:textFill>
        </w:rPr>
        <w:t>对主要设备接地电阻进行检测，确保防雷接地符合规范要求。</w:t>
      </w:r>
    </w:p>
    <w:p>
      <w:pPr>
        <w:numPr>
          <w:ilvl w:val="0"/>
          <w:numId w:val="62"/>
        </w:numPr>
        <w:ind w:left="0" w:leftChars="0" w:firstLine="560" w:firstLineChars="200"/>
        <w:rPr>
          <w:rFonts w:hint="eastAsia" w:ascii="Times New Roman" w:hAnsi="Times New Roman" w:eastAsia="宋体" w:cs="Times New Roman"/>
          <w:color w:val="000000" w:themeColor="text1"/>
          <w:szCs w:val="28"/>
          <w14:textFill>
            <w14:solidFill>
              <w14:schemeClr w14:val="tx1"/>
            </w14:solidFill>
          </w14:textFill>
        </w:rPr>
      </w:pPr>
      <w:r>
        <w:rPr>
          <w:rFonts w:hint="eastAsia" w:ascii="Times New Roman" w:hAnsi="Times New Roman" w:eastAsia="宋体" w:cs="Times New Roman"/>
          <w:color w:val="000000" w:themeColor="text1"/>
          <w:szCs w:val="28"/>
          <w14:textFill>
            <w14:solidFill>
              <w14:schemeClr w14:val="tx1"/>
            </w14:solidFill>
          </w14:textFill>
        </w:rPr>
        <w:t>应急培训、演练的时间、地点、内容、参加人员和考核结果等情况应当如实记入本单位的安全生产教育和培训档案。</w:t>
      </w:r>
    </w:p>
    <w:p>
      <w:pPr>
        <w:numPr>
          <w:ilvl w:val="0"/>
          <w:numId w:val="62"/>
        </w:numPr>
        <w:tabs>
          <w:tab w:val="left" w:pos="1611"/>
        </w:tabs>
        <w:ind w:left="0" w:leftChars="0" w:firstLine="560" w:firstLineChars="200"/>
        <w:rPr>
          <w:rFonts w:hint="eastAsia" w:ascii="Times New Roman" w:hAnsi="Times New Roman" w:eastAsia="宋体" w:cs="Times New Roman"/>
          <w:color w:val="000000" w:themeColor="text1"/>
          <w:szCs w:val="28"/>
          <w14:textFill>
            <w14:solidFill>
              <w14:schemeClr w14:val="tx1"/>
            </w14:solidFill>
          </w14:textFill>
        </w:rPr>
      </w:pPr>
      <w:r>
        <w:rPr>
          <w:rFonts w:hint="eastAsia" w:cs="Times New Roman"/>
          <w:color w:val="000000" w:themeColor="text1"/>
          <w:szCs w:val="28"/>
          <w:lang w:val="en-US" w:eastAsia="zh-CN"/>
          <w14:textFill>
            <w14:solidFill>
              <w14:schemeClr w14:val="tx1"/>
            </w14:solidFill>
          </w14:textFill>
        </w:rPr>
        <w:t>建设公司增加周边摄像监控，有效防止外部火灾对公司的影响。</w:t>
      </w:r>
    </w:p>
    <w:p>
      <w:pPr>
        <w:bidi w:val="0"/>
        <w:rPr>
          <w:rFonts w:hint="eastAsia"/>
        </w:rPr>
        <w:sectPr>
          <w:pgSz w:w="11906" w:h="16838"/>
          <w:pgMar w:top="1440" w:right="1800" w:bottom="1440" w:left="1800" w:header="851" w:footer="992" w:gutter="0"/>
          <w:pgNumType w:fmt="decimal"/>
          <w:cols w:space="425" w:num="1"/>
          <w:docGrid w:type="lines" w:linePitch="312" w:charSpace="0"/>
        </w:sectPr>
      </w:pPr>
      <w:r>
        <w:rPr>
          <w:rFonts w:hint="eastAsia"/>
        </w:rPr>
        <w:t>玉溪自强玉新包装材料有限公司对评价小组提出的意见和建议完全接受。</w:t>
      </w:r>
    </w:p>
    <w:bookmarkEnd w:id="1067"/>
    <w:bookmarkEnd w:id="1068"/>
    <w:bookmarkEnd w:id="1069"/>
    <w:bookmarkEnd w:id="1070"/>
    <w:bookmarkEnd w:id="1071"/>
    <w:p>
      <w:pPr>
        <w:pStyle w:val="4"/>
        <w:numPr>
          <w:ilvl w:val="0"/>
          <w:numId w:val="0"/>
        </w:numPr>
        <w:bidi w:val="0"/>
        <w:ind w:leftChars="0"/>
        <w:jc w:val="both"/>
        <w:rPr>
          <w:rFonts w:hint="eastAsia"/>
          <w:lang w:val="en-US" w:eastAsia="zh-CN"/>
        </w:rPr>
      </w:pPr>
      <w:bookmarkStart w:id="1072" w:name="_Toc3422"/>
      <w:bookmarkStart w:id="1073" w:name="_Toc3867"/>
      <w:r>
        <w:rPr>
          <w:rFonts w:hint="eastAsia"/>
          <w:lang w:val="en-US" w:eastAsia="zh-CN"/>
        </w:rPr>
        <w:t>附件</w:t>
      </w:r>
      <w:bookmarkEnd w:id="1072"/>
      <w:bookmarkEnd w:id="1073"/>
    </w:p>
    <w:p>
      <w:pPr>
        <w:keepNext/>
        <w:keepLines/>
        <w:pageBreakBefore w:val="0"/>
        <w:widowControl w:val="0"/>
        <w:numPr>
          <w:ilvl w:val="1"/>
          <w:numId w:val="0"/>
        </w:numPr>
        <w:kinsoku/>
        <w:wordWrap/>
        <w:overflowPunct/>
        <w:topLinePunct w:val="0"/>
        <w:autoSpaceDE/>
        <w:autoSpaceDN/>
        <w:bidi w:val="0"/>
        <w:adjustRightInd/>
        <w:snapToGrid/>
        <w:ind w:left="0" w:leftChars="0" w:right="0" w:rightChars="0" w:firstLine="0" w:firstLineChars="0"/>
        <w:jc w:val="center"/>
        <w:textAlignment w:val="auto"/>
        <w:outlineLvl w:val="9"/>
        <w:rPr>
          <w:rFonts w:hint="eastAsia"/>
          <w:b/>
          <w:bCs/>
          <w:lang w:val="en-US" w:eastAsia="zh-CN"/>
        </w:rPr>
      </w:pPr>
      <w:bookmarkStart w:id="1074" w:name="_Toc5975"/>
      <w:r>
        <w:rPr>
          <w:rFonts w:hint="eastAsia"/>
          <w:b/>
          <w:bCs/>
          <w:lang w:val="en-US" w:eastAsia="zh-CN"/>
        </w:rPr>
        <w:t>附件目录</w:t>
      </w:r>
      <w:bookmarkEnd w:id="1074"/>
    </w:p>
    <w:p>
      <w:pPr>
        <w:pStyle w:val="30"/>
        <w:tabs>
          <w:tab w:val="right" w:leader="dot" w:pos="8306"/>
        </w:tabs>
      </w:pPr>
      <w:r>
        <w:rPr>
          <w:rFonts w:hint="default" w:ascii="黑体" w:hAnsi="黑体" w:eastAsia="黑体" w:cs="黑体"/>
          <w:kern w:val="2"/>
          <w:szCs w:val="32"/>
          <w:lang w:val="en-US" w:eastAsia="zh-CN" w:bidi="ar-SA"/>
        </w:rPr>
        <w:t xml:space="preserve">1. </w:t>
      </w:r>
      <w:r>
        <w:rPr>
          <w:rFonts w:hint="eastAsia" w:cs="黑体"/>
          <w:kern w:val="2"/>
          <w:szCs w:val="32"/>
          <w:lang w:val="en-US" w:eastAsia="zh-CN" w:bidi="ar-SA"/>
        </w:rPr>
        <w:t>委托书</w:t>
      </w:r>
      <w:r>
        <w:tab/>
      </w:r>
      <w:r>
        <w:t>99</w:t>
      </w:r>
    </w:p>
    <w:p>
      <w:pPr>
        <w:pStyle w:val="30"/>
        <w:tabs>
          <w:tab w:val="right" w:leader="dot" w:pos="8306"/>
        </w:tabs>
      </w:pPr>
      <w:r>
        <w:rPr>
          <w:rFonts w:hint="default" w:ascii="黑体" w:hAnsi="黑体" w:eastAsia="黑体" w:cs="黑体"/>
          <w:kern w:val="2"/>
          <w:szCs w:val="32"/>
          <w:lang w:val="en-US" w:eastAsia="zh-CN" w:bidi="ar-SA"/>
        </w:rPr>
        <w:t xml:space="preserve">2. </w:t>
      </w:r>
      <w:r>
        <w:rPr>
          <w:rFonts w:hint="eastAsia" w:cs="黑体"/>
          <w:kern w:val="2"/>
          <w:szCs w:val="32"/>
          <w:lang w:val="en-US" w:eastAsia="zh-CN" w:bidi="ar-SA"/>
        </w:rPr>
        <w:t>提供材料真实性承诺书</w:t>
      </w:r>
      <w:r>
        <w:tab/>
      </w:r>
      <w:r>
        <w:t>100</w:t>
      </w:r>
    </w:p>
    <w:p>
      <w:pPr>
        <w:pStyle w:val="30"/>
        <w:tabs>
          <w:tab w:val="right" w:leader="dot" w:pos="8306"/>
        </w:tabs>
      </w:pPr>
      <w:r>
        <w:rPr>
          <w:rFonts w:hint="default" w:ascii="黑体" w:hAnsi="黑体" w:eastAsia="黑体" w:cs="黑体"/>
          <w:szCs w:val="32"/>
          <w:lang w:val="en-US" w:eastAsia="zh-CN"/>
        </w:rPr>
        <w:t xml:space="preserve">3. </w:t>
      </w:r>
      <w:r>
        <w:rPr>
          <w:rFonts w:hint="eastAsia"/>
          <w:lang w:val="en-US" w:eastAsia="zh-CN"/>
        </w:rPr>
        <w:t>营业执照</w:t>
      </w:r>
      <w:r>
        <w:tab/>
      </w:r>
      <w:r>
        <w:t>101</w:t>
      </w:r>
    </w:p>
    <w:p>
      <w:pPr>
        <w:pStyle w:val="30"/>
        <w:tabs>
          <w:tab w:val="right" w:leader="dot" w:pos="8306"/>
        </w:tabs>
      </w:pPr>
      <w:r>
        <w:rPr>
          <w:rFonts w:hint="default" w:ascii="黑体" w:hAnsi="黑体" w:eastAsia="黑体" w:cs="黑体"/>
          <w:szCs w:val="32"/>
          <w:lang w:val="en-US" w:eastAsia="zh-CN"/>
        </w:rPr>
        <w:t xml:space="preserve">4. </w:t>
      </w:r>
      <w:r>
        <w:rPr>
          <w:rFonts w:hint="eastAsia"/>
          <w:lang w:val="en-US" w:eastAsia="zh-CN"/>
        </w:rPr>
        <w:t>成立安全生产领导小组文件</w:t>
      </w:r>
      <w:r>
        <w:tab/>
      </w:r>
      <w:r>
        <w:t>102</w:t>
      </w:r>
    </w:p>
    <w:p>
      <w:pPr>
        <w:pStyle w:val="30"/>
        <w:tabs>
          <w:tab w:val="right" w:leader="dot" w:pos="8306"/>
        </w:tabs>
      </w:pPr>
      <w:r>
        <w:rPr>
          <w:rFonts w:hint="default" w:ascii="黑体" w:hAnsi="黑体" w:eastAsia="黑体" w:cs="黑体"/>
          <w:szCs w:val="32"/>
          <w:lang w:val="en-US" w:eastAsia="zh-CN"/>
        </w:rPr>
        <w:t xml:space="preserve">5. </w:t>
      </w:r>
      <w:r>
        <w:rPr>
          <w:rFonts w:hint="eastAsia"/>
          <w:lang w:val="en-US" w:eastAsia="zh-CN"/>
        </w:rPr>
        <w:t>任命文件</w:t>
      </w:r>
      <w:r>
        <w:tab/>
      </w:r>
      <w:r>
        <w:t>104</w:t>
      </w:r>
    </w:p>
    <w:p>
      <w:pPr>
        <w:pStyle w:val="30"/>
        <w:tabs>
          <w:tab w:val="right" w:leader="dot" w:pos="8306"/>
        </w:tabs>
      </w:pPr>
      <w:r>
        <w:rPr>
          <w:rFonts w:hint="default" w:ascii="黑体" w:hAnsi="黑体" w:eastAsia="黑体" w:cs="黑体"/>
          <w:szCs w:val="32"/>
          <w:lang w:val="en-US" w:eastAsia="zh-CN"/>
        </w:rPr>
        <w:t xml:space="preserve">6. </w:t>
      </w:r>
      <w:r>
        <w:rPr>
          <w:rFonts w:hint="eastAsia"/>
          <w:lang w:val="en-US" w:eastAsia="zh-CN"/>
        </w:rPr>
        <w:t>安全管理制度和安全生产操作规程及目录</w:t>
      </w:r>
      <w:r>
        <w:tab/>
      </w:r>
      <w:r>
        <w:t>105</w:t>
      </w:r>
    </w:p>
    <w:p>
      <w:pPr>
        <w:pStyle w:val="30"/>
        <w:tabs>
          <w:tab w:val="right" w:leader="dot" w:pos="8306"/>
        </w:tabs>
      </w:pPr>
      <w:r>
        <w:rPr>
          <w:rFonts w:hint="default" w:ascii="黑体" w:hAnsi="黑体" w:eastAsia="黑体" w:cs="黑体"/>
          <w:kern w:val="2"/>
          <w:szCs w:val="32"/>
          <w:lang w:val="en-US" w:eastAsia="zh-CN" w:bidi="ar-SA"/>
        </w:rPr>
        <w:t xml:space="preserve">7. </w:t>
      </w:r>
      <w:r>
        <w:rPr>
          <w:rFonts w:hint="eastAsia" w:cs="黑体"/>
          <w:kern w:val="2"/>
          <w:szCs w:val="32"/>
          <w:lang w:val="en-US" w:eastAsia="zh-CN" w:bidi="ar-SA"/>
        </w:rPr>
        <w:t>生产安全应急预案备案情况</w:t>
      </w:r>
      <w:r>
        <w:tab/>
      </w:r>
      <w:r>
        <w:t>107</w:t>
      </w:r>
    </w:p>
    <w:p>
      <w:pPr>
        <w:pStyle w:val="30"/>
        <w:tabs>
          <w:tab w:val="right" w:leader="dot" w:pos="8306"/>
        </w:tabs>
      </w:pPr>
      <w:r>
        <w:rPr>
          <w:rFonts w:hint="default" w:ascii="黑体" w:hAnsi="黑体" w:eastAsia="黑体" w:cs="黑体"/>
          <w:szCs w:val="32"/>
          <w:lang w:val="en-US" w:eastAsia="zh-CN"/>
        </w:rPr>
        <w:t xml:space="preserve">8. </w:t>
      </w:r>
      <w:r>
        <w:rPr>
          <w:rFonts w:hint="eastAsia"/>
          <w:lang w:val="en-US" w:eastAsia="zh-CN"/>
        </w:rPr>
        <w:t>主要负责人、安全管理员持证情况</w:t>
      </w:r>
      <w:r>
        <w:tab/>
      </w:r>
      <w:r>
        <w:t>108</w:t>
      </w:r>
    </w:p>
    <w:p>
      <w:pPr>
        <w:pStyle w:val="30"/>
        <w:tabs>
          <w:tab w:val="right" w:leader="dot" w:pos="8306"/>
        </w:tabs>
      </w:pPr>
      <w:r>
        <w:rPr>
          <w:rFonts w:hint="default" w:ascii="黑体" w:hAnsi="黑体" w:eastAsia="黑体" w:cs="黑体"/>
          <w:szCs w:val="32"/>
          <w:lang w:val="en-US" w:eastAsia="zh-CN"/>
        </w:rPr>
        <w:t xml:space="preserve">9. </w:t>
      </w:r>
      <w:r>
        <w:rPr>
          <w:rFonts w:hint="eastAsia"/>
          <w:lang w:val="en-US" w:eastAsia="zh-CN"/>
        </w:rPr>
        <w:t>安全检查记录</w:t>
      </w:r>
      <w:r>
        <w:tab/>
      </w:r>
      <w:r>
        <w:t>109</w:t>
      </w:r>
    </w:p>
    <w:p>
      <w:pPr>
        <w:pStyle w:val="30"/>
        <w:tabs>
          <w:tab w:val="right" w:leader="dot" w:pos="8306"/>
        </w:tabs>
      </w:pPr>
      <w:r>
        <w:rPr>
          <w:rFonts w:hint="default" w:ascii="黑体" w:hAnsi="黑体" w:eastAsia="黑体" w:cs="黑体"/>
          <w:szCs w:val="32"/>
          <w:lang w:val="en-US" w:eastAsia="zh-CN"/>
        </w:rPr>
        <w:t xml:space="preserve">10. </w:t>
      </w:r>
      <w:r>
        <w:rPr>
          <w:rFonts w:hint="eastAsia"/>
          <w:lang w:val="en-US" w:eastAsia="zh-CN"/>
        </w:rPr>
        <w:t>安全培训记录</w:t>
      </w:r>
      <w:r>
        <w:tab/>
      </w:r>
      <w:r>
        <w:t>111</w:t>
      </w:r>
    </w:p>
    <w:p>
      <w:pPr>
        <w:pStyle w:val="30"/>
        <w:tabs>
          <w:tab w:val="right" w:leader="dot" w:pos="8306"/>
        </w:tabs>
      </w:pPr>
      <w:r>
        <w:rPr>
          <w:rFonts w:hint="default" w:ascii="黑体" w:hAnsi="黑体" w:eastAsia="黑体" w:cs="黑体"/>
          <w:szCs w:val="32"/>
          <w:lang w:val="en-US" w:eastAsia="zh-CN"/>
        </w:rPr>
        <w:t xml:space="preserve">11. </w:t>
      </w:r>
      <w:r>
        <w:rPr>
          <w:rFonts w:hint="eastAsia"/>
          <w:lang w:val="en-US" w:eastAsia="zh-CN"/>
        </w:rPr>
        <w:t>安全承诺书</w:t>
      </w:r>
      <w:r>
        <w:tab/>
      </w:r>
      <w:r>
        <w:t>113</w:t>
      </w:r>
    </w:p>
    <w:p>
      <w:pPr>
        <w:pStyle w:val="30"/>
        <w:tabs>
          <w:tab w:val="right" w:leader="dot" w:pos="8306"/>
        </w:tabs>
      </w:pPr>
      <w:r>
        <w:rPr>
          <w:rFonts w:hint="default" w:ascii="黑体" w:hAnsi="黑体" w:eastAsia="黑体" w:cs="黑体"/>
          <w:szCs w:val="32"/>
          <w:lang w:val="en-US" w:eastAsia="zh-CN"/>
        </w:rPr>
        <w:t xml:space="preserve">12. </w:t>
      </w:r>
      <w:r>
        <w:rPr>
          <w:rFonts w:hint="eastAsia"/>
          <w:lang w:val="en-US" w:eastAsia="zh-CN"/>
        </w:rPr>
        <w:t>工伤保险缴纳证明</w:t>
      </w:r>
      <w:r>
        <w:tab/>
      </w:r>
      <w:r>
        <w:t>114</w:t>
      </w:r>
    </w:p>
    <w:p>
      <w:pPr>
        <w:pStyle w:val="30"/>
        <w:tabs>
          <w:tab w:val="right" w:leader="dot" w:pos="8306"/>
        </w:tabs>
      </w:pPr>
      <w:r>
        <w:rPr>
          <w:rFonts w:hint="default" w:ascii="黑体" w:hAnsi="黑体" w:eastAsia="黑体" w:cs="黑体"/>
          <w:szCs w:val="32"/>
          <w:lang w:val="en-US" w:eastAsia="zh-CN"/>
        </w:rPr>
        <w:t xml:space="preserve">13. </w:t>
      </w:r>
      <w:r>
        <w:rPr>
          <w:rFonts w:hint="eastAsia"/>
          <w:lang w:val="en-US" w:eastAsia="zh-CN"/>
        </w:rPr>
        <w:t>房屋租赁合同</w:t>
      </w:r>
      <w:r>
        <w:tab/>
      </w:r>
      <w:r>
        <w:t>115</w:t>
      </w:r>
    </w:p>
    <w:p>
      <w:pPr>
        <w:pStyle w:val="30"/>
        <w:tabs>
          <w:tab w:val="right" w:leader="dot" w:pos="8306"/>
        </w:tabs>
      </w:pPr>
      <w:r>
        <w:rPr>
          <w:rFonts w:hint="default" w:ascii="黑体" w:hAnsi="黑体" w:eastAsia="黑体" w:cs="黑体"/>
          <w:szCs w:val="32"/>
          <w:lang w:val="en-US" w:eastAsia="zh-CN"/>
        </w:rPr>
        <w:t xml:space="preserve">14. </w:t>
      </w:r>
      <w:r>
        <w:rPr>
          <w:rFonts w:hint="eastAsia"/>
          <w:lang w:val="en-US" w:eastAsia="zh-CN"/>
        </w:rPr>
        <w:t>供电系统运行维护合同</w:t>
      </w:r>
      <w:r>
        <w:tab/>
      </w:r>
      <w:r>
        <w:t>119</w:t>
      </w:r>
    </w:p>
    <w:p>
      <w:pPr>
        <w:pStyle w:val="30"/>
        <w:tabs>
          <w:tab w:val="right" w:leader="dot" w:pos="8306"/>
        </w:tabs>
      </w:pPr>
      <w:r>
        <w:rPr>
          <w:rFonts w:hint="default" w:ascii="黑体" w:hAnsi="黑体" w:eastAsia="黑体" w:cs="黑体"/>
          <w:kern w:val="2"/>
          <w:szCs w:val="32"/>
          <w:lang w:val="en-US" w:eastAsia="zh-CN" w:bidi="ar-SA"/>
        </w:rPr>
        <w:t xml:space="preserve">15. </w:t>
      </w:r>
      <w:r>
        <w:rPr>
          <w:rFonts w:hint="eastAsia" w:cs="黑体"/>
          <w:kern w:val="2"/>
          <w:szCs w:val="32"/>
          <w:lang w:val="en-US" w:eastAsia="zh-CN" w:bidi="ar-SA"/>
        </w:rPr>
        <w:t>项目总平面布置图</w:t>
      </w:r>
      <w:r>
        <w:tab/>
      </w:r>
      <w:r>
        <w:t>122</w:t>
      </w:r>
    </w:p>
    <w:p>
      <w:pPr>
        <w:rPr>
          <w:rFonts w:hint="eastAsia"/>
          <w:lang w:val="en-US" w:eastAsia="zh-CN"/>
        </w:rPr>
      </w:pPr>
    </w:p>
    <w:p>
      <w:pPr>
        <w:rPr>
          <w:rFonts w:hint="eastAsia"/>
          <w:lang w:val="en-US" w:eastAsia="zh-CN"/>
        </w:rPr>
      </w:pPr>
    </w:p>
    <w:p>
      <w:pPr>
        <w:rPr>
          <w:rFonts w:hint="default"/>
          <w:lang w:val="en-US"/>
        </w:rPr>
      </w:pPr>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Toshiba MFP Font A">
    <w:panose1 w:val="020B0604020202020204"/>
    <w:charset w:val="00"/>
    <w:family w:val="auto"/>
    <w:pitch w:val="default"/>
    <w:sig w:usb0="00007A87" w:usb1="80000000" w:usb2="00000008"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snapToGrid w:val="0"/>
      <w:spacing w:line="360" w:lineRule="auto"/>
      <w:ind w:firstLine="360" w:firstLineChars="200"/>
      <w:jc w:val="left"/>
      <w:rPr>
        <w:rFonts w:ascii="Calibri" w:hAnsi="Calibri" w:eastAsia="宋体" w:cs="Times New Roman"/>
        <w:kern w:val="2"/>
        <w:sz w:val="18"/>
        <w:szCs w:val="20"/>
        <w:lang w:val="en-US" w:eastAsia="zh-CN" w:bidi="ar-SA"/>
      </w:rPr>
    </w:pPr>
    <w:r>
      <w:rPr>
        <w:rFonts w:ascii="Calibri" w:hAnsi="Calibri" w:eastAsia="宋体" w:cs="Times New Roman"/>
        <w:kern w:val="2"/>
        <w:sz w:val="18"/>
        <w:szCs w:val="20"/>
        <w:lang w:val="en-US" w:eastAsia="zh-CN" w:bidi="ar-SA"/>
      </w:rPr>
      <w:fldChar w:fldCharType="begin"/>
    </w:r>
    <w:r>
      <w:rPr>
        <w:rFonts w:ascii="Calibri" w:hAnsi="Calibri" w:eastAsia="宋体" w:cs="Times New Roman"/>
        <w:kern w:val="2"/>
        <w:sz w:val="21"/>
        <w:szCs w:val="24"/>
        <w:lang w:val="en-US" w:eastAsia="zh-CN" w:bidi="ar-SA"/>
      </w:rPr>
      <w:instrText xml:space="preserve">PAGE  </w:instrText>
    </w:r>
    <w:r>
      <w:rPr>
        <w:rFonts w:ascii="Calibri" w:hAnsi="Calibri" w:eastAsia="宋体" w:cs="Times New Roman"/>
        <w:kern w:val="2"/>
        <w:sz w:val="18"/>
        <w:szCs w:val="20"/>
        <w:lang w:val="en-US" w:eastAsia="zh-CN" w:bidi="ar-SA"/>
      </w:rPr>
      <w:fldChar w:fldCharType="separate"/>
    </w:r>
    <w:r>
      <w:rPr>
        <w:rFonts w:ascii="Calibri" w:hAnsi="Calibri" w:eastAsia="宋体" w:cs="Times New Roman"/>
        <w:kern w:val="2"/>
        <w:sz w:val="21"/>
        <w:szCs w:val="24"/>
        <w:lang w:val="en-US" w:eastAsia="zh-CN" w:bidi="ar-SA"/>
      </w:rPr>
      <w:t>1</w:t>
    </w:r>
    <w:r>
      <w:rPr>
        <w:rFonts w:ascii="Calibri" w:hAnsi="Calibri" w:eastAsia="宋体" w:cs="Times New Roman"/>
        <w:kern w:val="2"/>
        <w:sz w:val="18"/>
        <w:szCs w:val="20"/>
        <w:lang w:val="en-US" w:eastAsia="zh-CN" w:bidi="ar-SA"/>
      </w:rPr>
      <w:fldChar w:fldCharType="end"/>
    </w:r>
  </w:p>
  <w:p>
    <w:pPr>
      <w:widowControl w:val="0"/>
      <w:snapToGrid w:val="0"/>
      <w:spacing w:line="360" w:lineRule="auto"/>
      <w:ind w:right="360" w:firstLine="360" w:firstLineChars="200"/>
      <w:jc w:val="left"/>
      <w:rPr>
        <w:rFonts w:ascii="Calibri" w:hAnsi="Calibri" w:eastAsia="宋体" w:cs="Times New Roman"/>
        <w:kern w:val="2"/>
        <w:sz w:val="18"/>
        <w:szCs w:val="20"/>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rPr>
        <w:rFonts w:hint="eastAsia" w:eastAsia="宋体"/>
        <w:lang w:eastAsia="zh-CN"/>
      </w:rPr>
    </w:pPr>
    <w:r>
      <w:rPr>
        <w:rFonts w:hint="eastAsia"/>
        <w:sz w:val="21"/>
        <w:szCs w:val="21"/>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rPr>
        <w:rFonts w:hint="eastAsia" w:eastAsia="宋体"/>
        <w:lang w:eastAsia="zh-CN"/>
      </w:rPr>
    </w:pPr>
    <w:r>
      <w:rPr>
        <w:sz w:val="21"/>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25"/>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1</w:t>
                    </w:r>
                    <w:r>
                      <w:rPr>
                        <w:rFonts w:hint="eastAsia" w:ascii="宋体" w:hAnsi="宋体" w:eastAsia="宋体" w:cs="宋体"/>
                        <w:sz w:val="21"/>
                        <w:szCs w:val="21"/>
                      </w:rPr>
                      <w:fldChar w:fldCharType="end"/>
                    </w:r>
                  </w:p>
                </w:txbxContent>
              </v:textbox>
            </v:shape>
          </w:pict>
        </mc:Fallback>
      </mc:AlternateContent>
    </w:r>
    <w:r>
      <w:rPr>
        <w:sz w:val="21"/>
        <w:szCs w:val="21"/>
      </w:rPr>
      <w:t>昭通市鼎安科技有限公司</w:t>
    </w:r>
    <w:r>
      <w:rPr>
        <w:rFonts w:hint="eastAsia"/>
        <w:sz w:val="21"/>
        <w:szCs w:val="21"/>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360"/>
      <w:rPr>
        <w:rFonts w:hint="eastAsia" w:eastAsia="宋体"/>
        <w:lang w:eastAsia="zh-CN"/>
      </w:rPr>
    </w:pPr>
    <w:r>
      <w:rPr>
        <w:sz w:val="21"/>
      </w:rPr>
      <mc:AlternateContent>
        <mc:Choice Requires="wps">
          <w:drawing>
            <wp:anchor distT="0" distB="0" distL="114300" distR="114300" simplePos="0" relativeHeight="251662336" behindDoc="0" locked="0" layoutInCell="1" allowOverlap="1">
              <wp:simplePos x="0" y="0"/>
              <wp:positionH relativeFrom="margin">
                <wp:posOffset>2503805</wp:posOffset>
              </wp:positionH>
              <wp:positionV relativeFrom="paragraph">
                <wp:posOffset>0</wp:posOffset>
              </wp:positionV>
              <wp:extent cx="626110" cy="32385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626110" cy="3238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7.15pt;margin-top:0pt;height:25.5pt;width:49.3pt;mso-position-horizontal-relative:margin;z-index:251662336;mso-width-relative:page;mso-height-relative:page;" filled="f" stroked="f" coordsize="21600,21600" o:gfxdata="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fG4CHNYAAAAHAQAADwAAAAAAAAABACAAAAAiAAAAZHJzL2Rvd25yZXYu&#10;eG1sUEsBAhQAFAAAAAgAh07iQMnM4kk2AgAAYwQAAA4AAAAAAAAAAQAgAAAAJQEAAGRycy9lMm9E&#10;b2MueG1sUEsFBgAAAAAGAAYAWQEAAM0FAAAAAA==&#10;">
              <v:fill on="f" focussize="0,0"/>
              <v:stroke on="f" weight="0.5pt"/>
              <v:imagedata o:title=""/>
              <o:lock v:ext="edit" aspectratio="f"/>
              <v:textbox inset="0mm,0mm,0mm,0mm">
                <w:txbxContent>
                  <w:p>
                    <w:pPr>
                      <w:pStyle w:val="25"/>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  \* MERGEFORMAT </w:instrText>
                    </w:r>
                    <w:r>
                      <w:rPr>
                        <w:rFonts w:hint="eastAsia" w:ascii="宋体" w:hAnsi="宋体" w:eastAsia="宋体" w:cs="宋体"/>
                        <w:sz w:val="21"/>
                        <w:szCs w:val="21"/>
                      </w:rPr>
                      <w:fldChar w:fldCharType="separate"/>
                    </w:r>
                    <w:r>
                      <w:rPr>
                        <w:rFonts w:hint="eastAsia" w:ascii="宋体" w:hAnsi="宋体" w:eastAsia="宋体" w:cs="宋体"/>
                        <w:sz w:val="21"/>
                        <w:szCs w:val="21"/>
                      </w:rPr>
                      <w:t>3</w:t>
                    </w:r>
                    <w:r>
                      <w:rPr>
                        <w:rFonts w:hint="eastAsia" w:ascii="宋体" w:hAnsi="宋体" w:eastAsia="宋体" w:cs="宋体"/>
                        <w:sz w:val="21"/>
                        <w:szCs w:val="21"/>
                      </w:rPr>
                      <w:fldChar w:fldCharType="end"/>
                    </w:r>
                  </w:p>
                </w:txbxContent>
              </v:textbox>
            </v:shape>
          </w:pict>
        </mc:Fallback>
      </mc:AlternateContent>
    </w:r>
    <w:r>
      <w:rPr>
        <w:sz w:val="21"/>
        <w:szCs w:val="21"/>
      </w:rPr>
      <w:t>昭通市鼎安科技有限公司</w:t>
    </w:r>
    <w:r>
      <w:rPr>
        <w:rFonts w:hint="eastAsia"/>
        <w:sz w:val="21"/>
        <w:szCs w:val="21"/>
        <w:lang w:eastAsia="zh-CN"/>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s>
      <w:snapToGrid w:val="0"/>
      <w:spacing w:line="240" w:lineRule="auto"/>
      <w:ind w:firstLine="0" w:firstLineChars="0"/>
      <w:rPr>
        <w:sz w:val="21"/>
        <w:szCs w:val="21"/>
      </w:rPr>
    </w:pPr>
    <w:r>
      <w:rPr>
        <w:sz w:val="21"/>
      </w:rPr>
      <mc:AlternateContent>
        <mc:Choice Requires="wps">
          <w:drawing>
            <wp:anchor distT="0" distB="0" distL="114300" distR="114300" simplePos="0" relativeHeight="251669504" behindDoc="0" locked="0" layoutInCell="1" allowOverlap="1">
              <wp:simplePos x="0" y="0"/>
              <wp:positionH relativeFrom="margin">
                <wp:posOffset>2608580</wp:posOffset>
              </wp:positionH>
              <wp:positionV relativeFrom="paragraph">
                <wp:posOffset>-153670</wp:posOffset>
              </wp:positionV>
              <wp:extent cx="1828800" cy="32448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3244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ind w:left="0" w:leftChars="0" w:right="0" w:rightChars="0" w:firstLine="0" w:firstLineChars="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i</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5.4pt;margin-top:-12.1pt;height:25.55pt;width:144pt;mso-position-horizontal-relative:margin;mso-wrap-style:none;z-index:251669504;mso-width-relative:page;mso-height-relative:page;" filled="f" stroked="f" coordsize="21600,21600" o:gfxdata="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">
              <v:fill on="f" focussize="0,0"/>
              <v:stroke on="f" weight="0.5pt"/>
              <v:imagedata o:title=""/>
              <o:lock v:ext="edit" aspectratio="f"/>
              <v:textbox inset="0mm,0mm,0mm,0mm">
                <w:txbxContent>
                  <w:p>
                    <w:pPr>
                      <w:pStyle w:val="25"/>
                      <w:ind w:left="0" w:leftChars="0" w:right="0" w:rightChars="0" w:firstLine="0" w:firstLineChars="0"/>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i</w:t>
                    </w:r>
                    <w:r>
                      <w:rPr>
                        <w:sz w:val="21"/>
                        <w:szCs w:val="21"/>
                      </w:rPr>
                      <w:fldChar w:fldCharType="end"/>
                    </w:r>
                  </w:p>
                </w:txbxContent>
              </v:textbox>
            </v:shape>
          </w:pict>
        </mc:Fallback>
      </mc:AlternateContent>
    </w:r>
    <w:r>
      <w:rPr>
        <w:sz w:val="21"/>
        <w:szCs w:val="21"/>
      </w:rPr>
      <w:t>昭通市鼎安科技有限公司</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s>
      <w:snapToGrid w:val="0"/>
      <w:spacing w:line="240" w:lineRule="auto"/>
      <w:ind w:firstLine="0" w:firstLineChars="0"/>
      <w:rPr>
        <w:sz w:val="21"/>
        <w:szCs w:val="21"/>
      </w:rPr>
    </w:pPr>
    <w:r>
      <w:rPr>
        <w:sz w:val="21"/>
      </w:rPr>
      <mc:AlternateContent>
        <mc:Choice Requires="wps">
          <w:drawing>
            <wp:anchor distT="0" distB="0" distL="114300" distR="114300" simplePos="0" relativeHeight="251666432" behindDoc="0" locked="0" layoutInCell="1" allowOverlap="1">
              <wp:simplePos x="0" y="0"/>
              <wp:positionH relativeFrom="margin">
                <wp:posOffset>2319655</wp:posOffset>
              </wp:positionH>
              <wp:positionV relativeFrom="paragraph">
                <wp:posOffset>-105410</wp:posOffset>
              </wp:positionV>
              <wp:extent cx="635000" cy="390525"/>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63500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82.65pt;margin-top:-8.3pt;height:30.75pt;width:50pt;mso-position-horizontal-relative:margin;z-index:251666432;mso-width-relative:page;mso-height-relative:page;" filled="f" stroked="f" coordsize="21600,21600" o:gfxdata="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qv5anXAAAACgEAAA8AAAAAAAAAAQAgAAAAIgAAAGRycy9kb3ducmV2&#10;LnhtbFBLAQIUABQAAAAIAIdO4kBqEe9RNgIAAGMEAAAOAAAAAAAAAAEAIAAAACYBAABkcnMvZTJv&#10;RG9jLnhtbFBLBQYAAAAABgAGAFkBAADOBQAAAAA=&#10;">
              <v:fill on="f" focussize="0,0"/>
              <v:stroke on="f" weight="0.5pt"/>
              <v:imagedata o:title=""/>
              <o:lock v:ext="edit" aspectratio="f"/>
              <v:textbox inset="0mm,0mm,0mm,0mm">
                <w:txbxContent>
                  <w:p>
                    <w:pPr>
                      <w:pStyle w:val="2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w:rPr>
        <w:sz w:val="21"/>
        <w:szCs w:val="21"/>
      </w:rPr>
      <w:t>昭通市鼎安科技有限公司</w:t>
    </w:r>
    <w:r>
      <w:rPr>
        <w:rFonts w:ascii="宋体" w:hAnsi="宋体" w:eastAsia="宋体" w:cs="Times New Roman"/>
        <w:kern w:val="2"/>
        <w:sz w:val="18"/>
        <w:szCs w:val="18"/>
        <w:lang w:val="en-US" w:eastAsia="zh-CN" w:bidi="ar-S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759460" cy="182880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759460" cy="1828800"/>
                      </a:xfrm>
                      <a:prstGeom prst="rect">
                        <a:avLst/>
                      </a:prstGeom>
                      <a:noFill/>
                      <a:ln>
                        <a:noFill/>
                      </a:ln>
                    </wps:spPr>
                    <wps:txbx>
                      <w:txbxContent>
                        <w:p>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wps:txbx>
                    <wps:bodyPr wrap="square" lIns="0" tIns="0" rIns="0" bIns="0" upright="0">
                      <a:spAutoFit/>
                    </wps:bodyPr>
                  </wps:wsp>
                </a:graphicData>
              </a:graphic>
            </wp:anchor>
          </w:drawing>
        </mc:Choice>
        <mc:Fallback>
          <w:pict>
            <v:shape id="_x0000_s1026" o:spid="_x0000_s1026" o:spt="202" type="#_x0000_t202" style="position:absolute;left:0pt;margin-top:0pt;height:144pt;width:59.8pt;mso-position-horizontal:center;mso-position-horizontal-relative:margin;z-index:251665408;mso-width-relative:page;mso-height-relative:page;" filled="f" stroked="f" coordsize="21600,21600" o:gfxdata="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&#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JnED4DTAAAABQEAAA8AAAAAAAAAAQAgAAAAIgAAAGRy&#10;cy9kb3ducmV2LnhtbFBLAQIUABQAAAAIAIdO4kCz+bcb0QEAAJwDAAAOAAAAAAAAAAEAIAAAACIB&#10;AABkcnMvZTJvRG9jLnhtbFBLBQYAAAAABgAGAFkBAABlBQAAAAA=&#10;">
              <v:fill on="f" focussize="0,0"/>
              <v:stroke on="f"/>
              <v:imagedata o:title=""/>
              <o:lock v:ext="edit" aspectratio="f"/>
              <v:textbox inset="0mm,0mm,0mm,0mm" style="mso-fit-shape-to-text:t;">
                <w:txbxContent>
                  <w:p>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s>
      <w:snapToGrid w:val="0"/>
      <w:spacing w:line="240" w:lineRule="auto"/>
      <w:ind w:firstLine="0" w:firstLineChars="0"/>
      <w:rPr>
        <w:sz w:val="21"/>
        <w:szCs w:val="21"/>
      </w:rPr>
    </w:pPr>
    <w:r>
      <w:rPr>
        <w:sz w:val="21"/>
      </w:rPr>
      <mc:AlternateContent>
        <mc:Choice Requires="wps">
          <w:drawing>
            <wp:anchor distT="0" distB="0" distL="114300" distR="114300" simplePos="0" relativeHeight="251667456" behindDoc="0" locked="0" layoutInCell="1" allowOverlap="1">
              <wp:simplePos x="0" y="0"/>
              <wp:positionH relativeFrom="margin">
                <wp:posOffset>2291080</wp:posOffset>
              </wp:positionH>
              <wp:positionV relativeFrom="paragraph">
                <wp:posOffset>-151130</wp:posOffset>
              </wp:positionV>
              <wp:extent cx="692150" cy="47625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692150" cy="4762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t xml:space="preserve">第 </w:t>
                          </w:r>
                          <w:r>
                            <w:fldChar w:fldCharType="begin"/>
                          </w:r>
                          <w:r>
                            <w:instrText xml:space="preserve"> PAGE  \* MERGEFORMAT </w:instrText>
                          </w:r>
                          <w:r>
                            <w:fldChar w:fldCharType="separate"/>
                          </w:r>
                          <w:r>
                            <w:t>13</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80.4pt;margin-top:-11.9pt;height:37.5pt;width:54.5pt;mso-position-horizontal-relative:margin;z-index:251667456;mso-width-relative:page;mso-height-relative:page;" filled="f" stroked="f" coordsize="21600,21600" o:gfxdata="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7W7Sv2QAAAAoBAAAPAAAAAAAAAAEAIAAAACIAAABkcnMvZG93bnJl&#10;di54bWxQSwECFAAUAAAACACHTuJAzxjsMzUCAABjBAAADgAAAAAAAAABACAAAAAoAQAAZHJzL2Uy&#10;b0RvYy54bWxQSwUGAAAAAAYABgBZAQAAzwUAAAAA&#10;">
              <v:fill on="f" focussize="0,0"/>
              <v:stroke on="f" weight="0.5pt"/>
              <v:imagedata o:title=""/>
              <o:lock v:ext="edit" aspectratio="f"/>
              <v:textbox inset="0mm,0mm,0mm,0mm">
                <w:txbxContent>
                  <w:p>
                    <w:pPr>
                      <w:pStyle w:val="25"/>
                    </w:pPr>
                    <w:r>
                      <w:t xml:space="preserve">第 </w:t>
                    </w:r>
                    <w:r>
                      <w:fldChar w:fldCharType="begin"/>
                    </w:r>
                    <w:r>
                      <w:instrText xml:space="preserve"> PAGE  \* MERGEFORMAT </w:instrText>
                    </w:r>
                    <w:r>
                      <w:fldChar w:fldCharType="separate"/>
                    </w:r>
                    <w:r>
                      <w:t>13</w:t>
                    </w:r>
                    <w:r>
                      <w:fldChar w:fldCharType="end"/>
                    </w:r>
                    <w:r>
                      <w:t xml:space="preserve"> 页</w:t>
                    </w:r>
                  </w:p>
                </w:txbxContent>
              </v:textbox>
            </v:shape>
          </w:pict>
        </mc:Fallback>
      </mc:AlternateContent>
    </w:r>
    <w:r>
      <w:rPr>
        <w:sz w:val="21"/>
        <w:szCs w:val="21"/>
      </w:rPr>
      <w:t>昭通市鼎安科技有限公司</w:t>
    </w:r>
    <w:r>
      <w:rPr>
        <w:rFonts w:ascii="宋体" w:hAnsi="宋体" w:eastAsia="宋体" w:cs="Times New Roman"/>
        <w:kern w:val="2"/>
        <w:sz w:val="18"/>
        <w:szCs w:val="18"/>
        <w:lang w:val="en-US" w:eastAsia="zh-CN"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75946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759460" cy="1828800"/>
                      </a:xfrm>
                      <a:prstGeom prst="rect">
                        <a:avLst/>
                      </a:prstGeom>
                      <a:noFill/>
                      <a:ln>
                        <a:noFill/>
                      </a:ln>
                    </wps:spPr>
                    <wps:txbx>
                      <w:txbxContent>
                        <w:p>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wps:txbx>
                    <wps:bodyPr wrap="square" lIns="0" tIns="0" rIns="0" bIns="0" upright="0">
                      <a:spAutoFit/>
                    </wps:bodyPr>
                  </wps:wsp>
                </a:graphicData>
              </a:graphic>
            </wp:anchor>
          </w:drawing>
        </mc:Choice>
        <mc:Fallback>
          <w:pict>
            <v:shape id="_x0000_s1026" o:spid="_x0000_s1026" o:spt="202" type="#_x0000_t202" style="position:absolute;left:0pt;margin-top:0pt;height:144pt;width:59.8pt;mso-position-horizontal:center;mso-position-horizontal-relative:margin;z-index:251664384;mso-width-relative:page;mso-height-relative:page;" filled="f" stroked="f" coordsize="21600,21600" o:gfxdata="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ZxA+A0wAAAAUBAAAPAAAAAAAAAAEAIAAAACIAAABk&#10;cnMvZG93bnJldi54bWxQSwECFAAUAAAACACHTuJAnvIRDNIBAACcAwAADgAAAAAAAAABACAAAAAi&#10;AQAAZHJzL2Uyb0RvYy54bWxQSwUGAAAAAAYABgBZAQAAZgUAAAAA&#10;">
              <v:fill on="f" focussize="0,0"/>
              <v:stroke on="f"/>
              <v:imagedata o:title=""/>
              <o:lock v:ext="edit" aspectratio="f"/>
              <v:textbox inset="0mm,0mm,0mm,0mm" style="mso-fit-shape-to-text:t;">
                <w:txbxContent>
                  <w:p>
                    <w:pPr>
                      <w:widowControl w:val="0"/>
                      <w:snapToGrid w:val="0"/>
                      <w:spacing w:line="360" w:lineRule="auto"/>
                      <w:ind w:firstLine="360" w:firstLineChars="200"/>
                      <w:jc w:val="left"/>
                      <w:rPr>
                        <w:rFonts w:hint="eastAsia" w:ascii="Times New Roman" w:hAnsi="Times New Roman" w:eastAsia="宋体" w:cs="Times New Roman"/>
                        <w:kern w:val="2"/>
                        <w:sz w:val="18"/>
                        <w:szCs w:val="18"/>
                        <w:lang w:val="en-US" w:eastAsia="zh-CN" w:bidi="ar-SA"/>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240" w:lineRule="auto"/>
      <w:ind w:firstLine="0" w:firstLineChars="0"/>
      <w:jc w:val="center"/>
      <w:rPr>
        <w:rFonts w:ascii="Calibri" w:hAnsi="Calibri" w:eastAsia="宋体" w:cs="Times New Roman"/>
        <w:sz w:val="21"/>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adjustRightInd w:val="0"/>
      <w:snapToGrid w:val="0"/>
      <w:spacing w:before="120" w:after="120" w:line="360" w:lineRule="auto"/>
      <w:ind w:firstLine="360" w:firstLineChars="200"/>
      <w:jc w:val="center"/>
      <w:rPr>
        <w:rFonts w:ascii="Calibri" w:hAnsi="Calibri" w:eastAsia="楷体_GB2312" w:cs="Times New Roman"/>
        <w:kern w:val="0"/>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tabs>
        <w:tab w:val="center" w:pos="4153"/>
        <w:tab w:val="right" w:pos="8306"/>
      </w:tabs>
      <w:snapToGrid w:val="0"/>
      <w:spacing w:line="500" w:lineRule="exact"/>
      <w:ind w:firstLine="360" w:firstLineChars="200"/>
      <w:jc w:val="center"/>
      <w:rPr>
        <w:rFonts w:ascii="Times New Roman" w:hAnsi="Times New Roman"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pBdr>
        <w:bottom w:val="thinThickSmallGap" w:color="auto" w:sz="12" w:space="0"/>
      </w:pBdr>
      <w:kinsoku/>
      <w:overflowPunct/>
      <w:topLinePunct w:val="0"/>
      <w:autoSpaceDE/>
      <w:autoSpaceDN/>
      <w:bidi w:val="0"/>
      <w:spacing w:line="360" w:lineRule="auto"/>
      <w:ind w:firstLine="0" w:firstLineChars="0"/>
      <w:jc w:val="center"/>
      <w:textAlignment w:val="auto"/>
      <w:outlineLvl w:val="9"/>
      <w:rPr>
        <w:rFonts w:hint="eastAsia" w:ascii="宋体" w:hAnsi="宋体" w:eastAsia="宋体" w:cs="宋体"/>
        <w:b w:val="0"/>
        <w:bCs/>
        <w:sz w:val="21"/>
        <w:szCs w:val="21"/>
      </w:rPr>
    </w:pPr>
    <w:r>
      <w:rPr>
        <w:rFonts w:hint="eastAsia" w:ascii="宋体" w:hAnsi="宋体" w:eastAsia="宋体" w:cs="宋体"/>
        <w:b w:val="0"/>
        <w:bCs/>
        <w:sz w:val="21"/>
        <w:szCs w:val="21"/>
      </w:rPr>
      <w:t>玉溪玉象包装材料有限公司</w:t>
    </w:r>
    <w:r>
      <w:rPr>
        <w:rFonts w:hint="eastAsia" w:ascii="宋体" w:hAnsi="宋体" w:eastAsia="宋体" w:cs="宋体"/>
        <w:b w:val="0"/>
        <w:bCs/>
        <w:kern w:val="0"/>
        <w:sz w:val="21"/>
        <w:szCs w:val="21"/>
      </w:rPr>
      <w:t>安全现状评价报告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5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4531F8"/>
    <w:multiLevelType w:val="singleLevel"/>
    <w:tmpl w:val="824531F8"/>
    <w:lvl w:ilvl="0" w:tentative="0">
      <w:start w:val="1"/>
      <w:numFmt w:val="decimal"/>
      <w:lvlText w:val="%1)"/>
      <w:lvlJc w:val="left"/>
      <w:pPr>
        <w:ind w:left="425" w:hanging="425"/>
      </w:pPr>
      <w:rPr>
        <w:rFonts w:hint="default"/>
      </w:rPr>
    </w:lvl>
  </w:abstractNum>
  <w:abstractNum w:abstractNumId="1">
    <w:nsid w:val="8994443E"/>
    <w:multiLevelType w:val="singleLevel"/>
    <w:tmpl w:val="8994443E"/>
    <w:lvl w:ilvl="0" w:tentative="0">
      <w:start w:val="1"/>
      <w:numFmt w:val="decimal"/>
      <w:lvlText w:val="%1)"/>
      <w:lvlJc w:val="left"/>
      <w:pPr>
        <w:ind w:left="425" w:hanging="425"/>
      </w:pPr>
      <w:rPr>
        <w:rFonts w:hint="default"/>
      </w:rPr>
    </w:lvl>
  </w:abstractNum>
  <w:abstractNum w:abstractNumId="2">
    <w:nsid w:val="8BE27940"/>
    <w:multiLevelType w:val="singleLevel"/>
    <w:tmpl w:val="8BE27940"/>
    <w:lvl w:ilvl="0" w:tentative="0">
      <w:start w:val="1"/>
      <w:numFmt w:val="decimal"/>
      <w:lvlText w:val="%1)"/>
      <w:lvlJc w:val="left"/>
      <w:pPr>
        <w:ind w:left="425" w:hanging="425"/>
      </w:pPr>
      <w:rPr>
        <w:rFonts w:hint="default"/>
      </w:rPr>
    </w:lvl>
  </w:abstractNum>
  <w:abstractNum w:abstractNumId="3">
    <w:nsid w:val="91F291DE"/>
    <w:multiLevelType w:val="singleLevel"/>
    <w:tmpl w:val="91F291DE"/>
    <w:lvl w:ilvl="0" w:tentative="0">
      <w:start w:val="1"/>
      <w:numFmt w:val="decimal"/>
      <w:suff w:val="nothing"/>
      <w:lvlText w:val="%1．"/>
      <w:lvlJc w:val="left"/>
      <w:pPr>
        <w:ind w:left="0" w:firstLine="400"/>
      </w:pPr>
      <w:rPr>
        <w:rFonts w:hint="default"/>
      </w:rPr>
    </w:lvl>
  </w:abstractNum>
  <w:abstractNum w:abstractNumId="4">
    <w:nsid w:val="9E424F40"/>
    <w:multiLevelType w:val="singleLevel"/>
    <w:tmpl w:val="9E424F40"/>
    <w:lvl w:ilvl="0" w:tentative="0">
      <w:start w:val="1"/>
      <w:numFmt w:val="decimal"/>
      <w:suff w:val="space"/>
      <w:lvlText w:val="(%1)"/>
      <w:lvlJc w:val="left"/>
      <w:pPr>
        <w:ind w:left="425" w:hanging="425"/>
      </w:pPr>
      <w:rPr>
        <w:rFonts w:hint="default"/>
      </w:rPr>
    </w:lvl>
  </w:abstractNum>
  <w:abstractNum w:abstractNumId="5">
    <w:nsid w:val="ABCBEAFD"/>
    <w:multiLevelType w:val="singleLevel"/>
    <w:tmpl w:val="ABCBEAFD"/>
    <w:lvl w:ilvl="0" w:tentative="0">
      <w:start w:val="1"/>
      <w:numFmt w:val="decimal"/>
      <w:lvlText w:val="%1)"/>
      <w:lvlJc w:val="left"/>
      <w:pPr>
        <w:ind w:left="425" w:hanging="425"/>
      </w:pPr>
      <w:rPr>
        <w:rFonts w:hint="default"/>
      </w:rPr>
    </w:lvl>
  </w:abstractNum>
  <w:abstractNum w:abstractNumId="6">
    <w:nsid w:val="ABE8F550"/>
    <w:multiLevelType w:val="singleLevel"/>
    <w:tmpl w:val="ABE8F550"/>
    <w:lvl w:ilvl="0" w:tentative="0">
      <w:start w:val="1"/>
      <w:numFmt w:val="decimal"/>
      <w:suff w:val="space"/>
      <w:lvlText w:val="(%1)"/>
      <w:lvlJc w:val="left"/>
      <w:pPr>
        <w:ind w:left="425" w:hanging="425"/>
      </w:pPr>
      <w:rPr>
        <w:rFonts w:hint="default"/>
      </w:rPr>
    </w:lvl>
  </w:abstractNum>
  <w:abstractNum w:abstractNumId="7">
    <w:nsid w:val="B414A339"/>
    <w:multiLevelType w:val="multilevel"/>
    <w:tmpl w:val="B414A339"/>
    <w:lvl w:ilvl="0" w:tentative="0">
      <w:start w:val="1"/>
      <w:numFmt w:val="decimal"/>
      <w:lvlText w:val="%1."/>
      <w:lvlJc w:val="left"/>
      <w:pPr>
        <w:tabs>
          <w:tab w:val="left" w:pos="980"/>
        </w:tabs>
        <w:ind w:left="980" w:hanging="420"/>
      </w:pPr>
      <w:rPr>
        <w:rFonts w:hint="eastAsia"/>
      </w:rPr>
    </w:lvl>
    <w:lvl w:ilvl="1" w:tentative="0">
      <w:start w:val="1"/>
      <w:numFmt w:val="lowerLetter"/>
      <w:lvlText w:val="%2)"/>
      <w:lvlJc w:val="left"/>
      <w:pPr>
        <w:tabs>
          <w:tab w:val="left" w:pos="1400"/>
        </w:tabs>
        <w:ind w:left="1400" w:hanging="420"/>
      </w:pPr>
      <w:rPr>
        <w:rFonts w:hint="eastAsia"/>
      </w:rPr>
    </w:lvl>
    <w:lvl w:ilvl="2" w:tentative="0">
      <w:start w:val="1"/>
      <w:numFmt w:val="lowerRoman"/>
      <w:lvlText w:val="%3."/>
      <w:lvlJc w:val="right"/>
      <w:pPr>
        <w:tabs>
          <w:tab w:val="left" w:pos="1820"/>
        </w:tabs>
        <w:ind w:left="1820" w:hanging="420"/>
      </w:pPr>
      <w:rPr>
        <w:rFonts w:hint="eastAsia"/>
      </w:rPr>
    </w:lvl>
    <w:lvl w:ilvl="3" w:tentative="0">
      <w:start w:val="1"/>
      <w:numFmt w:val="decimal"/>
      <w:suff w:val="space"/>
      <w:lvlText w:val="%4."/>
      <w:lvlJc w:val="left"/>
      <w:pPr>
        <w:ind w:left="0" w:firstLine="0"/>
      </w:pPr>
      <w:rPr>
        <w:rFonts w:hint="eastAsia"/>
      </w:rPr>
    </w:lvl>
    <w:lvl w:ilvl="4" w:tentative="0">
      <w:start w:val="1"/>
      <w:numFmt w:val="lowerLetter"/>
      <w:lvlText w:val="%5)"/>
      <w:lvlJc w:val="left"/>
      <w:pPr>
        <w:tabs>
          <w:tab w:val="left" w:pos="2660"/>
        </w:tabs>
        <w:ind w:left="2660" w:hanging="420"/>
      </w:pPr>
      <w:rPr>
        <w:rFonts w:hint="eastAsia"/>
      </w:rPr>
    </w:lvl>
    <w:lvl w:ilvl="5" w:tentative="0">
      <w:start w:val="1"/>
      <w:numFmt w:val="lowerRoman"/>
      <w:lvlText w:val="%6."/>
      <w:lvlJc w:val="right"/>
      <w:pPr>
        <w:tabs>
          <w:tab w:val="left" w:pos="3080"/>
        </w:tabs>
        <w:ind w:left="3080" w:hanging="420"/>
      </w:pPr>
      <w:rPr>
        <w:rFonts w:hint="eastAsia"/>
      </w:rPr>
    </w:lvl>
    <w:lvl w:ilvl="6" w:tentative="0">
      <w:start w:val="1"/>
      <w:numFmt w:val="decimal"/>
      <w:lvlText w:val="%7."/>
      <w:lvlJc w:val="left"/>
      <w:pPr>
        <w:tabs>
          <w:tab w:val="left" w:pos="3500"/>
        </w:tabs>
        <w:ind w:left="3500" w:hanging="420"/>
      </w:pPr>
      <w:rPr>
        <w:rFonts w:hint="eastAsia"/>
      </w:rPr>
    </w:lvl>
    <w:lvl w:ilvl="7" w:tentative="0">
      <w:start w:val="1"/>
      <w:numFmt w:val="lowerLetter"/>
      <w:lvlText w:val="%8)"/>
      <w:lvlJc w:val="left"/>
      <w:pPr>
        <w:tabs>
          <w:tab w:val="left" w:pos="3920"/>
        </w:tabs>
        <w:ind w:left="3920" w:hanging="420"/>
      </w:pPr>
      <w:rPr>
        <w:rFonts w:hint="eastAsia"/>
      </w:rPr>
    </w:lvl>
    <w:lvl w:ilvl="8" w:tentative="0">
      <w:start w:val="1"/>
      <w:numFmt w:val="lowerRoman"/>
      <w:lvlText w:val="%9."/>
      <w:lvlJc w:val="right"/>
      <w:pPr>
        <w:tabs>
          <w:tab w:val="left" w:pos="4340"/>
        </w:tabs>
        <w:ind w:left="4340" w:hanging="420"/>
      </w:pPr>
      <w:rPr>
        <w:rFonts w:hint="eastAsia"/>
      </w:rPr>
    </w:lvl>
  </w:abstractNum>
  <w:abstractNum w:abstractNumId="8">
    <w:nsid w:val="C6C0DB08"/>
    <w:multiLevelType w:val="singleLevel"/>
    <w:tmpl w:val="C6C0DB08"/>
    <w:lvl w:ilvl="0" w:tentative="0">
      <w:start w:val="1"/>
      <w:numFmt w:val="decimal"/>
      <w:suff w:val="nothing"/>
      <w:lvlText w:val="%1．"/>
      <w:lvlJc w:val="left"/>
      <w:pPr>
        <w:ind w:left="0" w:firstLine="400"/>
      </w:pPr>
      <w:rPr>
        <w:rFonts w:hint="default"/>
      </w:rPr>
    </w:lvl>
  </w:abstractNum>
  <w:abstractNum w:abstractNumId="9">
    <w:nsid w:val="CB11F051"/>
    <w:multiLevelType w:val="singleLevel"/>
    <w:tmpl w:val="CB11F051"/>
    <w:lvl w:ilvl="0" w:tentative="0">
      <w:start w:val="1"/>
      <w:numFmt w:val="decimal"/>
      <w:suff w:val="nothing"/>
      <w:lvlText w:val="%1．"/>
      <w:lvlJc w:val="left"/>
      <w:pPr>
        <w:ind w:left="0" w:firstLine="400"/>
      </w:pPr>
      <w:rPr>
        <w:rFonts w:hint="default"/>
      </w:rPr>
    </w:lvl>
  </w:abstractNum>
  <w:abstractNum w:abstractNumId="10">
    <w:nsid w:val="DFE98135"/>
    <w:multiLevelType w:val="singleLevel"/>
    <w:tmpl w:val="DFE98135"/>
    <w:lvl w:ilvl="0" w:tentative="0">
      <w:start w:val="1"/>
      <w:numFmt w:val="decimal"/>
      <w:suff w:val="space"/>
      <w:lvlText w:val="(%1)"/>
      <w:lvlJc w:val="left"/>
      <w:pPr>
        <w:ind w:left="425" w:hanging="425"/>
      </w:pPr>
      <w:rPr>
        <w:rFonts w:hint="default"/>
      </w:rPr>
    </w:lvl>
  </w:abstractNum>
  <w:abstractNum w:abstractNumId="11">
    <w:nsid w:val="E6F095FB"/>
    <w:multiLevelType w:val="multilevel"/>
    <w:tmpl w:val="E6F095FB"/>
    <w:lvl w:ilvl="0" w:tentative="0">
      <w:start w:val="1"/>
      <w:numFmt w:val="decimal"/>
      <w:lvlText w:val="%1."/>
      <w:lvlJc w:val="left"/>
      <w:pPr>
        <w:ind w:left="980" w:hanging="420"/>
      </w:pPr>
      <w:rPr>
        <w:rFonts w:hint="default" w:ascii="Times New Roman" w:hAnsi="Times New Roman" w:eastAsia="宋体"/>
        <w:b w:val="0"/>
        <w:i w:val="0"/>
        <w:sz w:val="28"/>
      </w:rPr>
    </w:lvl>
    <w:lvl w:ilvl="1" w:tentative="0">
      <w:start w:val="1"/>
      <w:numFmt w:val="decimal"/>
      <w:lvlText w:val="%2."/>
      <w:lvlJc w:val="left"/>
      <w:pPr>
        <w:ind w:left="1400" w:hanging="420"/>
      </w:pPr>
      <w:rPr>
        <w:rFonts w:hint="eastAsia"/>
      </w:rPr>
    </w:lvl>
    <w:lvl w:ilvl="2" w:tentative="0">
      <w:start w:val="1"/>
      <w:numFmt w:val="lowerRoman"/>
      <w:lvlText w:val="%3."/>
      <w:lvlJc w:val="right"/>
      <w:pPr>
        <w:ind w:left="1820" w:hanging="420"/>
      </w:pPr>
    </w:lvl>
    <w:lvl w:ilvl="3" w:tentative="0">
      <w:start w:val="1"/>
      <w:numFmt w:val="decimal"/>
      <w:suff w:val="space"/>
      <w:lvlText w:val="%4."/>
      <w:lvlJc w:val="left"/>
      <w:pPr>
        <w:ind w:left="0" w:firstLine="0"/>
      </w:pPr>
      <w:rPr>
        <w:rFonts w:hint="eastAsia"/>
      </w:r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2">
    <w:nsid w:val="EB00B4F4"/>
    <w:multiLevelType w:val="singleLevel"/>
    <w:tmpl w:val="EB00B4F4"/>
    <w:lvl w:ilvl="0" w:tentative="0">
      <w:start w:val="1"/>
      <w:numFmt w:val="decimal"/>
      <w:suff w:val="nothing"/>
      <w:lvlText w:val="%1．"/>
      <w:lvlJc w:val="left"/>
      <w:pPr>
        <w:ind w:left="0" w:firstLine="400"/>
      </w:pPr>
      <w:rPr>
        <w:rFonts w:hint="default"/>
      </w:rPr>
    </w:lvl>
  </w:abstractNum>
  <w:abstractNum w:abstractNumId="13">
    <w:nsid w:val="F491840C"/>
    <w:multiLevelType w:val="singleLevel"/>
    <w:tmpl w:val="F491840C"/>
    <w:lvl w:ilvl="0" w:tentative="0">
      <w:start w:val="1"/>
      <w:numFmt w:val="decimal"/>
      <w:lvlText w:val="%1)"/>
      <w:lvlJc w:val="left"/>
      <w:pPr>
        <w:ind w:left="425" w:hanging="425"/>
      </w:pPr>
      <w:rPr>
        <w:rFonts w:hint="default"/>
      </w:rPr>
    </w:lvl>
  </w:abstractNum>
  <w:abstractNum w:abstractNumId="14">
    <w:nsid w:val="F77C8EEC"/>
    <w:multiLevelType w:val="singleLevel"/>
    <w:tmpl w:val="F77C8EEC"/>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15">
    <w:nsid w:val="F93B8945"/>
    <w:multiLevelType w:val="singleLevel"/>
    <w:tmpl w:val="F93B8945"/>
    <w:lvl w:ilvl="0" w:tentative="0">
      <w:start w:val="1"/>
      <w:numFmt w:val="decimalEnclosedCircleChinese"/>
      <w:suff w:val="nothing"/>
      <w:lvlText w:val="%1　"/>
      <w:lvlJc w:val="left"/>
      <w:pPr>
        <w:ind w:left="0" w:firstLine="400"/>
      </w:pPr>
      <w:rPr>
        <w:rFonts w:hint="eastAsia"/>
      </w:rPr>
    </w:lvl>
  </w:abstractNum>
  <w:abstractNum w:abstractNumId="16">
    <w:nsid w:val="FE43A69F"/>
    <w:multiLevelType w:val="singleLevel"/>
    <w:tmpl w:val="FE43A69F"/>
    <w:lvl w:ilvl="0" w:tentative="0">
      <w:start w:val="1"/>
      <w:numFmt w:val="decimal"/>
      <w:lvlText w:val="%1)"/>
      <w:lvlJc w:val="left"/>
      <w:pPr>
        <w:ind w:left="425" w:hanging="425"/>
      </w:pPr>
      <w:rPr>
        <w:rFonts w:hint="default"/>
      </w:rPr>
    </w:lvl>
  </w:abstractNum>
  <w:abstractNum w:abstractNumId="17">
    <w:nsid w:val="00000002"/>
    <w:multiLevelType w:val="multilevel"/>
    <w:tmpl w:val="00000002"/>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8">
    <w:nsid w:val="00000016"/>
    <w:multiLevelType w:val="multilevel"/>
    <w:tmpl w:val="00000016"/>
    <w:lvl w:ilvl="0" w:tentative="0">
      <w:start w:val="1"/>
      <w:numFmt w:val="decimal"/>
      <w:suff w:val="nothing"/>
      <w:lvlText w:val="%1"/>
      <w:lvlJc w:val="center"/>
      <w:pPr>
        <w:ind w:left="0" w:firstLine="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9">
    <w:nsid w:val="00B14179"/>
    <w:multiLevelType w:val="multilevel"/>
    <w:tmpl w:val="00B14179"/>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D743B9F"/>
    <w:multiLevelType w:val="multilevel"/>
    <w:tmpl w:val="0D743B9F"/>
    <w:lvl w:ilvl="0" w:tentative="0">
      <w:start w:val="1"/>
      <w:numFmt w:val="decimal"/>
      <w:lvlText w:val="%1."/>
      <w:lvlJc w:val="left"/>
      <w:pPr>
        <w:tabs>
          <w:tab w:val="left" w:pos="980"/>
        </w:tabs>
        <w:ind w:left="980" w:hanging="420"/>
      </w:pPr>
      <w:rPr>
        <w:rFonts w:hint="eastAsia"/>
      </w:rPr>
    </w:lvl>
    <w:lvl w:ilvl="1" w:tentative="0">
      <w:start w:val="1"/>
      <w:numFmt w:val="lowerLetter"/>
      <w:lvlText w:val="%2)"/>
      <w:lvlJc w:val="left"/>
      <w:pPr>
        <w:tabs>
          <w:tab w:val="left" w:pos="1400"/>
        </w:tabs>
        <w:ind w:left="1400" w:hanging="420"/>
      </w:pPr>
      <w:rPr>
        <w:rFonts w:hint="eastAsia"/>
      </w:rPr>
    </w:lvl>
    <w:lvl w:ilvl="2" w:tentative="0">
      <w:start w:val="1"/>
      <w:numFmt w:val="lowerRoman"/>
      <w:lvlText w:val="%3."/>
      <w:lvlJc w:val="right"/>
      <w:pPr>
        <w:tabs>
          <w:tab w:val="left" w:pos="1820"/>
        </w:tabs>
        <w:ind w:left="1820" w:hanging="420"/>
      </w:pPr>
      <w:rPr>
        <w:rFonts w:hint="eastAsia"/>
      </w:rPr>
    </w:lvl>
    <w:lvl w:ilvl="3" w:tentative="0">
      <w:start w:val="1"/>
      <w:numFmt w:val="decimal"/>
      <w:suff w:val="nothing"/>
      <w:lvlText w:val="%4."/>
      <w:lvlJc w:val="left"/>
      <w:pPr>
        <w:ind w:left="0" w:firstLine="561"/>
      </w:pPr>
      <w:rPr>
        <w:rFonts w:hint="eastAsia"/>
      </w:rPr>
    </w:lvl>
    <w:lvl w:ilvl="4" w:tentative="0">
      <w:start w:val="1"/>
      <w:numFmt w:val="lowerLetter"/>
      <w:lvlText w:val="%5)"/>
      <w:lvlJc w:val="left"/>
      <w:pPr>
        <w:tabs>
          <w:tab w:val="left" w:pos="2660"/>
        </w:tabs>
        <w:ind w:left="2660" w:hanging="420"/>
      </w:pPr>
      <w:rPr>
        <w:rFonts w:hint="eastAsia"/>
      </w:rPr>
    </w:lvl>
    <w:lvl w:ilvl="5" w:tentative="0">
      <w:start w:val="1"/>
      <w:numFmt w:val="lowerRoman"/>
      <w:lvlText w:val="%6."/>
      <w:lvlJc w:val="right"/>
      <w:pPr>
        <w:tabs>
          <w:tab w:val="left" w:pos="3080"/>
        </w:tabs>
        <w:ind w:left="3080" w:hanging="420"/>
      </w:pPr>
      <w:rPr>
        <w:rFonts w:hint="eastAsia"/>
      </w:rPr>
    </w:lvl>
    <w:lvl w:ilvl="6" w:tentative="0">
      <w:start w:val="1"/>
      <w:numFmt w:val="decimal"/>
      <w:lvlText w:val="%7."/>
      <w:lvlJc w:val="left"/>
      <w:pPr>
        <w:tabs>
          <w:tab w:val="left" w:pos="3500"/>
        </w:tabs>
        <w:ind w:left="3500" w:hanging="420"/>
      </w:pPr>
      <w:rPr>
        <w:rFonts w:hint="eastAsia"/>
      </w:rPr>
    </w:lvl>
    <w:lvl w:ilvl="7" w:tentative="0">
      <w:start w:val="1"/>
      <w:numFmt w:val="lowerLetter"/>
      <w:lvlText w:val="%8)"/>
      <w:lvlJc w:val="left"/>
      <w:pPr>
        <w:tabs>
          <w:tab w:val="left" w:pos="3920"/>
        </w:tabs>
        <w:ind w:left="3920" w:hanging="420"/>
      </w:pPr>
      <w:rPr>
        <w:rFonts w:hint="eastAsia"/>
      </w:rPr>
    </w:lvl>
    <w:lvl w:ilvl="8" w:tentative="0">
      <w:start w:val="1"/>
      <w:numFmt w:val="lowerRoman"/>
      <w:lvlText w:val="%9."/>
      <w:lvlJc w:val="right"/>
      <w:pPr>
        <w:tabs>
          <w:tab w:val="left" w:pos="4340"/>
        </w:tabs>
        <w:ind w:left="4340" w:hanging="420"/>
      </w:pPr>
      <w:rPr>
        <w:rFonts w:hint="eastAsia"/>
      </w:rPr>
    </w:lvl>
  </w:abstractNum>
  <w:abstractNum w:abstractNumId="21">
    <w:nsid w:val="0FAB50BA"/>
    <w:multiLevelType w:val="multilevel"/>
    <w:tmpl w:val="0FAB50BA"/>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982" w:hanging="420"/>
      </w:pPr>
    </w:lvl>
    <w:lvl w:ilvl="2" w:tentative="0">
      <w:start w:val="1"/>
      <w:numFmt w:val="lowerRoman"/>
      <w:lvlText w:val="%3."/>
      <w:lvlJc w:val="right"/>
      <w:pPr>
        <w:ind w:left="1402" w:hanging="420"/>
      </w:pPr>
    </w:lvl>
    <w:lvl w:ilvl="3" w:tentative="0">
      <w:start w:val="1"/>
      <w:numFmt w:val="decimal"/>
      <w:lvlText w:val="%4."/>
      <w:lvlJc w:val="left"/>
      <w:pPr>
        <w:ind w:left="1822" w:hanging="420"/>
      </w:pPr>
    </w:lvl>
    <w:lvl w:ilvl="4" w:tentative="0">
      <w:start w:val="1"/>
      <w:numFmt w:val="lowerLetter"/>
      <w:lvlText w:val="%5)"/>
      <w:lvlJc w:val="left"/>
      <w:pPr>
        <w:ind w:left="2242" w:hanging="420"/>
      </w:pPr>
    </w:lvl>
    <w:lvl w:ilvl="5" w:tentative="0">
      <w:start w:val="1"/>
      <w:numFmt w:val="lowerRoman"/>
      <w:lvlText w:val="%6."/>
      <w:lvlJc w:val="right"/>
      <w:pPr>
        <w:ind w:left="2662" w:hanging="420"/>
      </w:pPr>
    </w:lvl>
    <w:lvl w:ilvl="6" w:tentative="0">
      <w:start w:val="1"/>
      <w:numFmt w:val="decimal"/>
      <w:lvlText w:val="%7."/>
      <w:lvlJc w:val="left"/>
      <w:pPr>
        <w:ind w:left="3082" w:hanging="420"/>
      </w:pPr>
    </w:lvl>
    <w:lvl w:ilvl="7" w:tentative="0">
      <w:start w:val="1"/>
      <w:numFmt w:val="lowerLetter"/>
      <w:lvlText w:val="%8)"/>
      <w:lvlJc w:val="left"/>
      <w:pPr>
        <w:ind w:left="3502" w:hanging="420"/>
      </w:pPr>
    </w:lvl>
    <w:lvl w:ilvl="8" w:tentative="0">
      <w:start w:val="1"/>
      <w:numFmt w:val="lowerRoman"/>
      <w:lvlText w:val="%9."/>
      <w:lvlJc w:val="right"/>
      <w:pPr>
        <w:ind w:left="3922" w:hanging="420"/>
      </w:pPr>
    </w:lvl>
  </w:abstractNum>
  <w:abstractNum w:abstractNumId="22">
    <w:nsid w:val="0FB36B44"/>
    <w:multiLevelType w:val="multilevel"/>
    <w:tmpl w:val="0FB36B44"/>
    <w:lvl w:ilvl="0" w:tentative="0">
      <w:start w:val="1"/>
      <w:numFmt w:val="decimal"/>
      <w:suff w:val="nothing"/>
      <w:lvlText w:val="%1"/>
      <w:lvlJc w:val="left"/>
      <w:pPr>
        <w:ind w:left="0" w:firstLine="0"/>
      </w:pPr>
      <w:rPr>
        <w:rFonts w:hint="default" w:ascii="Times New Roman" w:hAnsi="Times New Roman" w:cs="Times New Roman"/>
        <w:sz w:val="21"/>
        <w:szCs w:val="21"/>
      </w:rPr>
    </w:lvl>
    <w:lvl w:ilvl="1" w:tentative="0">
      <w:start w:val="1"/>
      <w:numFmt w:val="lowerLetter"/>
      <w:lvlText w:val="%2)"/>
      <w:lvlJc w:val="left"/>
      <w:pPr>
        <w:tabs>
          <w:tab w:val="left" w:pos="982"/>
        </w:tabs>
        <w:ind w:left="982" w:hanging="420"/>
      </w:pPr>
    </w:lvl>
    <w:lvl w:ilvl="2" w:tentative="0">
      <w:start w:val="1"/>
      <w:numFmt w:val="lowerRoman"/>
      <w:lvlText w:val="%3."/>
      <w:lvlJc w:val="right"/>
      <w:pPr>
        <w:tabs>
          <w:tab w:val="left" w:pos="1402"/>
        </w:tabs>
        <w:ind w:left="1402" w:hanging="420"/>
      </w:pPr>
    </w:lvl>
    <w:lvl w:ilvl="3" w:tentative="0">
      <w:start w:val="1"/>
      <w:numFmt w:val="decimal"/>
      <w:lvlText w:val="%4."/>
      <w:lvlJc w:val="left"/>
      <w:pPr>
        <w:tabs>
          <w:tab w:val="left" w:pos="1822"/>
        </w:tabs>
        <w:ind w:left="1822" w:hanging="420"/>
      </w:pPr>
    </w:lvl>
    <w:lvl w:ilvl="4" w:tentative="0">
      <w:start w:val="1"/>
      <w:numFmt w:val="lowerLetter"/>
      <w:lvlText w:val="%5)"/>
      <w:lvlJc w:val="left"/>
      <w:pPr>
        <w:tabs>
          <w:tab w:val="left" w:pos="2242"/>
        </w:tabs>
        <w:ind w:left="2242" w:hanging="420"/>
      </w:pPr>
    </w:lvl>
    <w:lvl w:ilvl="5" w:tentative="0">
      <w:start w:val="1"/>
      <w:numFmt w:val="lowerRoman"/>
      <w:lvlText w:val="%6."/>
      <w:lvlJc w:val="right"/>
      <w:pPr>
        <w:tabs>
          <w:tab w:val="left" w:pos="2662"/>
        </w:tabs>
        <w:ind w:left="2662" w:hanging="420"/>
      </w:pPr>
    </w:lvl>
    <w:lvl w:ilvl="6" w:tentative="0">
      <w:start w:val="1"/>
      <w:numFmt w:val="decimal"/>
      <w:lvlText w:val="%7."/>
      <w:lvlJc w:val="left"/>
      <w:pPr>
        <w:tabs>
          <w:tab w:val="left" w:pos="3082"/>
        </w:tabs>
        <w:ind w:left="3082" w:hanging="420"/>
      </w:pPr>
    </w:lvl>
    <w:lvl w:ilvl="7" w:tentative="0">
      <w:start w:val="1"/>
      <w:numFmt w:val="lowerLetter"/>
      <w:lvlText w:val="%8)"/>
      <w:lvlJc w:val="left"/>
      <w:pPr>
        <w:tabs>
          <w:tab w:val="left" w:pos="3502"/>
        </w:tabs>
        <w:ind w:left="3502" w:hanging="420"/>
      </w:pPr>
    </w:lvl>
    <w:lvl w:ilvl="8" w:tentative="0">
      <w:start w:val="1"/>
      <w:numFmt w:val="lowerRoman"/>
      <w:lvlText w:val="%9."/>
      <w:lvlJc w:val="right"/>
      <w:pPr>
        <w:tabs>
          <w:tab w:val="left" w:pos="3922"/>
        </w:tabs>
        <w:ind w:left="3922" w:hanging="420"/>
      </w:pPr>
    </w:lvl>
  </w:abstractNum>
  <w:abstractNum w:abstractNumId="23">
    <w:nsid w:val="1157650B"/>
    <w:multiLevelType w:val="multilevel"/>
    <w:tmpl w:val="1157650B"/>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27D6F6C"/>
    <w:multiLevelType w:val="multilevel"/>
    <w:tmpl w:val="127D6F6C"/>
    <w:lvl w:ilvl="0" w:tentative="0">
      <w:start w:val="1"/>
      <w:numFmt w:val="decimal"/>
      <w:suff w:val="nothing"/>
      <w:lvlText w:val="%1"/>
      <w:lvlJc w:val="left"/>
      <w:pPr>
        <w:ind w:left="0" w:firstLine="0"/>
      </w:pPr>
      <w:rPr>
        <w:rFonts w:hint="default" w:ascii="Times New Roman" w:hAnsi="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15EDE5B4"/>
    <w:multiLevelType w:val="singleLevel"/>
    <w:tmpl w:val="15EDE5B4"/>
    <w:lvl w:ilvl="0" w:tentative="0">
      <w:start w:val="1"/>
      <w:numFmt w:val="decimal"/>
      <w:suff w:val="nothing"/>
      <w:lvlText w:val="%1．"/>
      <w:lvlJc w:val="left"/>
      <w:pPr>
        <w:ind w:left="0" w:firstLine="400"/>
      </w:pPr>
      <w:rPr>
        <w:rFonts w:hint="default"/>
      </w:rPr>
    </w:lvl>
  </w:abstractNum>
  <w:abstractNum w:abstractNumId="26">
    <w:nsid w:val="16E27E2C"/>
    <w:multiLevelType w:val="multilevel"/>
    <w:tmpl w:val="16E27E2C"/>
    <w:lvl w:ilvl="0" w:tentative="0">
      <w:start w:val="1"/>
      <w:numFmt w:val="decimal"/>
      <w:lvlText w:val="%1."/>
      <w:lvlJc w:val="left"/>
      <w:pPr>
        <w:tabs>
          <w:tab w:val="left" w:pos="980"/>
        </w:tabs>
        <w:ind w:left="980" w:hanging="420"/>
      </w:pPr>
      <w:rPr>
        <w:rFonts w:hint="eastAsia"/>
      </w:rPr>
    </w:lvl>
    <w:lvl w:ilvl="1" w:tentative="0">
      <w:start w:val="1"/>
      <w:numFmt w:val="lowerLetter"/>
      <w:lvlText w:val="%2)"/>
      <w:lvlJc w:val="left"/>
      <w:pPr>
        <w:tabs>
          <w:tab w:val="left" w:pos="1400"/>
        </w:tabs>
        <w:ind w:left="1400" w:hanging="420"/>
      </w:pPr>
      <w:rPr>
        <w:rFonts w:hint="eastAsia"/>
      </w:rPr>
    </w:lvl>
    <w:lvl w:ilvl="2" w:tentative="0">
      <w:start w:val="1"/>
      <w:numFmt w:val="lowerRoman"/>
      <w:lvlText w:val="%3."/>
      <w:lvlJc w:val="right"/>
      <w:pPr>
        <w:tabs>
          <w:tab w:val="left" w:pos="1820"/>
        </w:tabs>
        <w:ind w:left="1820" w:hanging="420"/>
      </w:pPr>
      <w:rPr>
        <w:rFonts w:hint="eastAsia"/>
      </w:rPr>
    </w:lvl>
    <w:lvl w:ilvl="3" w:tentative="0">
      <w:start w:val="1"/>
      <w:numFmt w:val="decimal"/>
      <w:suff w:val="nothing"/>
      <w:lvlText w:val="%4."/>
      <w:lvlJc w:val="left"/>
      <w:pPr>
        <w:ind w:left="0" w:firstLine="561"/>
      </w:pPr>
      <w:rPr>
        <w:rFonts w:hint="eastAsia"/>
      </w:rPr>
    </w:lvl>
    <w:lvl w:ilvl="4" w:tentative="0">
      <w:start w:val="1"/>
      <w:numFmt w:val="lowerLetter"/>
      <w:lvlText w:val="%5)"/>
      <w:lvlJc w:val="left"/>
      <w:pPr>
        <w:tabs>
          <w:tab w:val="left" w:pos="2660"/>
        </w:tabs>
        <w:ind w:left="2660" w:hanging="420"/>
      </w:pPr>
      <w:rPr>
        <w:rFonts w:hint="eastAsia"/>
      </w:rPr>
    </w:lvl>
    <w:lvl w:ilvl="5" w:tentative="0">
      <w:start w:val="1"/>
      <w:numFmt w:val="lowerRoman"/>
      <w:lvlText w:val="%6."/>
      <w:lvlJc w:val="right"/>
      <w:pPr>
        <w:tabs>
          <w:tab w:val="left" w:pos="3080"/>
        </w:tabs>
        <w:ind w:left="3080" w:hanging="420"/>
      </w:pPr>
      <w:rPr>
        <w:rFonts w:hint="eastAsia"/>
      </w:rPr>
    </w:lvl>
    <w:lvl w:ilvl="6" w:tentative="0">
      <w:start w:val="1"/>
      <w:numFmt w:val="decimal"/>
      <w:lvlText w:val="%7."/>
      <w:lvlJc w:val="left"/>
      <w:pPr>
        <w:tabs>
          <w:tab w:val="left" w:pos="3500"/>
        </w:tabs>
        <w:ind w:left="3500" w:hanging="420"/>
      </w:pPr>
      <w:rPr>
        <w:rFonts w:hint="eastAsia"/>
      </w:rPr>
    </w:lvl>
    <w:lvl w:ilvl="7" w:tentative="0">
      <w:start w:val="1"/>
      <w:numFmt w:val="lowerLetter"/>
      <w:lvlText w:val="%8)"/>
      <w:lvlJc w:val="left"/>
      <w:pPr>
        <w:tabs>
          <w:tab w:val="left" w:pos="3920"/>
        </w:tabs>
        <w:ind w:left="3920" w:hanging="420"/>
      </w:pPr>
      <w:rPr>
        <w:rFonts w:hint="eastAsia"/>
      </w:rPr>
    </w:lvl>
    <w:lvl w:ilvl="8" w:tentative="0">
      <w:start w:val="1"/>
      <w:numFmt w:val="lowerRoman"/>
      <w:lvlText w:val="%9."/>
      <w:lvlJc w:val="right"/>
      <w:pPr>
        <w:tabs>
          <w:tab w:val="left" w:pos="4340"/>
        </w:tabs>
        <w:ind w:left="4340" w:hanging="420"/>
      </w:pPr>
      <w:rPr>
        <w:rFonts w:hint="eastAsia"/>
      </w:rPr>
    </w:lvl>
  </w:abstractNum>
  <w:abstractNum w:abstractNumId="27">
    <w:nsid w:val="173338FD"/>
    <w:multiLevelType w:val="multilevel"/>
    <w:tmpl w:val="173338FD"/>
    <w:lvl w:ilvl="0" w:tentative="0">
      <w:start w:val="1"/>
      <w:numFmt w:val="decimal"/>
      <w:pStyle w:val="4"/>
      <w:suff w:val="space"/>
      <w:lvlText w:val="第%1章"/>
      <w:lvlJc w:val="center"/>
      <w:pPr>
        <w:ind w:left="0" w:firstLine="0"/>
      </w:pPr>
      <w:rPr>
        <w:rFonts w:hint="default" w:ascii="Times New Roman" w:hAnsi="Times New Roman" w:eastAsia="黑体"/>
        <w:b/>
        <w:i w:val="0"/>
        <w:sz w:val="44"/>
      </w:rPr>
    </w:lvl>
    <w:lvl w:ilvl="1" w:tentative="0">
      <w:start w:val="1"/>
      <w:numFmt w:val="decimal"/>
      <w:pStyle w:val="5"/>
      <w:suff w:val="space"/>
      <w:lvlText w:val="%1.%2"/>
      <w:lvlJc w:val="left"/>
      <w:pPr>
        <w:ind w:left="0" w:firstLine="0"/>
      </w:pPr>
      <w:rPr>
        <w:rFonts w:hint="default" w:ascii="Times New Roman" w:hAnsi="Times New Roman" w:eastAsia="黑体"/>
        <w:b/>
        <w:i w:val="0"/>
        <w:sz w:val="36"/>
      </w:rPr>
    </w:lvl>
    <w:lvl w:ilvl="2" w:tentative="0">
      <w:start w:val="1"/>
      <w:numFmt w:val="decimal"/>
      <w:pStyle w:val="6"/>
      <w:suff w:val="space"/>
      <w:lvlText w:val="%1.%2.%3"/>
      <w:lvlJc w:val="left"/>
      <w:pPr>
        <w:ind w:left="0" w:firstLine="0"/>
      </w:pPr>
      <w:rPr>
        <w:rFonts w:hint="default" w:ascii="Times New Roman" w:hAnsi="Times New Roman" w:eastAsia="黑体"/>
        <w:b/>
        <w:i w:val="0"/>
        <w:sz w:val="32"/>
      </w:rPr>
    </w:lvl>
    <w:lvl w:ilvl="3" w:tentative="0">
      <w:start w:val="1"/>
      <w:numFmt w:val="decimal"/>
      <w:pStyle w:val="7"/>
      <w:suff w:val="space"/>
      <w:lvlText w:val="%1.%2.%3.%4"/>
      <w:lvlJc w:val="left"/>
      <w:pPr>
        <w:ind w:left="0" w:firstLine="0"/>
      </w:p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8">
    <w:nsid w:val="252E1631"/>
    <w:multiLevelType w:val="multilevel"/>
    <w:tmpl w:val="252E163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suff w:val="nothing"/>
      <w:lvlText w:val="%7."/>
      <w:lvlJc w:val="left"/>
      <w:pPr>
        <w:ind w:left="0" w:firstLine="0"/>
      </w:pPr>
      <w:rPr>
        <w:rFonts w:hint="eastAsia"/>
      </w:r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9293BBB"/>
    <w:multiLevelType w:val="multilevel"/>
    <w:tmpl w:val="29293BBB"/>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A0A71A2"/>
    <w:multiLevelType w:val="multilevel"/>
    <w:tmpl w:val="2A0A71A2"/>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1400"/>
        </w:tabs>
        <w:ind w:left="1400" w:hanging="420"/>
      </w:pPr>
      <w:rPr>
        <w:rFonts w:hint="eastAsia"/>
      </w:rPr>
    </w:lvl>
    <w:lvl w:ilvl="2" w:tentative="0">
      <w:start w:val="1"/>
      <w:numFmt w:val="lowerRoman"/>
      <w:lvlText w:val="%3."/>
      <w:lvlJc w:val="right"/>
      <w:pPr>
        <w:tabs>
          <w:tab w:val="left" w:pos="1820"/>
        </w:tabs>
        <w:ind w:left="1820" w:hanging="420"/>
      </w:pPr>
      <w:rPr>
        <w:rFonts w:hint="eastAsia"/>
      </w:rPr>
    </w:lvl>
    <w:lvl w:ilvl="3" w:tentative="0">
      <w:start w:val="1"/>
      <w:numFmt w:val="decimal"/>
      <w:suff w:val="nothing"/>
      <w:lvlText w:val="%4."/>
      <w:lvlJc w:val="left"/>
      <w:pPr>
        <w:ind w:left="0" w:firstLine="561"/>
      </w:pPr>
      <w:rPr>
        <w:rFonts w:hint="eastAsia"/>
      </w:rPr>
    </w:lvl>
    <w:lvl w:ilvl="4" w:tentative="0">
      <w:start w:val="1"/>
      <w:numFmt w:val="lowerLetter"/>
      <w:lvlText w:val="%5)"/>
      <w:lvlJc w:val="left"/>
      <w:pPr>
        <w:tabs>
          <w:tab w:val="left" w:pos="2660"/>
        </w:tabs>
        <w:ind w:left="2660" w:hanging="420"/>
      </w:pPr>
      <w:rPr>
        <w:rFonts w:hint="eastAsia"/>
      </w:rPr>
    </w:lvl>
    <w:lvl w:ilvl="5" w:tentative="0">
      <w:start w:val="1"/>
      <w:numFmt w:val="lowerRoman"/>
      <w:lvlText w:val="%6."/>
      <w:lvlJc w:val="right"/>
      <w:pPr>
        <w:tabs>
          <w:tab w:val="left" w:pos="3080"/>
        </w:tabs>
        <w:ind w:left="3080" w:hanging="420"/>
      </w:pPr>
      <w:rPr>
        <w:rFonts w:hint="eastAsia"/>
      </w:rPr>
    </w:lvl>
    <w:lvl w:ilvl="6" w:tentative="0">
      <w:start w:val="1"/>
      <w:numFmt w:val="decimal"/>
      <w:lvlText w:val="%7."/>
      <w:lvlJc w:val="left"/>
      <w:pPr>
        <w:tabs>
          <w:tab w:val="left" w:pos="3500"/>
        </w:tabs>
        <w:ind w:left="3500" w:hanging="420"/>
      </w:pPr>
      <w:rPr>
        <w:rFonts w:hint="eastAsia"/>
      </w:rPr>
    </w:lvl>
    <w:lvl w:ilvl="7" w:tentative="0">
      <w:start w:val="1"/>
      <w:numFmt w:val="lowerLetter"/>
      <w:lvlText w:val="%8)"/>
      <w:lvlJc w:val="left"/>
      <w:pPr>
        <w:tabs>
          <w:tab w:val="left" w:pos="3920"/>
        </w:tabs>
        <w:ind w:left="3920" w:hanging="420"/>
      </w:pPr>
      <w:rPr>
        <w:rFonts w:hint="eastAsia"/>
      </w:rPr>
    </w:lvl>
    <w:lvl w:ilvl="8" w:tentative="0">
      <w:start w:val="1"/>
      <w:numFmt w:val="lowerRoman"/>
      <w:lvlText w:val="%9."/>
      <w:lvlJc w:val="right"/>
      <w:pPr>
        <w:tabs>
          <w:tab w:val="left" w:pos="4340"/>
        </w:tabs>
        <w:ind w:left="4340" w:hanging="420"/>
      </w:pPr>
      <w:rPr>
        <w:rFonts w:hint="eastAsia"/>
      </w:rPr>
    </w:lvl>
  </w:abstractNum>
  <w:abstractNum w:abstractNumId="31">
    <w:nsid w:val="2A745F02"/>
    <w:multiLevelType w:val="multilevel"/>
    <w:tmpl w:val="2A745F02"/>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2AEF4FAA"/>
    <w:multiLevelType w:val="multilevel"/>
    <w:tmpl w:val="2AEF4FAA"/>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2FF75742"/>
    <w:multiLevelType w:val="multilevel"/>
    <w:tmpl w:val="2FF75742"/>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937"/>
        </w:tabs>
        <w:ind w:left="937" w:hanging="420"/>
      </w:pPr>
    </w:lvl>
    <w:lvl w:ilvl="2" w:tentative="0">
      <w:start w:val="1"/>
      <w:numFmt w:val="lowerRoman"/>
      <w:lvlText w:val="%3."/>
      <w:lvlJc w:val="right"/>
      <w:pPr>
        <w:tabs>
          <w:tab w:val="left" w:pos="1357"/>
        </w:tabs>
        <w:ind w:left="1357" w:hanging="420"/>
      </w:pPr>
    </w:lvl>
    <w:lvl w:ilvl="3" w:tentative="0">
      <w:start w:val="1"/>
      <w:numFmt w:val="decimal"/>
      <w:lvlText w:val="%4."/>
      <w:lvlJc w:val="left"/>
      <w:pPr>
        <w:tabs>
          <w:tab w:val="left" w:pos="1777"/>
        </w:tabs>
        <w:ind w:left="1777" w:hanging="420"/>
      </w:pPr>
    </w:lvl>
    <w:lvl w:ilvl="4" w:tentative="0">
      <w:start w:val="1"/>
      <w:numFmt w:val="lowerLetter"/>
      <w:lvlText w:val="%5)"/>
      <w:lvlJc w:val="left"/>
      <w:pPr>
        <w:tabs>
          <w:tab w:val="left" w:pos="2197"/>
        </w:tabs>
        <w:ind w:left="2197" w:hanging="420"/>
      </w:pPr>
    </w:lvl>
    <w:lvl w:ilvl="5" w:tentative="0">
      <w:start w:val="1"/>
      <w:numFmt w:val="lowerRoman"/>
      <w:lvlText w:val="%6."/>
      <w:lvlJc w:val="right"/>
      <w:pPr>
        <w:tabs>
          <w:tab w:val="left" w:pos="2617"/>
        </w:tabs>
        <w:ind w:left="2617" w:hanging="420"/>
      </w:pPr>
    </w:lvl>
    <w:lvl w:ilvl="6" w:tentative="0">
      <w:start w:val="1"/>
      <w:numFmt w:val="decimal"/>
      <w:lvlText w:val="%7."/>
      <w:lvlJc w:val="left"/>
      <w:pPr>
        <w:tabs>
          <w:tab w:val="left" w:pos="3037"/>
        </w:tabs>
        <w:ind w:left="3037" w:hanging="420"/>
      </w:pPr>
    </w:lvl>
    <w:lvl w:ilvl="7" w:tentative="0">
      <w:start w:val="1"/>
      <w:numFmt w:val="lowerLetter"/>
      <w:lvlText w:val="%8)"/>
      <w:lvlJc w:val="left"/>
      <w:pPr>
        <w:tabs>
          <w:tab w:val="left" w:pos="3457"/>
        </w:tabs>
        <w:ind w:left="3457" w:hanging="420"/>
      </w:pPr>
    </w:lvl>
    <w:lvl w:ilvl="8" w:tentative="0">
      <w:start w:val="1"/>
      <w:numFmt w:val="lowerRoman"/>
      <w:lvlText w:val="%9."/>
      <w:lvlJc w:val="right"/>
      <w:pPr>
        <w:tabs>
          <w:tab w:val="left" w:pos="3877"/>
        </w:tabs>
        <w:ind w:left="3877" w:hanging="420"/>
      </w:pPr>
    </w:lvl>
  </w:abstractNum>
  <w:abstractNum w:abstractNumId="34">
    <w:nsid w:val="3260E20A"/>
    <w:multiLevelType w:val="singleLevel"/>
    <w:tmpl w:val="3260E20A"/>
    <w:lvl w:ilvl="0" w:tentative="0">
      <w:start w:val="1"/>
      <w:numFmt w:val="decimal"/>
      <w:lvlText w:val="%1)"/>
      <w:lvlJc w:val="left"/>
      <w:pPr>
        <w:ind w:left="425" w:hanging="425"/>
      </w:pPr>
      <w:rPr>
        <w:rFonts w:hint="default"/>
      </w:rPr>
    </w:lvl>
  </w:abstractNum>
  <w:abstractNum w:abstractNumId="35">
    <w:nsid w:val="3C9D0BCC"/>
    <w:multiLevelType w:val="multilevel"/>
    <w:tmpl w:val="3C9D0BCC"/>
    <w:lvl w:ilvl="0" w:tentative="0">
      <w:start w:val="1"/>
      <w:numFmt w:val="decimal"/>
      <w:suff w:val="space"/>
      <w:lvlText w:val="表3-%1"/>
      <w:lvlJc w:val="center"/>
      <w:pPr>
        <w:ind w:left="0" w:firstLine="0"/>
      </w:pPr>
      <w:rPr>
        <w:rFonts w:hint="default" w:ascii="Times New Roman" w:hAnsi="Times New Roman" w:eastAsia="宋体"/>
        <w:b w:val="0"/>
        <w:sz w:val="24"/>
      </w:rPr>
    </w:lvl>
    <w:lvl w:ilvl="1" w:tentative="0">
      <w:start w:val="1"/>
      <w:numFmt w:val="decimal"/>
      <w:lvlText w:val="%1.%2."/>
      <w:lvlJc w:val="left"/>
      <w:pPr>
        <w:tabs>
          <w:tab w:val="left" w:pos="567"/>
        </w:tabs>
        <w:ind w:left="567" w:hanging="567"/>
      </w:pPr>
      <w:rPr>
        <w:rFonts w:hint="eastAsia"/>
      </w:rPr>
    </w:lvl>
    <w:lvl w:ilvl="2" w:tentative="0">
      <w:start w:val="1"/>
      <w:numFmt w:val="decimal"/>
      <w:lvlText w:val="8.2.%3"/>
      <w:lvlJc w:val="left"/>
      <w:pPr>
        <w:tabs>
          <w:tab w:val="left" w:pos="709"/>
        </w:tabs>
        <w:ind w:left="709" w:hanging="709"/>
      </w:pPr>
      <w:rPr>
        <w:rFonts w:hint="eastAsia"/>
      </w:rPr>
    </w:lvl>
    <w:lvl w:ilvl="3" w:tentative="0">
      <w:start w:val="1"/>
      <w:numFmt w:val="decimal"/>
      <w:lvlText w:val="8.2.12.%4"/>
      <w:lvlJc w:val="left"/>
      <w:pPr>
        <w:tabs>
          <w:tab w:val="left" w:pos="851"/>
        </w:tabs>
        <w:ind w:left="851" w:hanging="851"/>
      </w:pPr>
      <w:rPr>
        <w:rFonts w:hint="eastAsia"/>
      </w:rPr>
    </w:lvl>
    <w:lvl w:ilvl="4" w:tentative="0">
      <w:start w:val="1"/>
      <w:numFmt w:val="decimal"/>
      <w:lvlText w:val="3.6.3.4.%5."/>
      <w:lvlJc w:val="left"/>
      <w:pPr>
        <w:tabs>
          <w:tab w:val="left" w:pos="992"/>
        </w:tabs>
        <w:ind w:left="992" w:hanging="992"/>
      </w:pPr>
      <w:rPr>
        <w:rFonts w:hint="eastAsia"/>
      </w:rPr>
    </w:lvl>
    <w:lvl w:ilvl="5" w:tentative="0">
      <w:start w:val="1"/>
      <w:numFmt w:val="none"/>
      <w:lvlText w:val="3.6.3.3.1.1"/>
      <w:lvlJc w:val="left"/>
      <w:pPr>
        <w:tabs>
          <w:tab w:val="left" w:pos="1134"/>
        </w:tabs>
        <w:ind w:left="1134" w:hanging="1134"/>
      </w:pPr>
      <w:rPr>
        <w:rFonts w:hint="eastAsia"/>
      </w:rPr>
    </w:lvl>
    <w:lvl w:ilvl="6" w:tentative="0">
      <w:start w:val="1"/>
      <w:numFmt w:val="decimal"/>
      <w:lvlText w:val="3.6.6.3.1.1.%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3D1766AC"/>
    <w:multiLevelType w:val="singleLevel"/>
    <w:tmpl w:val="3D1766AC"/>
    <w:lvl w:ilvl="0" w:tentative="0">
      <w:start w:val="1"/>
      <w:numFmt w:val="decimal"/>
      <w:suff w:val="space"/>
      <w:lvlText w:val="(%1)"/>
      <w:lvlJc w:val="left"/>
      <w:pPr>
        <w:ind w:left="425" w:hanging="425"/>
      </w:pPr>
      <w:rPr>
        <w:rFonts w:hint="default"/>
      </w:rPr>
    </w:lvl>
  </w:abstractNum>
  <w:abstractNum w:abstractNumId="37">
    <w:nsid w:val="40C4232A"/>
    <w:multiLevelType w:val="singleLevel"/>
    <w:tmpl w:val="40C4232A"/>
    <w:lvl w:ilvl="0" w:tentative="0">
      <w:start w:val="1"/>
      <w:numFmt w:val="decimal"/>
      <w:suff w:val="space"/>
      <w:lvlText w:val="(%1)"/>
      <w:lvlJc w:val="left"/>
      <w:pPr>
        <w:ind w:left="425" w:hanging="425"/>
      </w:pPr>
      <w:rPr>
        <w:rFonts w:hint="default"/>
      </w:rPr>
    </w:lvl>
  </w:abstractNum>
  <w:abstractNum w:abstractNumId="38">
    <w:nsid w:val="43F8477C"/>
    <w:multiLevelType w:val="multilevel"/>
    <w:tmpl w:val="43F8477C"/>
    <w:lvl w:ilvl="0" w:tentative="0">
      <w:start w:val="1"/>
      <w:numFmt w:val="decimal"/>
      <w:suff w:val="nothing"/>
      <w:lvlText w:val="表6-%1"/>
      <w:lvlJc w:val="center"/>
      <w:pPr>
        <w:ind w:left="0" w:firstLine="0"/>
      </w:pPr>
      <w:rPr>
        <w:rFonts w:hint="default" w:ascii="Times New Roman" w:hAnsi="Times New Roman" w:eastAsia="宋体"/>
        <w:b w:val="0"/>
        <w:i w:val="0"/>
        <w:sz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4A020569"/>
    <w:multiLevelType w:val="multilevel"/>
    <w:tmpl w:val="4A020569"/>
    <w:lvl w:ilvl="0" w:tentative="0">
      <w:start w:val="1"/>
      <w:numFmt w:val="decimal"/>
      <w:suff w:val="nothing"/>
      <w:lvlText w:val="%1."/>
      <w:lvlJc w:val="left"/>
      <w:pPr>
        <w:ind w:left="0" w:firstLine="0"/>
      </w:pPr>
      <w:rPr>
        <w:rFonts w:hint="default" w:ascii="Times New Roman" w:hAnsi="Times New Roman" w:cs="Times New Roman"/>
        <w:sz w:val="28"/>
        <w:szCs w:val="28"/>
      </w:rPr>
    </w:lvl>
    <w:lvl w:ilvl="1" w:tentative="0">
      <w:start w:val="1"/>
      <w:numFmt w:val="decimal"/>
      <w:lvlText w:val="%2）"/>
      <w:lvlJc w:val="left"/>
      <w:pPr>
        <w:ind w:left="1140" w:hanging="720"/>
      </w:pPr>
      <w:rPr>
        <w:rFonts w:hint="default"/>
      </w:rPr>
    </w:lvl>
    <w:lvl w:ilvl="2" w:tentative="0">
      <w:start w:val="1"/>
      <w:numFmt w:val="decimal"/>
      <w:lvlText w:val="（%3）"/>
      <w:lvlJc w:val="left"/>
      <w:pPr>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4AA561FD"/>
    <w:multiLevelType w:val="multilevel"/>
    <w:tmpl w:val="4AA561FD"/>
    <w:lvl w:ilvl="0" w:tentative="0">
      <w:start w:val="1"/>
      <w:numFmt w:val="decimal"/>
      <w:lvlText w:val="%1."/>
      <w:lvlJc w:val="left"/>
      <w:pPr>
        <w:tabs>
          <w:tab w:val="left" w:pos="1960"/>
        </w:tabs>
        <w:ind w:left="1960" w:hanging="420"/>
      </w:pPr>
      <w:rPr>
        <w:rFonts w:hint="eastAsia"/>
        <w:sz w:val="28"/>
        <w:szCs w:val="28"/>
      </w:rPr>
    </w:lvl>
    <w:lvl w:ilvl="1" w:tentative="0">
      <w:start w:val="1"/>
      <w:numFmt w:val="decimal"/>
      <w:suff w:val="nothing"/>
      <w:lvlText w:val="%2."/>
      <w:lvlJc w:val="left"/>
      <w:pPr>
        <w:ind w:left="0" w:firstLine="0"/>
      </w:pPr>
      <w:rPr>
        <w:rFonts w:hint="eastAsia"/>
        <w:sz w:val="28"/>
        <w:szCs w:val="28"/>
      </w:rPr>
    </w:lvl>
    <w:lvl w:ilvl="2" w:tentative="0">
      <w:start w:val="1"/>
      <w:numFmt w:val="lowerRoman"/>
      <w:lvlText w:val="%3."/>
      <w:lvlJc w:val="right"/>
      <w:pPr>
        <w:tabs>
          <w:tab w:val="left" w:pos="1820"/>
        </w:tabs>
        <w:ind w:left="1820" w:hanging="420"/>
      </w:pPr>
      <w:rPr>
        <w:rFonts w:hint="eastAsia"/>
      </w:rPr>
    </w:lvl>
    <w:lvl w:ilvl="3" w:tentative="0">
      <w:start w:val="1"/>
      <w:numFmt w:val="decimal"/>
      <w:lvlText w:val="%4."/>
      <w:lvlJc w:val="left"/>
      <w:pPr>
        <w:tabs>
          <w:tab w:val="left" w:pos="2240"/>
        </w:tabs>
        <w:ind w:left="2240" w:hanging="420"/>
      </w:pPr>
      <w:rPr>
        <w:rFonts w:hint="eastAsia"/>
      </w:rPr>
    </w:lvl>
    <w:lvl w:ilvl="4" w:tentative="0">
      <w:start w:val="1"/>
      <w:numFmt w:val="lowerLetter"/>
      <w:lvlText w:val="%5)"/>
      <w:lvlJc w:val="left"/>
      <w:pPr>
        <w:tabs>
          <w:tab w:val="left" w:pos="2660"/>
        </w:tabs>
        <w:ind w:left="2660" w:hanging="420"/>
      </w:pPr>
      <w:rPr>
        <w:rFonts w:hint="eastAsia"/>
      </w:rPr>
    </w:lvl>
    <w:lvl w:ilvl="5" w:tentative="0">
      <w:start w:val="1"/>
      <w:numFmt w:val="lowerRoman"/>
      <w:lvlText w:val="%6."/>
      <w:lvlJc w:val="right"/>
      <w:pPr>
        <w:tabs>
          <w:tab w:val="left" w:pos="3080"/>
        </w:tabs>
        <w:ind w:left="3080" w:hanging="420"/>
      </w:pPr>
      <w:rPr>
        <w:rFonts w:hint="eastAsia"/>
      </w:rPr>
    </w:lvl>
    <w:lvl w:ilvl="6" w:tentative="0">
      <w:start w:val="1"/>
      <w:numFmt w:val="decimal"/>
      <w:lvlText w:val="%7."/>
      <w:lvlJc w:val="left"/>
      <w:pPr>
        <w:tabs>
          <w:tab w:val="left" w:pos="3500"/>
        </w:tabs>
        <w:ind w:left="3500" w:hanging="420"/>
      </w:pPr>
      <w:rPr>
        <w:rFonts w:hint="eastAsia"/>
      </w:rPr>
    </w:lvl>
    <w:lvl w:ilvl="7" w:tentative="0">
      <w:start w:val="1"/>
      <w:numFmt w:val="lowerLetter"/>
      <w:lvlText w:val="%8)"/>
      <w:lvlJc w:val="left"/>
      <w:pPr>
        <w:tabs>
          <w:tab w:val="left" w:pos="3920"/>
        </w:tabs>
        <w:ind w:left="3920" w:hanging="420"/>
      </w:pPr>
      <w:rPr>
        <w:rFonts w:hint="eastAsia"/>
      </w:rPr>
    </w:lvl>
    <w:lvl w:ilvl="8" w:tentative="0">
      <w:start w:val="1"/>
      <w:numFmt w:val="lowerRoman"/>
      <w:lvlText w:val="%9."/>
      <w:lvlJc w:val="right"/>
      <w:pPr>
        <w:tabs>
          <w:tab w:val="left" w:pos="4340"/>
        </w:tabs>
        <w:ind w:left="4340" w:hanging="420"/>
      </w:pPr>
      <w:rPr>
        <w:rFonts w:hint="eastAsia"/>
      </w:rPr>
    </w:lvl>
  </w:abstractNum>
  <w:abstractNum w:abstractNumId="41">
    <w:nsid w:val="4ACB6F19"/>
    <w:multiLevelType w:val="singleLevel"/>
    <w:tmpl w:val="4ACB6F19"/>
    <w:lvl w:ilvl="0" w:tentative="0">
      <w:start w:val="1"/>
      <w:numFmt w:val="decimal"/>
      <w:lvlText w:val="%1)"/>
      <w:lvlJc w:val="left"/>
      <w:pPr>
        <w:ind w:left="425" w:hanging="425"/>
      </w:pPr>
      <w:rPr>
        <w:rFonts w:hint="default"/>
      </w:rPr>
    </w:lvl>
  </w:abstractNum>
  <w:abstractNum w:abstractNumId="42">
    <w:nsid w:val="4B166265"/>
    <w:multiLevelType w:val="multilevel"/>
    <w:tmpl w:val="4B166265"/>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4F5A7996"/>
    <w:multiLevelType w:val="multilevel"/>
    <w:tmpl w:val="4F5A7996"/>
    <w:lvl w:ilvl="0" w:tentative="0">
      <w:start w:val="1"/>
      <w:numFmt w:val="decimal"/>
      <w:suff w:val="space"/>
      <w:lvlText w:val="表5-%1"/>
      <w:lvlJc w:val="left"/>
      <w:pPr>
        <w:ind w:left="0" w:firstLine="0"/>
      </w:pPr>
      <w:rPr>
        <w:rFonts w:hint="default" w:ascii="Times New Roman" w:hAnsi="Times New Roman" w:eastAsia="宋体"/>
        <w:b/>
        <w:bCs/>
        <w:i w:val="0"/>
        <w:sz w:val="24"/>
        <w:szCs w:val="24"/>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56D609D0"/>
    <w:multiLevelType w:val="singleLevel"/>
    <w:tmpl w:val="56D609D0"/>
    <w:lvl w:ilvl="0" w:tentative="0">
      <w:start w:val="1"/>
      <w:numFmt w:val="decimalEnclosedCircleChinese"/>
      <w:suff w:val="nothing"/>
      <w:lvlText w:val="%1　"/>
      <w:lvlJc w:val="left"/>
      <w:pPr>
        <w:ind w:left="0" w:firstLine="400"/>
      </w:pPr>
      <w:rPr>
        <w:rFonts w:hint="eastAsia"/>
      </w:rPr>
    </w:lvl>
  </w:abstractNum>
  <w:abstractNum w:abstractNumId="45">
    <w:nsid w:val="5C072FCC"/>
    <w:multiLevelType w:val="multilevel"/>
    <w:tmpl w:val="5C072FC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decimal"/>
      <w:suff w:val="nothing"/>
      <w:lvlText w:val="%3."/>
      <w:lvlJc w:val="left"/>
      <w:pPr>
        <w:ind w:left="0" w:firstLine="0"/>
      </w:pPr>
      <w:rPr>
        <w:rFonts w:hint="eastAsia"/>
      </w:r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6">
    <w:nsid w:val="5C951967"/>
    <w:multiLevelType w:val="multilevel"/>
    <w:tmpl w:val="5C951967"/>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5F2E2B6E"/>
    <w:multiLevelType w:val="multilevel"/>
    <w:tmpl w:val="5F2E2B6E"/>
    <w:lvl w:ilvl="0" w:tentative="0">
      <w:start w:val="1"/>
      <w:numFmt w:val="decimal"/>
      <w:suff w:val="nothing"/>
      <w:lvlText w:val="%1"/>
      <w:lvlJc w:val="left"/>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5FF20BB5"/>
    <w:multiLevelType w:val="multilevel"/>
    <w:tmpl w:val="5FF20BB5"/>
    <w:lvl w:ilvl="0" w:tentative="0">
      <w:start w:val="1"/>
      <w:numFmt w:val="decimal"/>
      <w:suff w:val="space"/>
      <w:lvlText w:val="表4-%1"/>
      <w:lvlJc w:val="left"/>
      <w:pPr>
        <w:ind w:left="0" w:firstLine="0"/>
      </w:pPr>
      <w:rPr>
        <w:rFonts w:hint="default" w:ascii="Times New Roman" w:hAnsi="Times New Roman" w:eastAsia="宋体"/>
        <w:b w:val="0"/>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64293BCC"/>
    <w:multiLevelType w:val="multilevel"/>
    <w:tmpl w:val="64293BCC"/>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0">
    <w:nsid w:val="65855B19"/>
    <w:multiLevelType w:val="multilevel"/>
    <w:tmpl w:val="65855B19"/>
    <w:lvl w:ilvl="0" w:tentative="0">
      <w:start w:val="1"/>
      <w:numFmt w:val="decimal"/>
      <w:suff w:val="nothing"/>
      <w:lvlText w:val="%1"/>
      <w:lvlJc w:val="left"/>
      <w:pPr>
        <w:ind w:left="0" w:firstLine="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1">
    <w:nsid w:val="679C23DD"/>
    <w:multiLevelType w:val="multilevel"/>
    <w:tmpl w:val="679C23DD"/>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2">
    <w:nsid w:val="6BE6238A"/>
    <w:multiLevelType w:val="multilevel"/>
    <w:tmpl w:val="6BE6238A"/>
    <w:lvl w:ilvl="0" w:tentative="0">
      <w:start w:val="1"/>
      <w:numFmt w:val="decimal"/>
      <w:suff w:val="nothing"/>
      <w:lvlText w:val="%1"/>
      <w:lvlJc w:val="left"/>
      <w:pPr>
        <w:ind w:left="0" w:firstLine="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3">
    <w:nsid w:val="6C9A13E3"/>
    <w:multiLevelType w:val="multilevel"/>
    <w:tmpl w:val="6C9A13E3"/>
    <w:lvl w:ilvl="0" w:tentative="0">
      <w:start w:val="1"/>
      <w:numFmt w:val="decimal"/>
      <w:suff w:val="nothing"/>
      <w:lvlText w:val="%1"/>
      <w:lvlJc w:val="left"/>
      <w:pPr>
        <w:ind w:left="0" w:firstLine="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4">
    <w:nsid w:val="6D991996"/>
    <w:multiLevelType w:val="singleLevel"/>
    <w:tmpl w:val="6D991996"/>
    <w:lvl w:ilvl="0" w:tentative="0">
      <w:start w:val="1"/>
      <w:numFmt w:val="decimal"/>
      <w:lvlText w:val="%1)"/>
      <w:lvlJc w:val="left"/>
      <w:pPr>
        <w:ind w:left="425" w:hanging="425"/>
      </w:pPr>
      <w:rPr>
        <w:rFonts w:hint="default"/>
      </w:rPr>
    </w:lvl>
  </w:abstractNum>
  <w:abstractNum w:abstractNumId="55">
    <w:nsid w:val="6DAB14D0"/>
    <w:multiLevelType w:val="multilevel"/>
    <w:tmpl w:val="6DAB14D0"/>
    <w:lvl w:ilvl="0" w:tentative="0">
      <w:start w:val="1"/>
      <w:numFmt w:val="decimal"/>
      <w:suff w:val="space"/>
      <w:lvlText w:val="图2-%1"/>
      <w:lvlJc w:val="center"/>
      <w:pPr>
        <w:ind w:left="0" w:firstLine="0"/>
      </w:pPr>
      <w:rPr>
        <w:rFonts w:hint="default" w:ascii="Times New Roman" w:hAnsi="Times New Roman" w:eastAsia="宋体" w:cs="Times New Roman"/>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6">
    <w:nsid w:val="70746B1D"/>
    <w:multiLevelType w:val="multilevel"/>
    <w:tmpl w:val="70746B1D"/>
    <w:lvl w:ilvl="0" w:tentative="0">
      <w:start w:val="1"/>
      <w:numFmt w:val="decimal"/>
      <w:lvlText w:val="%1."/>
      <w:lvlJc w:val="left"/>
      <w:pPr>
        <w:tabs>
          <w:tab w:val="left" w:pos="980"/>
        </w:tabs>
        <w:ind w:left="980" w:hanging="420"/>
      </w:pPr>
      <w:rPr>
        <w:rFonts w:hint="eastAsia"/>
      </w:rPr>
    </w:lvl>
    <w:lvl w:ilvl="1" w:tentative="0">
      <w:start w:val="1"/>
      <w:numFmt w:val="lowerLetter"/>
      <w:lvlText w:val="%2)"/>
      <w:lvlJc w:val="left"/>
      <w:pPr>
        <w:tabs>
          <w:tab w:val="left" w:pos="1400"/>
        </w:tabs>
        <w:ind w:left="1400" w:hanging="420"/>
      </w:pPr>
      <w:rPr>
        <w:rFonts w:hint="eastAsia"/>
      </w:rPr>
    </w:lvl>
    <w:lvl w:ilvl="2" w:tentative="0">
      <w:start w:val="1"/>
      <w:numFmt w:val="lowerRoman"/>
      <w:lvlText w:val="%3."/>
      <w:lvlJc w:val="right"/>
      <w:pPr>
        <w:tabs>
          <w:tab w:val="left" w:pos="1820"/>
        </w:tabs>
        <w:ind w:left="1820" w:hanging="420"/>
      </w:pPr>
      <w:rPr>
        <w:rFonts w:hint="eastAsia"/>
      </w:rPr>
    </w:lvl>
    <w:lvl w:ilvl="3" w:tentative="0">
      <w:start w:val="1"/>
      <w:numFmt w:val="decimal"/>
      <w:suff w:val="nothing"/>
      <w:lvlText w:val="%4."/>
      <w:lvlJc w:val="left"/>
      <w:pPr>
        <w:ind w:left="0" w:firstLine="561"/>
      </w:pPr>
      <w:rPr>
        <w:rFonts w:hint="eastAsia"/>
      </w:rPr>
    </w:lvl>
    <w:lvl w:ilvl="4" w:tentative="0">
      <w:start w:val="1"/>
      <w:numFmt w:val="lowerLetter"/>
      <w:lvlText w:val="%5)"/>
      <w:lvlJc w:val="left"/>
      <w:pPr>
        <w:tabs>
          <w:tab w:val="left" w:pos="2660"/>
        </w:tabs>
        <w:ind w:left="2660" w:hanging="420"/>
      </w:pPr>
      <w:rPr>
        <w:rFonts w:hint="eastAsia"/>
      </w:rPr>
    </w:lvl>
    <w:lvl w:ilvl="5" w:tentative="0">
      <w:start w:val="1"/>
      <w:numFmt w:val="lowerRoman"/>
      <w:lvlText w:val="%6."/>
      <w:lvlJc w:val="right"/>
      <w:pPr>
        <w:tabs>
          <w:tab w:val="left" w:pos="3080"/>
        </w:tabs>
        <w:ind w:left="3080" w:hanging="420"/>
      </w:pPr>
      <w:rPr>
        <w:rFonts w:hint="eastAsia"/>
      </w:rPr>
    </w:lvl>
    <w:lvl w:ilvl="6" w:tentative="0">
      <w:start w:val="1"/>
      <w:numFmt w:val="decimal"/>
      <w:lvlText w:val="%7."/>
      <w:lvlJc w:val="left"/>
      <w:pPr>
        <w:tabs>
          <w:tab w:val="left" w:pos="3500"/>
        </w:tabs>
        <w:ind w:left="3500" w:hanging="420"/>
      </w:pPr>
      <w:rPr>
        <w:rFonts w:hint="eastAsia"/>
      </w:rPr>
    </w:lvl>
    <w:lvl w:ilvl="7" w:tentative="0">
      <w:start w:val="1"/>
      <w:numFmt w:val="lowerLetter"/>
      <w:lvlText w:val="%8)"/>
      <w:lvlJc w:val="left"/>
      <w:pPr>
        <w:tabs>
          <w:tab w:val="left" w:pos="3920"/>
        </w:tabs>
        <w:ind w:left="3920" w:hanging="420"/>
      </w:pPr>
      <w:rPr>
        <w:rFonts w:hint="eastAsia"/>
      </w:rPr>
    </w:lvl>
    <w:lvl w:ilvl="8" w:tentative="0">
      <w:start w:val="1"/>
      <w:numFmt w:val="lowerRoman"/>
      <w:lvlText w:val="%9."/>
      <w:lvlJc w:val="right"/>
      <w:pPr>
        <w:tabs>
          <w:tab w:val="left" w:pos="4340"/>
        </w:tabs>
        <w:ind w:left="4340" w:hanging="420"/>
      </w:pPr>
      <w:rPr>
        <w:rFonts w:hint="eastAsia"/>
      </w:rPr>
    </w:lvl>
  </w:abstractNum>
  <w:abstractNum w:abstractNumId="57">
    <w:nsid w:val="74052786"/>
    <w:multiLevelType w:val="multilevel"/>
    <w:tmpl w:val="74052786"/>
    <w:lvl w:ilvl="0" w:tentative="0">
      <w:start w:val="1"/>
      <w:numFmt w:val="decimal"/>
      <w:suff w:val="space"/>
      <w:lvlText w:val="表2-%1"/>
      <w:lvlJc w:val="center"/>
      <w:pPr>
        <w:ind w:left="0" w:firstLine="0"/>
      </w:pPr>
      <w:rPr>
        <w:rFonts w:hint="default" w:ascii="Times New Roman" w:hAnsi="Times New Roman" w:eastAsia="宋体"/>
        <w:b w:val="0"/>
        <w:sz w:val="24"/>
      </w:rPr>
    </w:lvl>
    <w:lvl w:ilvl="1" w:tentative="0">
      <w:start w:val="1"/>
      <w:numFmt w:val="lowerLetter"/>
      <w:lvlText w:val="%2)"/>
      <w:lvlJc w:val="left"/>
      <w:pPr>
        <w:ind w:left="1303" w:hanging="420"/>
      </w:pPr>
      <w:rPr>
        <w:rFonts w:hint="eastAsia"/>
      </w:rPr>
    </w:lvl>
    <w:lvl w:ilvl="2" w:tentative="0">
      <w:start w:val="1"/>
      <w:numFmt w:val="lowerRoman"/>
      <w:lvlText w:val="%3."/>
      <w:lvlJc w:val="right"/>
      <w:pPr>
        <w:ind w:left="1723" w:hanging="420"/>
      </w:pPr>
      <w:rPr>
        <w:rFonts w:hint="eastAsia"/>
      </w:rPr>
    </w:lvl>
    <w:lvl w:ilvl="3" w:tentative="0">
      <w:start w:val="1"/>
      <w:numFmt w:val="decimal"/>
      <w:lvlText w:val="%4."/>
      <w:lvlJc w:val="left"/>
      <w:pPr>
        <w:ind w:left="2143" w:hanging="420"/>
      </w:pPr>
      <w:rPr>
        <w:rFonts w:hint="eastAsia"/>
      </w:rPr>
    </w:lvl>
    <w:lvl w:ilvl="4" w:tentative="0">
      <w:start w:val="1"/>
      <w:numFmt w:val="lowerLetter"/>
      <w:lvlText w:val="%5)"/>
      <w:lvlJc w:val="left"/>
      <w:pPr>
        <w:ind w:left="2563" w:hanging="420"/>
      </w:pPr>
      <w:rPr>
        <w:rFonts w:hint="eastAsia"/>
      </w:rPr>
    </w:lvl>
    <w:lvl w:ilvl="5" w:tentative="0">
      <w:start w:val="1"/>
      <w:numFmt w:val="lowerRoman"/>
      <w:lvlText w:val="%6."/>
      <w:lvlJc w:val="right"/>
      <w:pPr>
        <w:ind w:left="2983" w:hanging="420"/>
      </w:pPr>
      <w:rPr>
        <w:rFonts w:hint="eastAsia"/>
      </w:rPr>
    </w:lvl>
    <w:lvl w:ilvl="6" w:tentative="0">
      <w:start w:val="1"/>
      <w:numFmt w:val="decimal"/>
      <w:lvlText w:val="%7."/>
      <w:lvlJc w:val="left"/>
      <w:pPr>
        <w:ind w:left="3403" w:hanging="420"/>
      </w:pPr>
      <w:rPr>
        <w:rFonts w:hint="eastAsia"/>
      </w:rPr>
    </w:lvl>
    <w:lvl w:ilvl="7" w:tentative="0">
      <w:start w:val="1"/>
      <w:numFmt w:val="lowerLetter"/>
      <w:lvlText w:val="%8)"/>
      <w:lvlJc w:val="left"/>
      <w:pPr>
        <w:ind w:left="3823" w:hanging="420"/>
      </w:pPr>
      <w:rPr>
        <w:rFonts w:hint="eastAsia"/>
      </w:rPr>
    </w:lvl>
    <w:lvl w:ilvl="8" w:tentative="0">
      <w:start w:val="1"/>
      <w:numFmt w:val="lowerRoman"/>
      <w:lvlText w:val="%9."/>
      <w:lvlJc w:val="right"/>
      <w:pPr>
        <w:ind w:left="4243" w:hanging="420"/>
      </w:pPr>
      <w:rPr>
        <w:rFonts w:hint="eastAsia"/>
      </w:rPr>
    </w:lvl>
  </w:abstractNum>
  <w:abstractNum w:abstractNumId="58">
    <w:nsid w:val="74E25C80"/>
    <w:multiLevelType w:val="multilevel"/>
    <w:tmpl w:val="74E25C80"/>
    <w:lvl w:ilvl="0" w:tentative="0">
      <w:start w:val="1"/>
      <w:numFmt w:val="decimal"/>
      <w:suff w:val="nothing"/>
      <w:lvlText w:val="%1."/>
      <w:lvlJc w:val="left"/>
      <w:pPr>
        <w:ind w:left="0" w:firstLine="0"/>
      </w:pPr>
      <w:rPr>
        <w:rFonts w:hint="default" w:ascii="Times New Roman" w:hAnsi="Times New Roman"/>
      </w:rPr>
    </w:lvl>
    <w:lvl w:ilvl="1" w:tentative="0">
      <w:start w:val="1"/>
      <w:numFmt w:val="lowerLetter"/>
      <w:lvlText w:val="%2)"/>
      <w:lvlJc w:val="left"/>
      <w:pPr>
        <w:tabs>
          <w:tab w:val="left" w:pos="832"/>
        </w:tabs>
        <w:ind w:left="832" w:hanging="420"/>
      </w:pPr>
    </w:lvl>
    <w:lvl w:ilvl="2" w:tentative="0">
      <w:start w:val="1"/>
      <w:numFmt w:val="lowerRoman"/>
      <w:lvlText w:val="%3."/>
      <w:lvlJc w:val="right"/>
      <w:pPr>
        <w:tabs>
          <w:tab w:val="left" w:pos="1252"/>
        </w:tabs>
        <w:ind w:left="1252" w:hanging="420"/>
      </w:pPr>
    </w:lvl>
    <w:lvl w:ilvl="3" w:tentative="0">
      <w:start w:val="1"/>
      <w:numFmt w:val="decimal"/>
      <w:lvlText w:val="%4."/>
      <w:lvlJc w:val="left"/>
      <w:pPr>
        <w:tabs>
          <w:tab w:val="left" w:pos="1672"/>
        </w:tabs>
        <w:ind w:left="1672" w:hanging="420"/>
      </w:pPr>
    </w:lvl>
    <w:lvl w:ilvl="4" w:tentative="0">
      <w:start w:val="1"/>
      <w:numFmt w:val="lowerLetter"/>
      <w:lvlText w:val="%5)"/>
      <w:lvlJc w:val="left"/>
      <w:pPr>
        <w:tabs>
          <w:tab w:val="left" w:pos="2092"/>
        </w:tabs>
        <w:ind w:left="2092" w:hanging="420"/>
      </w:pPr>
    </w:lvl>
    <w:lvl w:ilvl="5" w:tentative="0">
      <w:start w:val="1"/>
      <w:numFmt w:val="lowerRoman"/>
      <w:lvlText w:val="%6."/>
      <w:lvlJc w:val="right"/>
      <w:pPr>
        <w:tabs>
          <w:tab w:val="left" w:pos="2512"/>
        </w:tabs>
        <w:ind w:left="2512" w:hanging="420"/>
      </w:pPr>
    </w:lvl>
    <w:lvl w:ilvl="6" w:tentative="0">
      <w:start w:val="1"/>
      <w:numFmt w:val="decimal"/>
      <w:lvlText w:val="%7."/>
      <w:lvlJc w:val="left"/>
      <w:pPr>
        <w:tabs>
          <w:tab w:val="left" w:pos="2932"/>
        </w:tabs>
        <w:ind w:left="2932" w:hanging="420"/>
      </w:pPr>
    </w:lvl>
    <w:lvl w:ilvl="7" w:tentative="0">
      <w:start w:val="1"/>
      <w:numFmt w:val="lowerLetter"/>
      <w:lvlText w:val="%8)"/>
      <w:lvlJc w:val="left"/>
      <w:pPr>
        <w:tabs>
          <w:tab w:val="left" w:pos="3352"/>
        </w:tabs>
        <w:ind w:left="3352" w:hanging="420"/>
      </w:pPr>
    </w:lvl>
    <w:lvl w:ilvl="8" w:tentative="0">
      <w:start w:val="1"/>
      <w:numFmt w:val="lowerRoman"/>
      <w:lvlText w:val="%9."/>
      <w:lvlJc w:val="right"/>
      <w:pPr>
        <w:tabs>
          <w:tab w:val="left" w:pos="3772"/>
        </w:tabs>
        <w:ind w:left="3772" w:hanging="420"/>
      </w:pPr>
    </w:lvl>
  </w:abstractNum>
  <w:abstractNum w:abstractNumId="59">
    <w:nsid w:val="767E0ED0"/>
    <w:multiLevelType w:val="multilevel"/>
    <w:tmpl w:val="767E0ED0"/>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7D290FF9"/>
    <w:multiLevelType w:val="singleLevel"/>
    <w:tmpl w:val="7D290FF9"/>
    <w:lvl w:ilvl="0" w:tentative="0">
      <w:start w:val="1"/>
      <w:numFmt w:val="decimal"/>
      <w:suff w:val="nothing"/>
      <w:lvlText w:val="%1．"/>
      <w:lvlJc w:val="left"/>
      <w:pPr>
        <w:ind w:left="0" w:firstLine="400"/>
      </w:pPr>
      <w:rPr>
        <w:rFonts w:hint="default"/>
      </w:rPr>
    </w:lvl>
  </w:abstractNum>
  <w:abstractNum w:abstractNumId="61">
    <w:nsid w:val="7DBA179F"/>
    <w:multiLevelType w:val="multilevel"/>
    <w:tmpl w:val="7DBA179F"/>
    <w:lvl w:ilvl="0" w:tentative="0">
      <w:start w:val="1"/>
      <w:numFmt w:val="decimal"/>
      <w:suff w:val="nothing"/>
      <w:lvlText w:val="%1"/>
      <w:lvlJc w:val="left"/>
      <w:pPr>
        <w:ind w:left="0" w:firstLine="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27"/>
  </w:num>
  <w:num w:numId="2">
    <w:abstractNumId w:val="14"/>
  </w:num>
  <w:num w:numId="3">
    <w:abstractNumId w:val="39"/>
  </w:num>
  <w:num w:numId="4">
    <w:abstractNumId w:val="20"/>
  </w:num>
  <w:num w:numId="5">
    <w:abstractNumId w:val="30"/>
  </w:num>
  <w:num w:numId="6">
    <w:abstractNumId w:val="7"/>
  </w:num>
  <w:num w:numId="7">
    <w:abstractNumId w:val="26"/>
  </w:num>
  <w:num w:numId="8">
    <w:abstractNumId w:val="56"/>
  </w:num>
  <w:num w:numId="9">
    <w:abstractNumId w:val="58"/>
  </w:num>
  <w:num w:numId="10">
    <w:abstractNumId w:val="55"/>
  </w:num>
  <w:num w:numId="11">
    <w:abstractNumId w:val="57"/>
  </w:num>
  <w:num w:numId="12">
    <w:abstractNumId w:val="46"/>
  </w:num>
  <w:num w:numId="13">
    <w:abstractNumId w:val="19"/>
  </w:num>
  <w:num w:numId="14">
    <w:abstractNumId w:val="32"/>
  </w:num>
  <w:num w:numId="15">
    <w:abstractNumId w:val="31"/>
  </w:num>
  <w:num w:numId="16">
    <w:abstractNumId w:val="42"/>
  </w:num>
  <w:num w:numId="17">
    <w:abstractNumId w:val="29"/>
  </w:num>
  <w:num w:numId="18">
    <w:abstractNumId w:val="61"/>
  </w:num>
  <w:num w:numId="19">
    <w:abstractNumId w:val="47"/>
  </w:num>
  <w:num w:numId="20">
    <w:abstractNumId w:val="35"/>
  </w:num>
  <w:num w:numId="21">
    <w:abstractNumId w:val="22"/>
  </w:num>
  <w:num w:numId="22">
    <w:abstractNumId w:val="40"/>
  </w:num>
  <w:num w:numId="23">
    <w:abstractNumId w:val="3"/>
  </w:num>
  <w:num w:numId="24">
    <w:abstractNumId w:val="6"/>
  </w:num>
  <w:num w:numId="25">
    <w:abstractNumId w:val="45"/>
  </w:num>
  <w:num w:numId="26">
    <w:abstractNumId w:val="37"/>
  </w:num>
  <w:num w:numId="27">
    <w:abstractNumId w:val="44"/>
  </w:num>
  <w:num w:numId="28">
    <w:abstractNumId w:val="10"/>
  </w:num>
  <w:num w:numId="29">
    <w:abstractNumId w:val="15"/>
  </w:num>
  <w:num w:numId="30">
    <w:abstractNumId w:val="59"/>
  </w:num>
  <w:num w:numId="31">
    <w:abstractNumId w:val="25"/>
  </w:num>
  <w:num w:numId="32">
    <w:abstractNumId w:val="48"/>
  </w:num>
  <w:num w:numId="33">
    <w:abstractNumId w:val="50"/>
  </w:num>
  <w:num w:numId="34">
    <w:abstractNumId w:val="43"/>
  </w:num>
  <w:num w:numId="35">
    <w:abstractNumId w:val="24"/>
  </w:num>
  <w:num w:numId="36">
    <w:abstractNumId w:val="13"/>
  </w:num>
  <w:num w:numId="37">
    <w:abstractNumId w:val="2"/>
  </w:num>
  <w:num w:numId="38">
    <w:abstractNumId w:val="34"/>
  </w:num>
  <w:num w:numId="39">
    <w:abstractNumId w:val="41"/>
  </w:num>
  <w:num w:numId="40">
    <w:abstractNumId w:val="5"/>
  </w:num>
  <w:num w:numId="41">
    <w:abstractNumId w:val="51"/>
  </w:num>
  <w:num w:numId="42">
    <w:abstractNumId w:val="60"/>
  </w:num>
  <w:num w:numId="43">
    <w:abstractNumId w:val="17"/>
  </w:num>
  <w:num w:numId="44">
    <w:abstractNumId w:val="52"/>
  </w:num>
  <w:num w:numId="45">
    <w:abstractNumId w:val="33"/>
  </w:num>
  <w:num w:numId="46">
    <w:abstractNumId w:val="0"/>
  </w:num>
  <w:num w:numId="47">
    <w:abstractNumId w:val="16"/>
  </w:num>
  <w:num w:numId="48">
    <w:abstractNumId w:val="1"/>
  </w:num>
  <w:num w:numId="49">
    <w:abstractNumId w:val="54"/>
  </w:num>
  <w:num w:numId="50">
    <w:abstractNumId w:val="18"/>
  </w:num>
  <w:num w:numId="51">
    <w:abstractNumId w:val="53"/>
  </w:num>
  <w:num w:numId="52">
    <w:abstractNumId w:val="49"/>
  </w:num>
  <w:num w:numId="53">
    <w:abstractNumId w:val="8"/>
  </w:num>
  <w:num w:numId="54">
    <w:abstractNumId w:val="38"/>
  </w:num>
  <w:num w:numId="55">
    <w:abstractNumId w:val="21"/>
  </w:num>
  <w:num w:numId="56">
    <w:abstractNumId w:val="11"/>
  </w:num>
  <w:num w:numId="57">
    <w:abstractNumId w:val="4"/>
  </w:num>
  <w:num w:numId="58">
    <w:abstractNumId w:val="36"/>
  </w:num>
  <w:num w:numId="59">
    <w:abstractNumId w:val="23"/>
  </w:num>
  <w:num w:numId="60">
    <w:abstractNumId w:val="28"/>
  </w:num>
  <w:num w:numId="61">
    <w:abstractNumId w:val="9"/>
  </w:num>
  <w:num w:numId="6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0"/>
  <w:drawingGridHorizontalSpacing w:val="140"/>
  <w:drawingGridVerticalSpacing w:val="381"/>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A1Y2JkYzQwOTU2OTFiNDAwMzIyNzk2NzNkMDI1MjAifQ=="/>
  </w:docVars>
  <w:rsids>
    <w:rsidRoot w:val="00C73DF1"/>
    <w:rsid w:val="0000178A"/>
    <w:rsid w:val="000029E7"/>
    <w:rsid w:val="000044A0"/>
    <w:rsid w:val="000128F3"/>
    <w:rsid w:val="000144A8"/>
    <w:rsid w:val="00015F34"/>
    <w:rsid w:val="00023D23"/>
    <w:rsid w:val="00025365"/>
    <w:rsid w:val="00026BBC"/>
    <w:rsid w:val="000301B7"/>
    <w:rsid w:val="00034C36"/>
    <w:rsid w:val="0003545E"/>
    <w:rsid w:val="000378E0"/>
    <w:rsid w:val="00040E7F"/>
    <w:rsid w:val="00041A2B"/>
    <w:rsid w:val="000461A7"/>
    <w:rsid w:val="00047547"/>
    <w:rsid w:val="00050042"/>
    <w:rsid w:val="00050C48"/>
    <w:rsid w:val="00053929"/>
    <w:rsid w:val="000543FA"/>
    <w:rsid w:val="00057ACE"/>
    <w:rsid w:val="00057C86"/>
    <w:rsid w:val="00060810"/>
    <w:rsid w:val="00061F20"/>
    <w:rsid w:val="000714A2"/>
    <w:rsid w:val="00072062"/>
    <w:rsid w:val="00073AAE"/>
    <w:rsid w:val="000768B0"/>
    <w:rsid w:val="00080594"/>
    <w:rsid w:val="00082D3A"/>
    <w:rsid w:val="0008340F"/>
    <w:rsid w:val="00092D31"/>
    <w:rsid w:val="0009471C"/>
    <w:rsid w:val="000A4B3D"/>
    <w:rsid w:val="000B009C"/>
    <w:rsid w:val="000B03B6"/>
    <w:rsid w:val="000B32E5"/>
    <w:rsid w:val="000B3D50"/>
    <w:rsid w:val="000B5751"/>
    <w:rsid w:val="000B73F6"/>
    <w:rsid w:val="000C3B91"/>
    <w:rsid w:val="000C7409"/>
    <w:rsid w:val="000D0114"/>
    <w:rsid w:val="000D3285"/>
    <w:rsid w:val="000D6B36"/>
    <w:rsid w:val="000D6FD8"/>
    <w:rsid w:val="000E1743"/>
    <w:rsid w:val="000E286E"/>
    <w:rsid w:val="000E7BDD"/>
    <w:rsid w:val="000F0B2A"/>
    <w:rsid w:val="000F477C"/>
    <w:rsid w:val="000F591D"/>
    <w:rsid w:val="000F66D9"/>
    <w:rsid w:val="000F70A8"/>
    <w:rsid w:val="00101C4E"/>
    <w:rsid w:val="00102D1E"/>
    <w:rsid w:val="001148DA"/>
    <w:rsid w:val="00115F27"/>
    <w:rsid w:val="0012440F"/>
    <w:rsid w:val="00126681"/>
    <w:rsid w:val="00126B33"/>
    <w:rsid w:val="00126F29"/>
    <w:rsid w:val="00127430"/>
    <w:rsid w:val="00127E11"/>
    <w:rsid w:val="00132A3C"/>
    <w:rsid w:val="00137543"/>
    <w:rsid w:val="001410ED"/>
    <w:rsid w:val="001432E5"/>
    <w:rsid w:val="0014341B"/>
    <w:rsid w:val="00151BBD"/>
    <w:rsid w:val="00154DDA"/>
    <w:rsid w:val="001575E2"/>
    <w:rsid w:val="00163AC3"/>
    <w:rsid w:val="00167A3F"/>
    <w:rsid w:val="00174CED"/>
    <w:rsid w:val="00174D76"/>
    <w:rsid w:val="00177974"/>
    <w:rsid w:val="0018090F"/>
    <w:rsid w:val="001809B8"/>
    <w:rsid w:val="00180B22"/>
    <w:rsid w:val="00184841"/>
    <w:rsid w:val="00190E83"/>
    <w:rsid w:val="001923AC"/>
    <w:rsid w:val="00192E1D"/>
    <w:rsid w:val="00194A12"/>
    <w:rsid w:val="00195EC8"/>
    <w:rsid w:val="001A4688"/>
    <w:rsid w:val="001A4FA8"/>
    <w:rsid w:val="001A6CDC"/>
    <w:rsid w:val="001B48F4"/>
    <w:rsid w:val="001B4DC8"/>
    <w:rsid w:val="001B601B"/>
    <w:rsid w:val="001C3FF3"/>
    <w:rsid w:val="001D05A7"/>
    <w:rsid w:val="001D251D"/>
    <w:rsid w:val="001D388B"/>
    <w:rsid w:val="001D5BF8"/>
    <w:rsid w:val="001D5C71"/>
    <w:rsid w:val="001D69D4"/>
    <w:rsid w:val="001E0240"/>
    <w:rsid w:val="001E0776"/>
    <w:rsid w:val="001E454A"/>
    <w:rsid w:val="001E4F7A"/>
    <w:rsid w:val="001E7F7A"/>
    <w:rsid w:val="001F03E7"/>
    <w:rsid w:val="001F2021"/>
    <w:rsid w:val="001F3364"/>
    <w:rsid w:val="001F3419"/>
    <w:rsid w:val="001F3502"/>
    <w:rsid w:val="001F3BAB"/>
    <w:rsid w:val="001F6A4D"/>
    <w:rsid w:val="00201090"/>
    <w:rsid w:val="0020144B"/>
    <w:rsid w:val="00201911"/>
    <w:rsid w:val="00202874"/>
    <w:rsid w:val="00210947"/>
    <w:rsid w:val="00211077"/>
    <w:rsid w:val="00214D49"/>
    <w:rsid w:val="00217EE2"/>
    <w:rsid w:val="0023001B"/>
    <w:rsid w:val="00230E13"/>
    <w:rsid w:val="00232974"/>
    <w:rsid w:val="002331C4"/>
    <w:rsid w:val="00236464"/>
    <w:rsid w:val="002364E4"/>
    <w:rsid w:val="002416B3"/>
    <w:rsid w:val="00244930"/>
    <w:rsid w:val="002501D2"/>
    <w:rsid w:val="0025217F"/>
    <w:rsid w:val="002527B8"/>
    <w:rsid w:val="002547BD"/>
    <w:rsid w:val="00254F1D"/>
    <w:rsid w:val="00255A9F"/>
    <w:rsid w:val="00255C8A"/>
    <w:rsid w:val="002561A6"/>
    <w:rsid w:val="00256A2E"/>
    <w:rsid w:val="00262B0A"/>
    <w:rsid w:val="002753A3"/>
    <w:rsid w:val="00275B61"/>
    <w:rsid w:val="002762BC"/>
    <w:rsid w:val="0028353B"/>
    <w:rsid w:val="00283673"/>
    <w:rsid w:val="00284F50"/>
    <w:rsid w:val="002900EC"/>
    <w:rsid w:val="0029255A"/>
    <w:rsid w:val="00294C74"/>
    <w:rsid w:val="0029538C"/>
    <w:rsid w:val="002A3B51"/>
    <w:rsid w:val="002A5BC5"/>
    <w:rsid w:val="002A6DCE"/>
    <w:rsid w:val="002B15F5"/>
    <w:rsid w:val="002B3B0E"/>
    <w:rsid w:val="002B3FAE"/>
    <w:rsid w:val="002B4B1F"/>
    <w:rsid w:val="002B5DA0"/>
    <w:rsid w:val="002B6059"/>
    <w:rsid w:val="002B6B33"/>
    <w:rsid w:val="002C3D4F"/>
    <w:rsid w:val="002C43F5"/>
    <w:rsid w:val="002C5441"/>
    <w:rsid w:val="002C6F44"/>
    <w:rsid w:val="002C6F59"/>
    <w:rsid w:val="002C7079"/>
    <w:rsid w:val="002C7B63"/>
    <w:rsid w:val="002D1367"/>
    <w:rsid w:val="002D4A33"/>
    <w:rsid w:val="002D5958"/>
    <w:rsid w:val="002E027D"/>
    <w:rsid w:val="002E2742"/>
    <w:rsid w:val="002E27A2"/>
    <w:rsid w:val="002E2F5E"/>
    <w:rsid w:val="002E3537"/>
    <w:rsid w:val="002E506D"/>
    <w:rsid w:val="002E7285"/>
    <w:rsid w:val="002E7FF1"/>
    <w:rsid w:val="002F1BB4"/>
    <w:rsid w:val="002F2C74"/>
    <w:rsid w:val="002F4544"/>
    <w:rsid w:val="002F48E5"/>
    <w:rsid w:val="002F7197"/>
    <w:rsid w:val="00300104"/>
    <w:rsid w:val="00301565"/>
    <w:rsid w:val="00301C43"/>
    <w:rsid w:val="003031DB"/>
    <w:rsid w:val="003041D5"/>
    <w:rsid w:val="0030507A"/>
    <w:rsid w:val="00305328"/>
    <w:rsid w:val="00305D1A"/>
    <w:rsid w:val="0030691A"/>
    <w:rsid w:val="00307EAC"/>
    <w:rsid w:val="0031287D"/>
    <w:rsid w:val="00313BB9"/>
    <w:rsid w:val="00313F9D"/>
    <w:rsid w:val="00315CD2"/>
    <w:rsid w:val="00316321"/>
    <w:rsid w:val="003167EE"/>
    <w:rsid w:val="00317616"/>
    <w:rsid w:val="00320DA3"/>
    <w:rsid w:val="00321D8E"/>
    <w:rsid w:val="0032244A"/>
    <w:rsid w:val="00327DF4"/>
    <w:rsid w:val="00330466"/>
    <w:rsid w:val="00331DA6"/>
    <w:rsid w:val="00332DEE"/>
    <w:rsid w:val="003330E8"/>
    <w:rsid w:val="00333E4C"/>
    <w:rsid w:val="00334970"/>
    <w:rsid w:val="0033579D"/>
    <w:rsid w:val="003359C9"/>
    <w:rsid w:val="003365D3"/>
    <w:rsid w:val="003436E8"/>
    <w:rsid w:val="00345BD1"/>
    <w:rsid w:val="00345FD4"/>
    <w:rsid w:val="00347126"/>
    <w:rsid w:val="00352B90"/>
    <w:rsid w:val="00352D0F"/>
    <w:rsid w:val="0035314B"/>
    <w:rsid w:val="00354F5A"/>
    <w:rsid w:val="00355962"/>
    <w:rsid w:val="0035614F"/>
    <w:rsid w:val="00356E88"/>
    <w:rsid w:val="003570D5"/>
    <w:rsid w:val="003606B4"/>
    <w:rsid w:val="00361BE7"/>
    <w:rsid w:val="00364278"/>
    <w:rsid w:val="00364621"/>
    <w:rsid w:val="00364931"/>
    <w:rsid w:val="00365493"/>
    <w:rsid w:val="003659BF"/>
    <w:rsid w:val="0036720D"/>
    <w:rsid w:val="00367301"/>
    <w:rsid w:val="00367F4F"/>
    <w:rsid w:val="00372F89"/>
    <w:rsid w:val="0037312D"/>
    <w:rsid w:val="00377471"/>
    <w:rsid w:val="003774F2"/>
    <w:rsid w:val="00383024"/>
    <w:rsid w:val="003834F4"/>
    <w:rsid w:val="00387F1C"/>
    <w:rsid w:val="00390A36"/>
    <w:rsid w:val="0039410F"/>
    <w:rsid w:val="00395F85"/>
    <w:rsid w:val="00396478"/>
    <w:rsid w:val="0039667B"/>
    <w:rsid w:val="00397E3B"/>
    <w:rsid w:val="00397F41"/>
    <w:rsid w:val="003A136D"/>
    <w:rsid w:val="003A5BEF"/>
    <w:rsid w:val="003A5D03"/>
    <w:rsid w:val="003A71E5"/>
    <w:rsid w:val="003B0360"/>
    <w:rsid w:val="003B221C"/>
    <w:rsid w:val="003B3C1E"/>
    <w:rsid w:val="003C167A"/>
    <w:rsid w:val="003C2A5F"/>
    <w:rsid w:val="003C70E5"/>
    <w:rsid w:val="003D108E"/>
    <w:rsid w:val="003D28A0"/>
    <w:rsid w:val="003D29C4"/>
    <w:rsid w:val="003D2BD6"/>
    <w:rsid w:val="003D58B9"/>
    <w:rsid w:val="003E315D"/>
    <w:rsid w:val="003E430E"/>
    <w:rsid w:val="003E49A4"/>
    <w:rsid w:val="003E4C2D"/>
    <w:rsid w:val="003F0786"/>
    <w:rsid w:val="003F3939"/>
    <w:rsid w:val="003F442D"/>
    <w:rsid w:val="003F61A0"/>
    <w:rsid w:val="00401B5C"/>
    <w:rsid w:val="004021AB"/>
    <w:rsid w:val="00402C45"/>
    <w:rsid w:val="00403F9E"/>
    <w:rsid w:val="004101B2"/>
    <w:rsid w:val="0041291F"/>
    <w:rsid w:val="0041593A"/>
    <w:rsid w:val="00415F4E"/>
    <w:rsid w:val="00422FDE"/>
    <w:rsid w:val="00424A27"/>
    <w:rsid w:val="00425531"/>
    <w:rsid w:val="00426B23"/>
    <w:rsid w:val="00431B29"/>
    <w:rsid w:val="00432C7B"/>
    <w:rsid w:val="00440CF3"/>
    <w:rsid w:val="0044364A"/>
    <w:rsid w:val="0044452A"/>
    <w:rsid w:val="00447630"/>
    <w:rsid w:val="004514BD"/>
    <w:rsid w:val="004548AD"/>
    <w:rsid w:val="004575DD"/>
    <w:rsid w:val="004631CB"/>
    <w:rsid w:val="00467100"/>
    <w:rsid w:val="0047136C"/>
    <w:rsid w:val="0047548C"/>
    <w:rsid w:val="004755D8"/>
    <w:rsid w:val="004759E0"/>
    <w:rsid w:val="004844EE"/>
    <w:rsid w:val="0048588B"/>
    <w:rsid w:val="00486BBB"/>
    <w:rsid w:val="00487984"/>
    <w:rsid w:val="00494D6D"/>
    <w:rsid w:val="00495439"/>
    <w:rsid w:val="00495692"/>
    <w:rsid w:val="004A0412"/>
    <w:rsid w:val="004A198E"/>
    <w:rsid w:val="004A259E"/>
    <w:rsid w:val="004A2A53"/>
    <w:rsid w:val="004B054F"/>
    <w:rsid w:val="004B0CB0"/>
    <w:rsid w:val="004B321F"/>
    <w:rsid w:val="004B375E"/>
    <w:rsid w:val="004B42AB"/>
    <w:rsid w:val="004B7B53"/>
    <w:rsid w:val="004B7C59"/>
    <w:rsid w:val="004C4011"/>
    <w:rsid w:val="004C413D"/>
    <w:rsid w:val="004C5357"/>
    <w:rsid w:val="004C59E6"/>
    <w:rsid w:val="004D3359"/>
    <w:rsid w:val="004D36EF"/>
    <w:rsid w:val="004D3D28"/>
    <w:rsid w:val="004E102E"/>
    <w:rsid w:val="004E3747"/>
    <w:rsid w:val="004E4329"/>
    <w:rsid w:val="004E7D68"/>
    <w:rsid w:val="004F2431"/>
    <w:rsid w:val="004F2961"/>
    <w:rsid w:val="004F3AF2"/>
    <w:rsid w:val="004F44DA"/>
    <w:rsid w:val="004F4AB9"/>
    <w:rsid w:val="0050269A"/>
    <w:rsid w:val="005031EB"/>
    <w:rsid w:val="005061A4"/>
    <w:rsid w:val="00514387"/>
    <w:rsid w:val="005143E8"/>
    <w:rsid w:val="00514CC4"/>
    <w:rsid w:val="00514D45"/>
    <w:rsid w:val="00515460"/>
    <w:rsid w:val="00521C21"/>
    <w:rsid w:val="00527026"/>
    <w:rsid w:val="00527B5F"/>
    <w:rsid w:val="00530CD1"/>
    <w:rsid w:val="00530FBF"/>
    <w:rsid w:val="0053132F"/>
    <w:rsid w:val="005325A6"/>
    <w:rsid w:val="00533BE7"/>
    <w:rsid w:val="005356E8"/>
    <w:rsid w:val="00536B94"/>
    <w:rsid w:val="00537798"/>
    <w:rsid w:val="00537B1B"/>
    <w:rsid w:val="00540926"/>
    <w:rsid w:val="00541ED5"/>
    <w:rsid w:val="00541FFD"/>
    <w:rsid w:val="00545042"/>
    <w:rsid w:val="00550BE0"/>
    <w:rsid w:val="00550C52"/>
    <w:rsid w:val="00550C96"/>
    <w:rsid w:val="005514DB"/>
    <w:rsid w:val="00552922"/>
    <w:rsid w:val="0055376F"/>
    <w:rsid w:val="0055799F"/>
    <w:rsid w:val="005607C8"/>
    <w:rsid w:val="00561BAC"/>
    <w:rsid w:val="00565D8D"/>
    <w:rsid w:val="0056777C"/>
    <w:rsid w:val="00567E1F"/>
    <w:rsid w:val="00571E51"/>
    <w:rsid w:val="00574CC8"/>
    <w:rsid w:val="00575B5B"/>
    <w:rsid w:val="00575EAE"/>
    <w:rsid w:val="005770DD"/>
    <w:rsid w:val="005825D0"/>
    <w:rsid w:val="005861FC"/>
    <w:rsid w:val="00587B43"/>
    <w:rsid w:val="00590654"/>
    <w:rsid w:val="005A06C8"/>
    <w:rsid w:val="005A4401"/>
    <w:rsid w:val="005A682A"/>
    <w:rsid w:val="005A786E"/>
    <w:rsid w:val="005B03B8"/>
    <w:rsid w:val="005B1428"/>
    <w:rsid w:val="005B205D"/>
    <w:rsid w:val="005B2B27"/>
    <w:rsid w:val="005B33BB"/>
    <w:rsid w:val="005B6DB8"/>
    <w:rsid w:val="005B72AF"/>
    <w:rsid w:val="005C0163"/>
    <w:rsid w:val="005C0720"/>
    <w:rsid w:val="005C3409"/>
    <w:rsid w:val="005D1EF5"/>
    <w:rsid w:val="005D2330"/>
    <w:rsid w:val="005D2DAB"/>
    <w:rsid w:val="005D406B"/>
    <w:rsid w:val="005D4B0E"/>
    <w:rsid w:val="005E184D"/>
    <w:rsid w:val="005E2150"/>
    <w:rsid w:val="005E61A6"/>
    <w:rsid w:val="005E6E7B"/>
    <w:rsid w:val="005F05FA"/>
    <w:rsid w:val="005F0D6A"/>
    <w:rsid w:val="005F3E40"/>
    <w:rsid w:val="005F3ECA"/>
    <w:rsid w:val="005F4FA3"/>
    <w:rsid w:val="00603061"/>
    <w:rsid w:val="00605F10"/>
    <w:rsid w:val="00607D6B"/>
    <w:rsid w:val="006106C0"/>
    <w:rsid w:val="006106FA"/>
    <w:rsid w:val="00610E6B"/>
    <w:rsid w:val="006110C1"/>
    <w:rsid w:val="006112CA"/>
    <w:rsid w:val="006129C8"/>
    <w:rsid w:val="00614730"/>
    <w:rsid w:val="00614952"/>
    <w:rsid w:val="00620358"/>
    <w:rsid w:val="00621481"/>
    <w:rsid w:val="006237F1"/>
    <w:rsid w:val="00623EA6"/>
    <w:rsid w:val="00632F70"/>
    <w:rsid w:val="00633EB2"/>
    <w:rsid w:val="00637578"/>
    <w:rsid w:val="00641331"/>
    <w:rsid w:val="00642783"/>
    <w:rsid w:val="00650746"/>
    <w:rsid w:val="0065480D"/>
    <w:rsid w:val="00654E07"/>
    <w:rsid w:val="006573F1"/>
    <w:rsid w:val="006648A0"/>
    <w:rsid w:val="006672A1"/>
    <w:rsid w:val="006673DE"/>
    <w:rsid w:val="00674A1C"/>
    <w:rsid w:val="00675BD7"/>
    <w:rsid w:val="00680187"/>
    <w:rsid w:val="00682946"/>
    <w:rsid w:val="0068611E"/>
    <w:rsid w:val="00686C15"/>
    <w:rsid w:val="006874F9"/>
    <w:rsid w:val="006879E9"/>
    <w:rsid w:val="00687C11"/>
    <w:rsid w:val="0069500D"/>
    <w:rsid w:val="006955B9"/>
    <w:rsid w:val="00695638"/>
    <w:rsid w:val="00697A16"/>
    <w:rsid w:val="006A0761"/>
    <w:rsid w:val="006A0C2D"/>
    <w:rsid w:val="006A3371"/>
    <w:rsid w:val="006A738F"/>
    <w:rsid w:val="006A7E44"/>
    <w:rsid w:val="006B27A0"/>
    <w:rsid w:val="006B429F"/>
    <w:rsid w:val="006C1D4B"/>
    <w:rsid w:val="006C20C1"/>
    <w:rsid w:val="006C22FD"/>
    <w:rsid w:val="006C6006"/>
    <w:rsid w:val="006C60AE"/>
    <w:rsid w:val="006D1585"/>
    <w:rsid w:val="006D2A3F"/>
    <w:rsid w:val="006D3BBF"/>
    <w:rsid w:val="006D5550"/>
    <w:rsid w:val="006D5FCA"/>
    <w:rsid w:val="006D71EF"/>
    <w:rsid w:val="006E2FE9"/>
    <w:rsid w:val="006E3966"/>
    <w:rsid w:val="006E3973"/>
    <w:rsid w:val="006E468E"/>
    <w:rsid w:val="006E6332"/>
    <w:rsid w:val="006F05B5"/>
    <w:rsid w:val="006F3D4A"/>
    <w:rsid w:val="006F5F06"/>
    <w:rsid w:val="007015B7"/>
    <w:rsid w:val="0070559E"/>
    <w:rsid w:val="007173C5"/>
    <w:rsid w:val="007177E0"/>
    <w:rsid w:val="00720565"/>
    <w:rsid w:val="00721CED"/>
    <w:rsid w:val="00722C78"/>
    <w:rsid w:val="007234A2"/>
    <w:rsid w:val="00723928"/>
    <w:rsid w:val="00725374"/>
    <w:rsid w:val="00727227"/>
    <w:rsid w:val="0072793E"/>
    <w:rsid w:val="00740ED4"/>
    <w:rsid w:val="00746038"/>
    <w:rsid w:val="00752A30"/>
    <w:rsid w:val="007536BB"/>
    <w:rsid w:val="007550EE"/>
    <w:rsid w:val="00760B70"/>
    <w:rsid w:val="00760EC1"/>
    <w:rsid w:val="00762038"/>
    <w:rsid w:val="00763A47"/>
    <w:rsid w:val="00766B6B"/>
    <w:rsid w:val="00775CC9"/>
    <w:rsid w:val="007827CE"/>
    <w:rsid w:val="00782D62"/>
    <w:rsid w:val="0078478B"/>
    <w:rsid w:val="00785F53"/>
    <w:rsid w:val="00786080"/>
    <w:rsid w:val="00790D51"/>
    <w:rsid w:val="007A4896"/>
    <w:rsid w:val="007A4991"/>
    <w:rsid w:val="007A6675"/>
    <w:rsid w:val="007A70F6"/>
    <w:rsid w:val="007B02C8"/>
    <w:rsid w:val="007B36DF"/>
    <w:rsid w:val="007B752F"/>
    <w:rsid w:val="007C05A2"/>
    <w:rsid w:val="007C0622"/>
    <w:rsid w:val="007C751D"/>
    <w:rsid w:val="007C7ECF"/>
    <w:rsid w:val="007D0473"/>
    <w:rsid w:val="007D04D3"/>
    <w:rsid w:val="007D39EA"/>
    <w:rsid w:val="007D46BC"/>
    <w:rsid w:val="007D676B"/>
    <w:rsid w:val="007E1E2C"/>
    <w:rsid w:val="007E444D"/>
    <w:rsid w:val="007E5D4C"/>
    <w:rsid w:val="007F116D"/>
    <w:rsid w:val="007F1BDC"/>
    <w:rsid w:val="007F7EBF"/>
    <w:rsid w:val="00800516"/>
    <w:rsid w:val="00804237"/>
    <w:rsid w:val="00804319"/>
    <w:rsid w:val="008124FE"/>
    <w:rsid w:val="008141AF"/>
    <w:rsid w:val="00815191"/>
    <w:rsid w:val="00815D36"/>
    <w:rsid w:val="0082058C"/>
    <w:rsid w:val="00821D1E"/>
    <w:rsid w:val="00824DD9"/>
    <w:rsid w:val="00824F02"/>
    <w:rsid w:val="00825F69"/>
    <w:rsid w:val="00827D6D"/>
    <w:rsid w:val="00835304"/>
    <w:rsid w:val="00836877"/>
    <w:rsid w:val="00836F8D"/>
    <w:rsid w:val="00840FA0"/>
    <w:rsid w:val="00841D42"/>
    <w:rsid w:val="00842807"/>
    <w:rsid w:val="00844E36"/>
    <w:rsid w:val="00846AD4"/>
    <w:rsid w:val="008500F1"/>
    <w:rsid w:val="00850CCC"/>
    <w:rsid w:val="00861577"/>
    <w:rsid w:val="00863723"/>
    <w:rsid w:val="00864BDF"/>
    <w:rsid w:val="00867190"/>
    <w:rsid w:val="008676C4"/>
    <w:rsid w:val="0087099F"/>
    <w:rsid w:val="00870E74"/>
    <w:rsid w:val="00874C73"/>
    <w:rsid w:val="00875407"/>
    <w:rsid w:val="00875B50"/>
    <w:rsid w:val="00876471"/>
    <w:rsid w:val="00885C48"/>
    <w:rsid w:val="00897798"/>
    <w:rsid w:val="008A35A1"/>
    <w:rsid w:val="008A7604"/>
    <w:rsid w:val="008A76D2"/>
    <w:rsid w:val="008B0127"/>
    <w:rsid w:val="008B0C42"/>
    <w:rsid w:val="008B2ECB"/>
    <w:rsid w:val="008B69FD"/>
    <w:rsid w:val="008B77C4"/>
    <w:rsid w:val="008B7BE8"/>
    <w:rsid w:val="008C6C27"/>
    <w:rsid w:val="008D395D"/>
    <w:rsid w:val="008D4F6D"/>
    <w:rsid w:val="008D7717"/>
    <w:rsid w:val="008E170D"/>
    <w:rsid w:val="008E4EED"/>
    <w:rsid w:val="008E5E9F"/>
    <w:rsid w:val="008E671F"/>
    <w:rsid w:val="008E6932"/>
    <w:rsid w:val="008F301E"/>
    <w:rsid w:val="008F3291"/>
    <w:rsid w:val="008F785A"/>
    <w:rsid w:val="00900D14"/>
    <w:rsid w:val="009029F2"/>
    <w:rsid w:val="00903A11"/>
    <w:rsid w:val="009075E6"/>
    <w:rsid w:val="00910F75"/>
    <w:rsid w:val="0091357A"/>
    <w:rsid w:val="009142ED"/>
    <w:rsid w:val="009158B9"/>
    <w:rsid w:val="00916172"/>
    <w:rsid w:val="00916294"/>
    <w:rsid w:val="00921F37"/>
    <w:rsid w:val="00932C8C"/>
    <w:rsid w:val="00933238"/>
    <w:rsid w:val="009415B8"/>
    <w:rsid w:val="00941942"/>
    <w:rsid w:val="0094401C"/>
    <w:rsid w:val="0094587A"/>
    <w:rsid w:val="009540A5"/>
    <w:rsid w:val="00955CB2"/>
    <w:rsid w:val="0096424A"/>
    <w:rsid w:val="00964741"/>
    <w:rsid w:val="00964ADB"/>
    <w:rsid w:val="009651AE"/>
    <w:rsid w:val="0096647E"/>
    <w:rsid w:val="009677DF"/>
    <w:rsid w:val="00971E3D"/>
    <w:rsid w:val="00973C99"/>
    <w:rsid w:val="00974A79"/>
    <w:rsid w:val="00977BA6"/>
    <w:rsid w:val="0098205E"/>
    <w:rsid w:val="00982AD4"/>
    <w:rsid w:val="009841AA"/>
    <w:rsid w:val="00984706"/>
    <w:rsid w:val="00986022"/>
    <w:rsid w:val="0098792C"/>
    <w:rsid w:val="009904DC"/>
    <w:rsid w:val="00990BBD"/>
    <w:rsid w:val="0099182B"/>
    <w:rsid w:val="00992A55"/>
    <w:rsid w:val="0099745A"/>
    <w:rsid w:val="009A0821"/>
    <w:rsid w:val="009A5158"/>
    <w:rsid w:val="009B3DE8"/>
    <w:rsid w:val="009B3E06"/>
    <w:rsid w:val="009C269B"/>
    <w:rsid w:val="009C3981"/>
    <w:rsid w:val="009C5C9A"/>
    <w:rsid w:val="009C61F6"/>
    <w:rsid w:val="009D1774"/>
    <w:rsid w:val="009D47FA"/>
    <w:rsid w:val="009E0B56"/>
    <w:rsid w:val="009E354E"/>
    <w:rsid w:val="009F2652"/>
    <w:rsid w:val="009F29D2"/>
    <w:rsid w:val="009F2DD1"/>
    <w:rsid w:val="009F3780"/>
    <w:rsid w:val="009F5306"/>
    <w:rsid w:val="009F59BC"/>
    <w:rsid w:val="009F5C5C"/>
    <w:rsid w:val="00A05755"/>
    <w:rsid w:val="00A06F03"/>
    <w:rsid w:val="00A0730E"/>
    <w:rsid w:val="00A1554A"/>
    <w:rsid w:val="00A15625"/>
    <w:rsid w:val="00A23CC6"/>
    <w:rsid w:val="00A25620"/>
    <w:rsid w:val="00A25F73"/>
    <w:rsid w:val="00A25FDF"/>
    <w:rsid w:val="00A365CD"/>
    <w:rsid w:val="00A376EC"/>
    <w:rsid w:val="00A37EED"/>
    <w:rsid w:val="00A51C5C"/>
    <w:rsid w:val="00A54895"/>
    <w:rsid w:val="00A550F4"/>
    <w:rsid w:val="00A619EF"/>
    <w:rsid w:val="00A628DD"/>
    <w:rsid w:val="00A64FC6"/>
    <w:rsid w:val="00A7179D"/>
    <w:rsid w:val="00A722A6"/>
    <w:rsid w:val="00A72E56"/>
    <w:rsid w:val="00A732FF"/>
    <w:rsid w:val="00A76B4B"/>
    <w:rsid w:val="00A8462B"/>
    <w:rsid w:val="00A84B77"/>
    <w:rsid w:val="00A85491"/>
    <w:rsid w:val="00A8568F"/>
    <w:rsid w:val="00A91325"/>
    <w:rsid w:val="00A928A3"/>
    <w:rsid w:val="00A9491C"/>
    <w:rsid w:val="00A95FF3"/>
    <w:rsid w:val="00AA4D5A"/>
    <w:rsid w:val="00AA724D"/>
    <w:rsid w:val="00AB0B52"/>
    <w:rsid w:val="00AB494C"/>
    <w:rsid w:val="00AB4E36"/>
    <w:rsid w:val="00AB5BE4"/>
    <w:rsid w:val="00AC19DF"/>
    <w:rsid w:val="00AC1D5F"/>
    <w:rsid w:val="00AC2033"/>
    <w:rsid w:val="00AC3838"/>
    <w:rsid w:val="00AC3BE1"/>
    <w:rsid w:val="00AC4B67"/>
    <w:rsid w:val="00AC5166"/>
    <w:rsid w:val="00AC6155"/>
    <w:rsid w:val="00AC7D0C"/>
    <w:rsid w:val="00AD12E2"/>
    <w:rsid w:val="00AD2130"/>
    <w:rsid w:val="00AD3FDB"/>
    <w:rsid w:val="00AD49BE"/>
    <w:rsid w:val="00AD4E86"/>
    <w:rsid w:val="00AD70B5"/>
    <w:rsid w:val="00AE527F"/>
    <w:rsid w:val="00AE75AE"/>
    <w:rsid w:val="00AE7895"/>
    <w:rsid w:val="00AF4ADA"/>
    <w:rsid w:val="00AF5609"/>
    <w:rsid w:val="00AF5E70"/>
    <w:rsid w:val="00B04E44"/>
    <w:rsid w:val="00B05716"/>
    <w:rsid w:val="00B061F3"/>
    <w:rsid w:val="00B062E9"/>
    <w:rsid w:val="00B07BD1"/>
    <w:rsid w:val="00B07CE2"/>
    <w:rsid w:val="00B10313"/>
    <w:rsid w:val="00B11B48"/>
    <w:rsid w:val="00B12B9B"/>
    <w:rsid w:val="00B12F4D"/>
    <w:rsid w:val="00B24B98"/>
    <w:rsid w:val="00B24F1E"/>
    <w:rsid w:val="00B258A5"/>
    <w:rsid w:val="00B26FED"/>
    <w:rsid w:val="00B311FC"/>
    <w:rsid w:val="00B3709F"/>
    <w:rsid w:val="00B46A53"/>
    <w:rsid w:val="00B50176"/>
    <w:rsid w:val="00B53C1D"/>
    <w:rsid w:val="00B56CA5"/>
    <w:rsid w:val="00B573BC"/>
    <w:rsid w:val="00B61774"/>
    <w:rsid w:val="00B61813"/>
    <w:rsid w:val="00B630C4"/>
    <w:rsid w:val="00B63688"/>
    <w:rsid w:val="00B6501C"/>
    <w:rsid w:val="00B65232"/>
    <w:rsid w:val="00B67867"/>
    <w:rsid w:val="00B73A79"/>
    <w:rsid w:val="00B775C6"/>
    <w:rsid w:val="00B81DFB"/>
    <w:rsid w:val="00B81F55"/>
    <w:rsid w:val="00B82A6B"/>
    <w:rsid w:val="00B84999"/>
    <w:rsid w:val="00B90A6E"/>
    <w:rsid w:val="00B946C0"/>
    <w:rsid w:val="00B94F6C"/>
    <w:rsid w:val="00B96819"/>
    <w:rsid w:val="00B96BDF"/>
    <w:rsid w:val="00BA302B"/>
    <w:rsid w:val="00BA37EC"/>
    <w:rsid w:val="00BA6272"/>
    <w:rsid w:val="00BA7F6F"/>
    <w:rsid w:val="00BB08D5"/>
    <w:rsid w:val="00BB20C6"/>
    <w:rsid w:val="00BB2D45"/>
    <w:rsid w:val="00BD23EE"/>
    <w:rsid w:val="00BD491C"/>
    <w:rsid w:val="00BD75D6"/>
    <w:rsid w:val="00BE185B"/>
    <w:rsid w:val="00BE726B"/>
    <w:rsid w:val="00BE775B"/>
    <w:rsid w:val="00BF20FB"/>
    <w:rsid w:val="00BF36C4"/>
    <w:rsid w:val="00BF5594"/>
    <w:rsid w:val="00C04075"/>
    <w:rsid w:val="00C040FB"/>
    <w:rsid w:val="00C06228"/>
    <w:rsid w:val="00C0672E"/>
    <w:rsid w:val="00C10AB9"/>
    <w:rsid w:val="00C12C72"/>
    <w:rsid w:val="00C136BA"/>
    <w:rsid w:val="00C216F5"/>
    <w:rsid w:val="00C21D93"/>
    <w:rsid w:val="00C23FCC"/>
    <w:rsid w:val="00C26702"/>
    <w:rsid w:val="00C27A11"/>
    <w:rsid w:val="00C31D84"/>
    <w:rsid w:val="00C3269E"/>
    <w:rsid w:val="00C33510"/>
    <w:rsid w:val="00C374B9"/>
    <w:rsid w:val="00C37F5B"/>
    <w:rsid w:val="00C41DF4"/>
    <w:rsid w:val="00C4477B"/>
    <w:rsid w:val="00C45145"/>
    <w:rsid w:val="00C476B4"/>
    <w:rsid w:val="00C47E42"/>
    <w:rsid w:val="00C50FEA"/>
    <w:rsid w:val="00C54334"/>
    <w:rsid w:val="00C55B97"/>
    <w:rsid w:val="00C5619A"/>
    <w:rsid w:val="00C6127D"/>
    <w:rsid w:val="00C61369"/>
    <w:rsid w:val="00C61955"/>
    <w:rsid w:val="00C61C99"/>
    <w:rsid w:val="00C63809"/>
    <w:rsid w:val="00C6394F"/>
    <w:rsid w:val="00C64533"/>
    <w:rsid w:val="00C66497"/>
    <w:rsid w:val="00C671DB"/>
    <w:rsid w:val="00C7178A"/>
    <w:rsid w:val="00C73DF1"/>
    <w:rsid w:val="00C8271B"/>
    <w:rsid w:val="00C833C7"/>
    <w:rsid w:val="00C841AF"/>
    <w:rsid w:val="00C84E18"/>
    <w:rsid w:val="00C858EC"/>
    <w:rsid w:val="00C8655C"/>
    <w:rsid w:val="00C87B6E"/>
    <w:rsid w:val="00C95BDF"/>
    <w:rsid w:val="00CA04F4"/>
    <w:rsid w:val="00CA416A"/>
    <w:rsid w:val="00CA6ABD"/>
    <w:rsid w:val="00CB04AC"/>
    <w:rsid w:val="00CB0C15"/>
    <w:rsid w:val="00CB3E22"/>
    <w:rsid w:val="00CB60CE"/>
    <w:rsid w:val="00CB7B4B"/>
    <w:rsid w:val="00CC1158"/>
    <w:rsid w:val="00CC6359"/>
    <w:rsid w:val="00CC78DE"/>
    <w:rsid w:val="00CD17C0"/>
    <w:rsid w:val="00CD3BF2"/>
    <w:rsid w:val="00CD746F"/>
    <w:rsid w:val="00CD7CA3"/>
    <w:rsid w:val="00CE22FC"/>
    <w:rsid w:val="00CE7666"/>
    <w:rsid w:val="00CF09C0"/>
    <w:rsid w:val="00CF1010"/>
    <w:rsid w:val="00CF1510"/>
    <w:rsid w:val="00CF5ADA"/>
    <w:rsid w:val="00CF626F"/>
    <w:rsid w:val="00D0027D"/>
    <w:rsid w:val="00D049B8"/>
    <w:rsid w:val="00D04D9F"/>
    <w:rsid w:val="00D05FCF"/>
    <w:rsid w:val="00D0737D"/>
    <w:rsid w:val="00D141FF"/>
    <w:rsid w:val="00D171ED"/>
    <w:rsid w:val="00D17A15"/>
    <w:rsid w:val="00D25FCB"/>
    <w:rsid w:val="00D26D62"/>
    <w:rsid w:val="00D26E72"/>
    <w:rsid w:val="00D30EAF"/>
    <w:rsid w:val="00D318CC"/>
    <w:rsid w:val="00D32EE0"/>
    <w:rsid w:val="00D330B8"/>
    <w:rsid w:val="00D33475"/>
    <w:rsid w:val="00D33843"/>
    <w:rsid w:val="00D34E7A"/>
    <w:rsid w:val="00D35CE6"/>
    <w:rsid w:val="00D363D0"/>
    <w:rsid w:val="00D42983"/>
    <w:rsid w:val="00D4380B"/>
    <w:rsid w:val="00D46261"/>
    <w:rsid w:val="00D557A1"/>
    <w:rsid w:val="00D56961"/>
    <w:rsid w:val="00D615FF"/>
    <w:rsid w:val="00D645E8"/>
    <w:rsid w:val="00D65F91"/>
    <w:rsid w:val="00D70D68"/>
    <w:rsid w:val="00D80BB0"/>
    <w:rsid w:val="00D81EB0"/>
    <w:rsid w:val="00D825BC"/>
    <w:rsid w:val="00D8609E"/>
    <w:rsid w:val="00D86B21"/>
    <w:rsid w:val="00D90CB6"/>
    <w:rsid w:val="00D91832"/>
    <w:rsid w:val="00D92238"/>
    <w:rsid w:val="00D9399B"/>
    <w:rsid w:val="00D94B2D"/>
    <w:rsid w:val="00D959FD"/>
    <w:rsid w:val="00D95CFE"/>
    <w:rsid w:val="00D95D9E"/>
    <w:rsid w:val="00D96361"/>
    <w:rsid w:val="00D96C32"/>
    <w:rsid w:val="00D972C0"/>
    <w:rsid w:val="00DA09EE"/>
    <w:rsid w:val="00DB22D3"/>
    <w:rsid w:val="00DB6AE6"/>
    <w:rsid w:val="00DB6D54"/>
    <w:rsid w:val="00DC2B25"/>
    <w:rsid w:val="00DC3330"/>
    <w:rsid w:val="00DC39D1"/>
    <w:rsid w:val="00DC4170"/>
    <w:rsid w:val="00DD2D94"/>
    <w:rsid w:val="00DD4452"/>
    <w:rsid w:val="00DD49D6"/>
    <w:rsid w:val="00DD75B3"/>
    <w:rsid w:val="00DE26A0"/>
    <w:rsid w:val="00DE51D8"/>
    <w:rsid w:val="00DE65D0"/>
    <w:rsid w:val="00DF0D89"/>
    <w:rsid w:val="00DF1626"/>
    <w:rsid w:val="00DF63CC"/>
    <w:rsid w:val="00E00911"/>
    <w:rsid w:val="00E01B4C"/>
    <w:rsid w:val="00E04A5C"/>
    <w:rsid w:val="00E06397"/>
    <w:rsid w:val="00E06817"/>
    <w:rsid w:val="00E07940"/>
    <w:rsid w:val="00E10620"/>
    <w:rsid w:val="00E133CA"/>
    <w:rsid w:val="00E16630"/>
    <w:rsid w:val="00E16753"/>
    <w:rsid w:val="00E258CA"/>
    <w:rsid w:val="00E26626"/>
    <w:rsid w:val="00E307AF"/>
    <w:rsid w:val="00E30910"/>
    <w:rsid w:val="00E32C46"/>
    <w:rsid w:val="00E40D8C"/>
    <w:rsid w:val="00E41590"/>
    <w:rsid w:val="00E4185D"/>
    <w:rsid w:val="00E41D8C"/>
    <w:rsid w:val="00E5733A"/>
    <w:rsid w:val="00E60CBF"/>
    <w:rsid w:val="00E61704"/>
    <w:rsid w:val="00E64D73"/>
    <w:rsid w:val="00E65F51"/>
    <w:rsid w:val="00E66122"/>
    <w:rsid w:val="00E667E4"/>
    <w:rsid w:val="00E70155"/>
    <w:rsid w:val="00E702D0"/>
    <w:rsid w:val="00E724DC"/>
    <w:rsid w:val="00E74267"/>
    <w:rsid w:val="00E772FD"/>
    <w:rsid w:val="00E80D9A"/>
    <w:rsid w:val="00E82F17"/>
    <w:rsid w:val="00E9018D"/>
    <w:rsid w:val="00E92678"/>
    <w:rsid w:val="00E93301"/>
    <w:rsid w:val="00E95710"/>
    <w:rsid w:val="00EA3718"/>
    <w:rsid w:val="00EA3949"/>
    <w:rsid w:val="00EA7DE0"/>
    <w:rsid w:val="00EB048D"/>
    <w:rsid w:val="00EB42ED"/>
    <w:rsid w:val="00EB72BD"/>
    <w:rsid w:val="00EB7E0D"/>
    <w:rsid w:val="00EC133E"/>
    <w:rsid w:val="00EC1391"/>
    <w:rsid w:val="00EC4EA1"/>
    <w:rsid w:val="00ED0333"/>
    <w:rsid w:val="00ED2A87"/>
    <w:rsid w:val="00ED3AE8"/>
    <w:rsid w:val="00ED4138"/>
    <w:rsid w:val="00ED5B52"/>
    <w:rsid w:val="00ED6207"/>
    <w:rsid w:val="00ED7027"/>
    <w:rsid w:val="00ED7D66"/>
    <w:rsid w:val="00EE0068"/>
    <w:rsid w:val="00EE1E8E"/>
    <w:rsid w:val="00EE360B"/>
    <w:rsid w:val="00EE47A7"/>
    <w:rsid w:val="00EE6E21"/>
    <w:rsid w:val="00EE74F1"/>
    <w:rsid w:val="00EE78A6"/>
    <w:rsid w:val="00EE7ED2"/>
    <w:rsid w:val="00EF7D17"/>
    <w:rsid w:val="00F00E5C"/>
    <w:rsid w:val="00F11060"/>
    <w:rsid w:val="00F152DE"/>
    <w:rsid w:val="00F158D5"/>
    <w:rsid w:val="00F21093"/>
    <w:rsid w:val="00F23356"/>
    <w:rsid w:val="00F30E1A"/>
    <w:rsid w:val="00F31D19"/>
    <w:rsid w:val="00F32477"/>
    <w:rsid w:val="00F34021"/>
    <w:rsid w:val="00F42208"/>
    <w:rsid w:val="00F45108"/>
    <w:rsid w:val="00F479F0"/>
    <w:rsid w:val="00F502FC"/>
    <w:rsid w:val="00F5251D"/>
    <w:rsid w:val="00F54A10"/>
    <w:rsid w:val="00F575CB"/>
    <w:rsid w:val="00F57B34"/>
    <w:rsid w:val="00F62CB5"/>
    <w:rsid w:val="00F665B5"/>
    <w:rsid w:val="00F66E53"/>
    <w:rsid w:val="00F720DB"/>
    <w:rsid w:val="00F74B28"/>
    <w:rsid w:val="00F765FB"/>
    <w:rsid w:val="00F80932"/>
    <w:rsid w:val="00F815EB"/>
    <w:rsid w:val="00F91668"/>
    <w:rsid w:val="00F91775"/>
    <w:rsid w:val="00F97CF1"/>
    <w:rsid w:val="00FA1AED"/>
    <w:rsid w:val="00FA41C7"/>
    <w:rsid w:val="00FA67A3"/>
    <w:rsid w:val="00FA792A"/>
    <w:rsid w:val="00FB346C"/>
    <w:rsid w:val="00FB7CDF"/>
    <w:rsid w:val="00FC0DAE"/>
    <w:rsid w:val="00FC16CF"/>
    <w:rsid w:val="00FD033B"/>
    <w:rsid w:val="00FE3164"/>
    <w:rsid w:val="00FE3E6A"/>
    <w:rsid w:val="00FF0D16"/>
    <w:rsid w:val="00FF30C7"/>
    <w:rsid w:val="00FF4CE1"/>
    <w:rsid w:val="00FF5028"/>
    <w:rsid w:val="00FF5B12"/>
    <w:rsid w:val="097F383C"/>
    <w:rsid w:val="12AC1E9F"/>
    <w:rsid w:val="14B06F9F"/>
    <w:rsid w:val="17CD0F85"/>
    <w:rsid w:val="1D00756F"/>
    <w:rsid w:val="1ECF757C"/>
    <w:rsid w:val="1F4304FF"/>
    <w:rsid w:val="22AA7129"/>
    <w:rsid w:val="27A847F9"/>
    <w:rsid w:val="29D0247F"/>
    <w:rsid w:val="2C1300E8"/>
    <w:rsid w:val="2D2F4BE6"/>
    <w:rsid w:val="2F1B3888"/>
    <w:rsid w:val="33112138"/>
    <w:rsid w:val="33154F45"/>
    <w:rsid w:val="33A13950"/>
    <w:rsid w:val="34AE1B9B"/>
    <w:rsid w:val="39902D77"/>
    <w:rsid w:val="3B8B7C9A"/>
    <w:rsid w:val="3CBD6693"/>
    <w:rsid w:val="3D2C4F00"/>
    <w:rsid w:val="3F5C36FF"/>
    <w:rsid w:val="4300244B"/>
    <w:rsid w:val="472F1E22"/>
    <w:rsid w:val="4ABD17F1"/>
    <w:rsid w:val="4BDA52A4"/>
    <w:rsid w:val="4ECD1134"/>
    <w:rsid w:val="4F856531"/>
    <w:rsid w:val="505F30B6"/>
    <w:rsid w:val="518A1B80"/>
    <w:rsid w:val="51D36013"/>
    <w:rsid w:val="541A1764"/>
    <w:rsid w:val="57A9447F"/>
    <w:rsid w:val="584A23DB"/>
    <w:rsid w:val="59A936E1"/>
    <w:rsid w:val="59D400CD"/>
    <w:rsid w:val="5A982EA2"/>
    <w:rsid w:val="5D253155"/>
    <w:rsid w:val="5D283143"/>
    <w:rsid w:val="5DF13582"/>
    <w:rsid w:val="622A1706"/>
    <w:rsid w:val="62F0750A"/>
    <w:rsid w:val="63097376"/>
    <w:rsid w:val="643847A7"/>
    <w:rsid w:val="6757392B"/>
    <w:rsid w:val="6F2864F5"/>
    <w:rsid w:val="6F490CF7"/>
    <w:rsid w:val="7000707A"/>
    <w:rsid w:val="71965CA3"/>
    <w:rsid w:val="73DE5EB2"/>
    <w:rsid w:val="756F4D49"/>
    <w:rsid w:val="759E16C4"/>
    <w:rsid w:val="76D123B9"/>
    <w:rsid w:val="78814C72"/>
    <w:rsid w:val="79D12A13"/>
    <w:rsid w:val="7B397C71"/>
    <w:rsid w:val="7B4F58E7"/>
    <w:rsid w:val="7BEB5E57"/>
    <w:rsid w:val="7D526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0" w:name="Normal Indent"/>
    <w:lsdException w:uiPriority="0" w:name="footnote text"/>
    <w:lsdException w:qFormat="1" w:uiPriority="0" w:semiHidden="0" w:name="annotation text"/>
    <w:lsdException w:qFormat="1" w:uiPriority="99" w:semiHidden="0" w:name="header"/>
    <w:lsdException w:qFormat="1" w:uiPriority="0" w:semiHidden="0" w:name="footer"/>
    <w:lsdException w:uiPriority="0" w:name="index heading"/>
    <w:lsdException w:qFormat="1" w:uiPriority="0" w:semiHidden="0" w:name="caption"/>
    <w:lsdException w:uiPriority="99" w:name="table of figures"/>
    <w:lsdException w:uiPriority="99" w:name="envelope address"/>
    <w:lsdException w:uiPriority="99" w:name="envelope return"/>
    <w:lsdException w:uiPriority="0" w:name="footnote reference"/>
    <w:lsdException w:qFormat="1" w:uiPriority="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qFormat="1" w:uiPriority="0" w:name="macro"/>
    <w:lsdException w:uiPriority="99" w:name="toa heading"/>
    <w:lsdException w:qFormat="1" w:unhideWhenUsed="0" w:uiPriority="0" w:semiHidden="0" w:name="List"/>
    <w:lsdException w:qFormat="1" w:uiPriority="0" w:name="List Bullet"/>
    <w:lsdException w:qFormat="1" w:unhideWhenUsed="0" w:uiPriority="0" w:name="List Number"/>
    <w:lsdException w:uiPriority="99" w:name="List 2"/>
    <w:lsdException w:uiPriority="99" w:name="List 3"/>
    <w:lsdException w:uiPriority="99" w:name="List 4"/>
    <w:lsdException w:uiPriority="99" w:name="List 5"/>
    <w:lsdException w:qFormat="1" w:uiPriority="0" w:name="List Bullet 2"/>
    <w:lsdException w:qFormat="1" w:uiPriority="0" w:name="List Bullet 3"/>
    <w:lsdException w:qFormat="1" w:uiPriority="0" w:name="List Bullet 4"/>
    <w:lsdException w:qFormat="1" w:uiPriority="0" w:semiHidden="0"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0" w:name="Body Text 2"/>
    <w:lsdException w:qFormat="1" w:uiPriority="0" w:name="Body Text 3"/>
    <w:lsdException w:uiPriority="0" w:name="Body Text Indent 2"/>
    <w:lsdException w:uiPriority="0" w:name="Body Text Indent 3"/>
    <w:lsdException w:qFormat="1"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0"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0"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00" w:lineRule="exact"/>
      <w:ind w:firstLine="200" w:firstLineChars="200"/>
      <w:jc w:val="both"/>
    </w:pPr>
    <w:rPr>
      <w:rFonts w:ascii="Times New Roman" w:hAnsi="Times New Roman" w:eastAsia="宋体" w:cs="Times New Roman"/>
      <w:kern w:val="2"/>
      <w:sz w:val="28"/>
      <w:szCs w:val="22"/>
      <w:lang w:val="en-US" w:eastAsia="zh-CN" w:bidi="ar-SA"/>
    </w:rPr>
  </w:style>
  <w:style w:type="paragraph" w:styleId="4">
    <w:name w:val="heading 1"/>
    <w:basedOn w:val="1"/>
    <w:next w:val="1"/>
    <w:link w:val="42"/>
    <w:autoRedefine/>
    <w:qFormat/>
    <w:uiPriority w:val="0"/>
    <w:pPr>
      <w:keepNext/>
      <w:keepLines/>
      <w:numPr>
        <w:ilvl w:val="0"/>
        <w:numId w:val="1"/>
      </w:numPr>
      <w:spacing w:before="320" w:after="320"/>
      <w:ind w:firstLineChars="0"/>
      <w:jc w:val="center"/>
      <w:outlineLvl w:val="0"/>
    </w:pPr>
    <w:rPr>
      <w:rFonts w:eastAsia="黑体"/>
      <w:b/>
      <w:bCs/>
      <w:kern w:val="44"/>
      <w:sz w:val="44"/>
      <w:szCs w:val="44"/>
    </w:rPr>
  </w:style>
  <w:style w:type="paragraph" w:styleId="5">
    <w:name w:val="heading 2"/>
    <w:basedOn w:val="1"/>
    <w:next w:val="1"/>
    <w:link w:val="43"/>
    <w:autoRedefine/>
    <w:qFormat/>
    <w:uiPriority w:val="0"/>
    <w:pPr>
      <w:keepNext/>
      <w:keepLines/>
      <w:numPr>
        <w:ilvl w:val="1"/>
        <w:numId w:val="1"/>
      </w:numPr>
      <w:spacing w:before="260" w:after="260"/>
      <w:ind w:firstLineChars="0"/>
      <w:outlineLvl w:val="1"/>
    </w:pPr>
    <w:rPr>
      <w:rFonts w:eastAsia="黑体"/>
      <w:b/>
      <w:bCs/>
      <w:kern w:val="0"/>
      <w:sz w:val="36"/>
      <w:szCs w:val="36"/>
    </w:rPr>
  </w:style>
  <w:style w:type="paragraph" w:styleId="6">
    <w:name w:val="heading 3"/>
    <w:basedOn w:val="1"/>
    <w:next w:val="1"/>
    <w:link w:val="45"/>
    <w:autoRedefine/>
    <w:qFormat/>
    <w:uiPriority w:val="0"/>
    <w:pPr>
      <w:keepNext/>
      <w:keepLines/>
      <w:numPr>
        <w:ilvl w:val="2"/>
        <w:numId w:val="1"/>
      </w:numPr>
      <w:spacing w:before="260" w:after="260"/>
      <w:ind w:firstLineChars="0"/>
      <w:outlineLvl w:val="2"/>
    </w:pPr>
    <w:rPr>
      <w:rFonts w:eastAsia="黑体"/>
      <w:b/>
      <w:bCs/>
      <w:kern w:val="0"/>
      <w:sz w:val="32"/>
      <w:szCs w:val="32"/>
    </w:rPr>
  </w:style>
  <w:style w:type="paragraph" w:styleId="7">
    <w:name w:val="heading 4"/>
    <w:basedOn w:val="1"/>
    <w:next w:val="1"/>
    <w:link w:val="44"/>
    <w:autoRedefine/>
    <w:qFormat/>
    <w:uiPriority w:val="0"/>
    <w:pPr>
      <w:keepNext/>
      <w:keepLines/>
      <w:numPr>
        <w:ilvl w:val="3"/>
        <w:numId w:val="1"/>
      </w:numPr>
      <w:ind w:firstLineChars="0"/>
      <w:outlineLvl w:val="3"/>
    </w:pPr>
    <w:rPr>
      <w:rFonts w:eastAsia="黑体"/>
      <w:b/>
      <w:bCs/>
      <w:color w:val="000000" w:themeColor="text1"/>
      <w:kern w:val="0"/>
      <w:sz w:val="30"/>
      <w:szCs w:val="32"/>
      <w14:textFill>
        <w14:solidFill>
          <w14:schemeClr w14:val="tx1"/>
        </w14:solidFill>
      </w14:textFill>
    </w:rPr>
  </w:style>
  <w:style w:type="paragraph" w:styleId="8">
    <w:name w:val="heading 5"/>
    <w:basedOn w:val="1"/>
    <w:next w:val="1"/>
    <w:link w:val="46"/>
    <w:autoRedefine/>
    <w:qFormat/>
    <w:uiPriority w:val="0"/>
    <w:pPr>
      <w:keepNext/>
      <w:keepLines/>
      <w:spacing w:before="280" w:after="290" w:line="376" w:lineRule="auto"/>
      <w:outlineLvl w:val="4"/>
    </w:pPr>
    <w:rPr>
      <w:b/>
      <w:bCs/>
      <w:kern w:val="0"/>
      <w:szCs w:val="28"/>
    </w:rPr>
  </w:style>
  <w:style w:type="paragraph" w:styleId="9">
    <w:name w:val="heading 6"/>
    <w:basedOn w:val="1"/>
    <w:next w:val="1"/>
    <w:link w:val="47"/>
    <w:autoRedefine/>
    <w:qFormat/>
    <w:uiPriority w:val="0"/>
    <w:pPr>
      <w:keepNext/>
      <w:keepLines/>
      <w:spacing w:before="240" w:after="64" w:line="320" w:lineRule="auto"/>
      <w:outlineLvl w:val="5"/>
    </w:pPr>
    <w:rPr>
      <w:rFonts w:ascii="Arial" w:hAnsi="Arial" w:eastAsia="黑体"/>
      <w:b/>
      <w:kern w:val="0"/>
      <w:sz w:val="24"/>
      <w:szCs w:val="20"/>
    </w:rPr>
  </w:style>
  <w:style w:type="paragraph" w:styleId="10">
    <w:name w:val="heading 7"/>
    <w:basedOn w:val="1"/>
    <w:next w:val="1"/>
    <w:link w:val="53"/>
    <w:autoRedefine/>
    <w:qFormat/>
    <w:uiPriority w:val="0"/>
    <w:pPr>
      <w:keepNext/>
      <w:keepLines/>
      <w:spacing w:before="240" w:after="64" w:line="320" w:lineRule="auto"/>
      <w:outlineLvl w:val="6"/>
    </w:pPr>
    <w:rPr>
      <w:b/>
      <w:kern w:val="0"/>
      <w:sz w:val="24"/>
      <w:szCs w:val="20"/>
    </w:rPr>
  </w:style>
  <w:style w:type="paragraph" w:styleId="11">
    <w:name w:val="heading 8"/>
    <w:basedOn w:val="1"/>
    <w:next w:val="1"/>
    <w:link w:val="54"/>
    <w:autoRedefine/>
    <w:qFormat/>
    <w:uiPriority w:val="0"/>
    <w:pPr>
      <w:keepNext/>
      <w:keepLines/>
      <w:spacing w:before="240" w:after="64" w:line="320" w:lineRule="auto"/>
      <w:outlineLvl w:val="7"/>
    </w:pPr>
    <w:rPr>
      <w:rFonts w:ascii="Arial" w:hAnsi="Arial" w:eastAsia="黑体"/>
      <w:kern w:val="0"/>
      <w:sz w:val="24"/>
      <w:szCs w:val="20"/>
    </w:rPr>
  </w:style>
  <w:style w:type="paragraph" w:styleId="12">
    <w:name w:val="heading 9"/>
    <w:basedOn w:val="1"/>
    <w:next w:val="1"/>
    <w:link w:val="55"/>
    <w:autoRedefine/>
    <w:qFormat/>
    <w:uiPriority w:val="0"/>
    <w:pPr>
      <w:keepNext/>
      <w:keepLines/>
      <w:spacing w:before="240" w:after="64" w:line="320" w:lineRule="auto"/>
      <w:outlineLvl w:val="8"/>
    </w:pPr>
    <w:rPr>
      <w:rFonts w:ascii="Arial" w:hAnsi="Arial" w:eastAsia="黑体"/>
      <w:kern w:val="0"/>
      <w:sz w:val="20"/>
      <w:szCs w:val="20"/>
    </w:rPr>
  </w:style>
  <w:style w:type="character" w:default="1" w:styleId="36">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left="0" w:leftChars="0" w:firstLine="420"/>
    </w:pPr>
    <w:rPr>
      <w:rFonts w:ascii="宋体" w:hAnsi="宋体" w:cs="宋体"/>
    </w:rPr>
  </w:style>
  <w:style w:type="paragraph" w:styleId="3">
    <w:name w:val="Body Text Indent"/>
    <w:basedOn w:val="1"/>
    <w:autoRedefine/>
    <w:qFormat/>
    <w:uiPriority w:val="0"/>
    <w:pPr>
      <w:spacing w:after="120"/>
      <w:ind w:left="420" w:leftChars="200"/>
    </w:pPr>
  </w:style>
  <w:style w:type="paragraph" w:styleId="13">
    <w:name w:val="toc 7"/>
    <w:basedOn w:val="1"/>
    <w:next w:val="1"/>
    <w:autoRedefine/>
    <w:unhideWhenUsed/>
    <w:qFormat/>
    <w:uiPriority w:val="39"/>
    <w:pPr>
      <w:ind w:left="1680"/>
      <w:jc w:val="left"/>
    </w:pPr>
    <w:rPr>
      <w:rFonts w:asciiTheme="minorHAnsi" w:hAnsiTheme="minorHAnsi" w:cstheme="minorHAnsi"/>
      <w:sz w:val="18"/>
      <w:szCs w:val="18"/>
    </w:rPr>
  </w:style>
  <w:style w:type="paragraph" w:styleId="14">
    <w:name w:val="caption"/>
    <w:basedOn w:val="1"/>
    <w:next w:val="1"/>
    <w:autoRedefine/>
    <w:unhideWhenUsed/>
    <w:qFormat/>
    <w:uiPriority w:val="0"/>
    <w:pPr>
      <w:spacing w:before="50" w:beforeLines="50" w:after="50" w:afterLines="50" w:line="240" w:lineRule="auto"/>
      <w:ind w:firstLine="0" w:firstLineChars="0"/>
      <w:jc w:val="center"/>
    </w:pPr>
    <w:rPr>
      <w:b/>
      <w:sz w:val="24"/>
    </w:rPr>
  </w:style>
  <w:style w:type="paragraph" w:styleId="15">
    <w:name w:val="annotation text"/>
    <w:basedOn w:val="1"/>
    <w:link w:val="51"/>
    <w:autoRedefine/>
    <w:unhideWhenUsed/>
    <w:qFormat/>
    <w:uiPriority w:val="0"/>
    <w:pPr>
      <w:jc w:val="left"/>
    </w:pPr>
  </w:style>
  <w:style w:type="paragraph" w:styleId="16">
    <w:name w:val="Body Text"/>
    <w:basedOn w:val="1"/>
    <w:next w:val="17"/>
    <w:autoRedefine/>
    <w:qFormat/>
    <w:uiPriority w:val="0"/>
    <w:pPr>
      <w:spacing w:after="120"/>
    </w:pPr>
  </w:style>
  <w:style w:type="paragraph" w:styleId="17">
    <w:name w:val="List Bullet 5"/>
    <w:basedOn w:val="1"/>
    <w:autoRedefine/>
    <w:unhideWhenUsed/>
    <w:qFormat/>
    <w:uiPriority w:val="0"/>
    <w:pPr>
      <w:numPr>
        <w:ilvl w:val="0"/>
        <w:numId w:val="2"/>
      </w:numPr>
    </w:pPr>
  </w:style>
  <w:style w:type="paragraph" w:styleId="18">
    <w:name w:val="toc 5"/>
    <w:basedOn w:val="1"/>
    <w:next w:val="1"/>
    <w:autoRedefine/>
    <w:unhideWhenUsed/>
    <w:qFormat/>
    <w:uiPriority w:val="39"/>
    <w:pPr>
      <w:ind w:left="1120"/>
      <w:jc w:val="left"/>
    </w:pPr>
    <w:rPr>
      <w:rFonts w:asciiTheme="minorHAnsi" w:hAnsiTheme="minorHAnsi" w:cstheme="minorHAnsi"/>
      <w:sz w:val="18"/>
      <w:szCs w:val="18"/>
    </w:rPr>
  </w:style>
  <w:style w:type="paragraph" w:styleId="19">
    <w:name w:val="toc 3"/>
    <w:basedOn w:val="20"/>
    <w:next w:val="1"/>
    <w:autoRedefine/>
    <w:unhideWhenUsed/>
    <w:qFormat/>
    <w:uiPriority w:val="39"/>
    <w:pPr>
      <w:tabs>
        <w:tab w:val="right" w:leader="dot" w:pos="8307"/>
      </w:tabs>
      <w:ind w:left="0"/>
    </w:pPr>
    <w:rPr>
      <w:b w:val="0"/>
      <w:iCs/>
      <w:color w:val="000000" w:themeColor="text1"/>
      <w:szCs w:val="24"/>
      <w14:textFill>
        <w14:solidFill>
          <w14:schemeClr w14:val="tx1"/>
        </w14:solidFill>
      </w14:textFill>
    </w:rPr>
  </w:style>
  <w:style w:type="paragraph" w:styleId="20">
    <w:name w:val="toc 1"/>
    <w:basedOn w:val="1"/>
    <w:next w:val="1"/>
    <w:autoRedefine/>
    <w:unhideWhenUsed/>
    <w:qFormat/>
    <w:uiPriority w:val="39"/>
    <w:pPr>
      <w:snapToGrid w:val="0"/>
      <w:spacing w:line="400" w:lineRule="exact"/>
      <w:ind w:firstLine="0" w:firstLineChars="0"/>
      <w:jc w:val="left"/>
    </w:pPr>
    <w:rPr>
      <w:rFonts w:ascii="宋体" w:hAnsi="宋体" w:eastAsia="宋体" w:cstheme="minorHAnsi"/>
      <w:b/>
      <w:bCs/>
      <w:caps/>
      <w:sz w:val="24"/>
      <w:szCs w:val="20"/>
    </w:rPr>
  </w:style>
  <w:style w:type="paragraph" w:styleId="21">
    <w:name w:val="Plain Text"/>
    <w:basedOn w:val="1"/>
    <w:link w:val="69"/>
    <w:autoRedefine/>
    <w:unhideWhenUsed/>
    <w:qFormat/>
    <w:uiPriority w:val="0"/>
    <w:rPr>
      <w:rFonts w:hAnsi="Courier New" w:cs="Courier New" w:asciiTheme="minorEastAsia" w:eastAsiaTheme="minorEastAsia"/>
    </w:rPr>
  </w:style>
  <w:style w:type="paragraph" w:styleId="22">
    <w:name w:val="toc 8"/>
    <w:basedOn w:val="1"/>
    <w:next w:val="1"/>
    <w:autoRedefine/>
    <w:unhideWhenUsed/>
    <w:qFormat/>
    <w:uiPriority w:val="39"/>
    <w:pPr>
      <w:ind w:left="1960"/>
      <w:jc w:val="left"/>
    </w:pPr>
    <w:rPr>
      <w:rFonts w:asciiTheme="minorHAnsi" w:hAnsiTheme="minorHAnsi" w:cstheme="minorHAnsi"/>
      <w:sz w:val="18"/>
      <w:szCs w:val="18"/>
    </w:rPr>
  </w:style>
  <w:style w:type="paragraph" w:styleId="23">
    <w:name w:val="Date"/>
    <w:basedOn w:val="1"/>
    <w:next w:val="1"/>
    <w:link w:val="60"/>
    <w:autoRedefine/>
    <w:qFormat/>
    <w:uiPriority w:val="0"/>
    <w:pPr>
      <w:ind w:left="100" w:leftChars="2500"/>
    </w:pPr>
  </w:style>
  <w:style w:type="paragraph" w:styleId="24">
    <w:name w:val="Balloon Text"/>
    <w:basedOn w:val="1"/>
    <w:link w:val="71"/>
    <w:autoRedefine/>
    <w:semiHidden/>
    <w:unhideWhenUsed/>
    <w:qFormat/>
    <w:uiPriority w:val="99"/>
    <w:pPr>
      <w:spacing w:line="240" w:lineRule="auto"/>
    </w:pPr>
    <w:rPr>
      <w:sz w:val="18"/>
      <w:szCs w:val="18"/>
    </w:rPr>
  </w:style>
  <w:style w:type="paragraph" w:styleId="25">
    <w:name w:val="footer"/>
    <w:basedOn w:val="1"/>
    <w:link w:val="49"/>
    <w:autoRedefine/>
    <w:unhideWhenUsed/>
    <w:qFormat/>
    <w:uiPriority w:val="0"/>
    <w:pPr>
      <w:tabs>
        <w:tab w:val="center" w:pos="4153"/>
        <w:tab w:val="right" w:pos="8306"/>
      </w:tabs>
      <w:snapToGrid w:val="0"/>
      <w:jc w:val="left"/>
    </w:pPr>
    <w:rPr>
      <w:sz w:val="18"/>
      <w:szCs w:val="18"/>
    </w:rPr>
  </w:style>
  <w:style w:type="paragraph" w:styleId="26">
    <w:name w:val="header"/>
    <w:basedOn w:val="1"/>
    <w:link w:val="4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7">
    <w:name w:val="toc 4"/>
    <w:basedOn w:val="1"/>
    <w:next w:val="1"/>
    <w:autoRedefine/>
    <w:unhideWhenUsed/>
    <w:qFormat/>
    <w:uiPriority w:val="39"/>
    <w:pPr>
      <w:ind w:left="840"/>
      <w:jc w:val="left"/>
    </w:pPr>
    <w:rPr>
      <w:rFonts w:asciiTheme="minorHAnsi" w:hAnsiTheme="minorHAnsi" w:cstheme="minorHAnsi"/>
      <w:sz w:val="18"/>
      <w:szCs w:val="18"/>
    </w:rPr>
  </w:style>
  <w:style w:type="paragraph" w:styleId="28">
    <w:name w:val="List"/>
    <w:basedOn w:val="1"/>
    <w:autoRedefine/>
    <w:qFormat/>
    <w:uiPriority w:val="0"/>
    <w:pPr>
      <w:ind w:left="200" w:hanging="200" w:hangingChars="200"/>
      <w:contextualSpacing/>
    </w:pPr>
  </w:style>
  <w:style w:type="paragraph" w:styleId="29">
    <w:name w:val="toc 6"/>
    <w:basedOn w:val="1"/>
    <w:next w:val="1"/>
    <w:autoRedefine/>
    <w:unhideWhenUsed/>
    <w:qFormat/>
    <w:uiPriority w:val="39"/>
    <w:pPr>
      <w:ind w:left="1400"/>
      <w:jc w:val="left"/>
    </w:pPr>
    <w:rPr>
      <w:rFonts w:asciiTheme="minorHAnsi" w:hAnsiTheme="minorHAnsi" w:cstheme="minorHAnsi"/>
      <w:sz w:val="18"/>
      <w:szCs w:val="18"/>
    </w:rPr>
  </w:style>
  <w:style w:type="paragraph" w:styleId="30">
    <w:name w:val="toc 2"/>
    <w:basedOn w:val="1"/>
    <w:next w:val="1"/>
    <w:autoRedefine/>
    <w:unhideWhenUsed/>
    <w:qFormat/>
    <w:uiPriority w:val="39"/>
    <w:pPr>
      <w:ind w:left="0"/>
      <w:jc w:val="left"/>
    </w:pPr>
    <w:rPr>
      <w:smallCaps/>
    </w:rPr>
  </w:style>
  <w:style w:type="paragraph" w:styleId="31">
    <w:name w:val="toc 9"/>
    <w:basedOn w:val="1"/>
    <w:next w:val="1"/>
    <w:autoRedefine/>
    <w:unhideWhenUsed/>
    <w:qFormat/>
    <w:uiPriority w:val="39"/>
    <w:pPr>
      <w:ind w:left="2240"/>
      <w:jc w:val="left"/>
    </w:pPr>
    <w:rPr>
      <w:rFonts w:asciiTheme="minorHAnsi" w:hAnsiTheme="minorHAnsi" w:cstheme="minorHAnsi"/>
      <w:sz w:val="18"/>
      <w:szCs w:val="18"/>
    </w:rPr>
  </w:style>
  <w:style w:type="paragraph" w:styleId="32">
    <w:name w:val="annotation subject"/>
    <w:basedOn w:val="15"/>
    <w:next w:val="15"/>
    <w:link w:val="52"/>
    <w:autoRedefine/>
    <w:semiHidden/>
    <w:unhideWhenUsed/>
    <w:qFormat/>
    <w:uiPriority w:val="0"/>
    <w:rPr>
      <w:b/>
      <w:bCs/>
    </w:rPr>
  </w:style>
  <w:style w:type="paragraph" w:styleId="33">
    <w:name w:val="Body Text First Indent"/>
    <w:basedOn w:val="16"/>
    <w:next w:val="1"/>
    <w:autoRedefine/>
    <w:qFormat/>
    <w:uiPriority w:val="0"/>
    <w:pPr>
      <w:spacing w:line="240" w:lineRule="atLeast"/>
      <w:ind w:firstLine="0" w:firstLineChars="0"/>
    </w:pPr>
    <w:rPr>
      <w:sz w:val="21"/>
      <w:szCs w:val="20"/>
    </w:rPr>
  </w:style>
  <w:style w:type="table" w:styleId="35">
    <w:name w:val="Table Grid"/>
    <w:basedOn w:val="3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basedOn w:val="36"/>
    <w:autoRedefine/>
    <w:qFormat/>
    <w:uiPriority w:val="22"/>
    <w:rPr>
      <w:b/>
      <w:bCs/>
    </w:rPr>
  </w:style>
  <w:style w:type="character" w:styleId="38">
    <w:name w:val="page number"/>
    <w:autoRedefine/>
    <w:qFormat/>
    <w:uiPriority w:val="99"/>
    <w:rPr>
      <w:rFonts w:cs="Times New Roman"/>
    </w:rPr>
  </w:style>
  <w:style w:type="character" w:styleId="39">
    <w:name w:val="Emphasis"/>
    <w:autoRedefine/>
    <w:qFormat/>
    <w:uiPriority w:val="20"/>
    <w:rPr>
      <w:i/>
      <w:iCs/>
    </w:rPr>
  </w:style>
  <w:style w:type="character" w:styleId="40">
    <w:name w:val="Hyperlink"/>
    <w:basedOn w:val="36"/>
    <w:autoRedefine/>
    <w:unhideWhenUsed/>
    <w:qFormat/>
    <w:uiPriority w:val="99"/>
    <w:rPr>
      <w:color w:val="0000FF" w:themeColor="hyperlink"/>
      <w:u w:val="single"/>
      <w14:textFill>
        <w14:solidFill>
          <w14:schemeClr w14:val="hlink"/>
        </w14:solidFill>
      </w14:textFill>
    </w:rPr>
  </w:style>
  <w:style w:type="character" w:styleId="41">
    <w:name w:val="annotation reference"/>
    <w:basedOn w:val="36"/>
    <w:autoRedefine/>
    <w:semiHidden/>
    <w:unhideWhenUsed/>
    <w:qFormat/>
    <w:uiPriority w:val="0"/>
    <w:rPr>
      <w:sz w:val="21"/>
      <w:szCs w:val="21"/>
    </w:rPr>
  </w:style>
  <w:style w:type="character" w:customStyle="1" w:styleId="42">
    <w:name w:val="标题 1 字符"/>
    <w:link w:val="4"/>
    <w:autoRedefine/>
    <w:qFormat/>
    <w:uiPriority w:val="0"/>
    <w:rPr>
      <w:rFonts w:ascii="Times New Roman" w:hAnsi="Times New Roman" w:eastAsia="黑体"/>
      <w:b/>
      <w:bCs/>
      <w:kern w:val="44"/>
      <w:sz w:val="44"/>
      <w:szCs w:val="44"/>
    </w:rPr>
  </w:style>
  <w:style w:type="character" w:customStyle="1" w:styleId="43">
    <w:name w:val="标题 2 字符"/>
    <w:link w:val="5"/>
    <w:autoRedefine/>
    <w:qFormat/>
    <w:uiPriority w:val="0"/>
    <w:rPr>
      <w:rFonts w:ascii="Times New Roman" w:hAnsi="Times New Roman" w:eastAsia="黑体"/>
      <w:b/>
      <w:bCs/>
      <w:sz w:val="36"/>
      <w:szCs w:val="36"/>
    </w:rPr>
  </w:style>
  <w:style w:type="character" w:customStyle="1" w:styleId="44">
    <w:name w:val="标题 4 字符"/>
    <w:link w:val="7"/>
    <w:autoRedefine/>
    <w:qFormat/>
    <w:uiPriority w:val="0"/>
    <w:rPr>
      <w:rFonts w:ascii="Times New Roman" w:hAnsi="Times New Roman" w:eastAsia="黑体"/>
      <w:b/>
      <w:bCs/>
      <w:color w:val="000000" w:themeColor="text1"/>
      <w:sz w:val="30"/>
      <w:szCs w:val="32"/>
      <w14:textFill>
        <w14:solidFill>
          <w14:schemeClr w14:val="tx1"/>
        </w14:solidFill>
      </w14:textFill>
    </w:rPr>
  </w:style>
  <w:style w:type="character" w:customStyle="1" w:styleId="45">
    <w:name w:val="标题 3 字符"/>
    <w:link w:val="6"/>
    <w:autoRedefine/>
    <w:qFormat/>
    <w:uiPriority w:val="0"/>
    <w:rPr>
      <w:rFonts w:ascii="Times New Roman" w:hAnsi="Times New Roman" w:eastAsia="黑体"/>
      <w:b/>
      <w:bCs/>
      <w:sz w:val="32"/>
      <w:szCs w:val="32"/>
    </w:rPr>
  </w:style>
  <w:style w:type="character" w:customStyle="1" w:styleId="46">
    <w:name w:val="标题 5 字符"/>
    <w:link w:val="8"/>
    <w:autoRedefine/>
    <w:qFormat/>
    <w:uiPriority w:val="0"/>
    <w:rPr>
      <w:rFonts w:ascii="Times New Roman" w:hAnsi="Times New Roman" w:eastAsia="宋体" w:cs="Times New Roman"/>
      <w:b/>
      <w:bCs/>
      <w:sz w:val="28"/>
      <w:szCs w:val="28"/>
    </w:rPr>
  </w:style>
  <w:style w:type="character" w:customStyle="1" w:styleId="47">
    <w:name w:val="标题 6 字符"/>
    <w:link w:val="9"/>
    <w:autoRedefine/>
    <w:qFormat/>
    <w:uiPriority w:val="0"/>
    <w:rPr>
      <w:rFonts w:ascii="Arial" w:hAnsi="Arial" w:eastAsia="黑体" w:cs="Times New Roman"/>
      <w:b/>
      <w:sz w:val="24"/>
      <w:szCs w:val="20"/>
    </w:rPr>
  </w:style>
  <w:style w:type="character" w:customStyle="1" w:styleId="48">
    <w:name w:val="页眉 字符"/>
    <w:basedOn w:val="36"/>
    <w:link w:val="26"/>
    <w:autoRedefine/>
    <w:qFormat/>
    <w:uiPriority w:val="99"/>
    <w:rPr>
      <w:kern w:val="2"/>
      <w:sz w:val="18"/>
      <w:szCs w:val="18"/>
    </w:rPr>
  </w:style>
  <w:style w:type="character" w:customStyle="1" w:styleId="49">
    <w:name w:val="页脚 字符"/>
    <w:basedOn w:val="36"/>
    <w:link w:val="25"/>
    <w:autoRedefine/>
    <w:qFormat/>
    <w:uiPriority w:val="0"/>
    <w:rPr>
      <w:kern w:val="2"/>
      <w:sz w:val="18"/>
      <w:szCs w:val="18"/>
    </w:rPr>
  </w:style>
  <w:style w:type="paragraph" w:styleId="50">
    <w:name w:val="List Paragraph"/>
    <w:basedOn w:val="1"/>
    <w:autoRedefine/>
    <w:qFormat/>
    <w:uiPriority w:val="34"/>
    <w:pPr>
      <w:ind w:firstLine="420"/>
    </w:pPr>
  </w:style>
  <w:style w:type="character" w:customStyle="1" w:styleId="51">
    <w:name w:val="批注文字 字符"/>
    <w:basedOn w:val="36"/>
    <w:link w:val="15"/>
    <w:autoRedefine/>
    <w:qFormat/>
    <w:uiPriority w:val="0"/>
    <w:rPr>
      <w:kern w:val="2"/>
      <w:sz w:val="21"/>
      <w:szCs w:val="22"/>
    </w:rPr>
  </w:style>
  <w:style w:type="character" w:customStyle="1" w:styleId="52">
    <w:name w:val="批注主题 字符"/>
    <w:basedOn w:val="51"/>
    <w:link w:val="32"/>
    <w:autoRedefine/>
    <w:semiHidden/>
    <w:qFormat/>
    <w:uiPriority w:val="0"/>
    <w:rPr>
      <w:b/>
      <w:bCs/>
      <w:kern w:val="2"/>
      <w:sz w:val="21"/>
      <w:szCs w:val="22"/>
    </w:rPr>
  </w:style>
  <w:style w:type="character" w:customStyle="1" w:styleId="53">
    <w:name w:val="标题 7 字符"/>
    <w:link w:val="10"/>
    <w:autoRedefine/>
    <w:qFormat/>
    <w:uiPriority w:val="0"/>
    <w:rPr>
      <w:rFonts w:ascii="Times New Roman" w:hAnsi="Times New Roman" w:eastAsia="宋体" w:cs="Times New Roman"/>
      <w:b/>
      <w:sz w:val="24"/>
      <w:szCs w:val="20"/>
    </w:rPr>
  </w:style>
  <w:style w:type="character" w:customStyle="1" w:styleId="54">
    <w:name w:val="标题 8 字符"/>
    <w:link w:val="11"/>
    <w:autoRedefine/>
    <w:qFormat/>
    <w:uiPriority w:val="0"/>
    <w:rPr>
      <w:rFonts w:ascii="Arial" w:hAnsi="Arial" w:eastAsia="黑体" w:cs="Times New Roman"/>
      <w:sz w:val="24"/>
      <w:szCs w:val="20"/>
    </w:rPr>
  </w:style>
  <w:style w:type="character" w:customStyle="1" w:styleId="55">
    <w:name w:val="标题 9 字符"/>
    <w:link w:val="12"/>
    <w:autoRedefine/>
    <w:qFormat/>
    <w:uiPriority w:val="0"/>
    <w:rPr>
      <w:rFonts w:ascii="Arial" w:hAnsi="Arial" w:eastAsia="黑体" w:cs="Times New Roman"/>
      <w:szCs w:val="20"/>
    </w:rPr>
  </w:style>
  <w:style w:type="paragraph" w:customStyle="1" w:styleId="56">
    <w:name w:val="_Style 788"/>
    <w:autoRedefine/>
    <w:hidden/>
    <w:semiHidden/>
    <w:qFormat/>
    <w:uiPriority w:val="99"/>
    <w:rPr>
      <w:rFonts w:ascii="Calibri" w:hAnsi="Calibri" w:eastAsia="宋体" w:cs="Times New Roman"/>
      <w:kern w:val="2"/>
      <w:sz w:val="21"/>
      <w:szCs w:val="22"/>
      <w:lang w:val="en-US" w:eastAsia="zh-CN" w:bidi="ar-SA"/>
    </w:rPr>
  </w:style>
  <w:style w:type="character" w:customStyle="1" w:styleId="57">
    <w:name w:val="首行缩进加粗 Char"/>
    <w:autoRedefine/>
    <w:qFormat/>
    <w:uiPriority w:val="0"/>
    <w:rPr>
      <w:rFonts w:ascii="Times New Roman" w:hAnsi="Times New Roman" w:cs="宋体"/>
      <w:b/>
      <w:bCs/>
      <w:kern w:val="2"/>
      <w:sz w:val="28"/>
      <w:szCs w:val="28"/>
    </w:rPr>
  </w:style>
  <w:style w:type="character" w:customStyle="1" w:styleId="58">
    <w:name w:val="表格内容 Char Char"/>
    <w:link w:val="59"/>
    <w:autoRedefine/>
    <w:qFormat/>
    <w:locked/>
    <w:uiPriority w:val="0"/>
    <w:rPr>
      <w:rFonts w:ascii="Arial" w:hAnsi="Arial" w:eastAsia="仿宋_GB2312" w:cs="Arial"/>
      <w:sz w:val="24"/>
    </w:rPr>
  </w:style>
  <w:style w:type="paragraph" w:customStyle="1" w:styleId="59">
    <w:name w:val="表格内容"/>
    <w:basedOn w:val="1"/>
    <w:link w:val="58"/>
    <w:autoRedefine/>
    <w:qFormat/>
    <w:uiPriority w:val="0"/>
    <w:pPr>
      <w:overflowPunct w:val="0"/>
      <w:adjustRightInd w:val="0"/>
      <w:spacing w:before="40" w:after="60" w:line="200" w:lineRule="atLeast"/>
      <w:ind w:firstLine="0" w:firstLineChars="0"/>
    </w:pPr>
    <w:rPr>
      <w:rFonts w:ascii="Arial" w:hAnsi="Arial" w:eastAsia="仿宋_GB2312" w:cs="Arial"/>
      <w:kern w:val="0"/>
      <w:sz w:val="24"/>
      <w:szCs w:val="20"/>
    </w:rPr>
  </w:style>
  <w:style w:type="character" w:customStyle="1" w:styleId="60">
    <w:name w:val="日期 字符"/>
    <w:basedOn w:val="36"/>
    <w:link w:val="23"/>
    <w:autoRedefine/>
    <w:qFormat/>
    <w:uiPriority w:val="0"/>
    <w:rPr>
      <w:rFonts w:ascii="Times New Roman" w:hAnsi="Times New Roman"/>
      <w:kern w:val="2"/>
      <w:sz w:val="28"/>
      <w:szCs w:val="22"/>
    </w:rPr>
  </w:style>
  <w:style w:type="character" w:customStyle="1" w:styleId="61">
    <w:name w:val="正文 Char"/>
    <w:link w:val="62"/>
    <w:autoRedefine/>
    <w:qFormat/>
    <w:locked/>
    <w:uiPriority w:val="0"/>
    <w:rPr>
      <w:rFonts w:ascii="Times New Roman" w:hAnsi="Times New Roman"/>
      <w:sz w:val="28"/>
      <w:szCs w:val="28"/>
    </w:rPr>
  </w:style>
  <w:style w:type="paragraph" w:customStyle="1" w:styleId="62">
    <w:name w:val="正文2"/>
    <w:basedOn w:val="1"/>
    <w:link w:val="61"/>
    <w:autoRedefine/>
    <w:qFormat/>
    <w:uiPriority w:val="0"/>
    <w:pPr>
      <w:ind w:firstLine="560"/>
    </w:pPr>
    <w:rPr>
      <w:kern w:val="0"/>
      <w:szCs w:val="28"/>
    </w:rPr>
  </w:style>
  <w:style w:type="paragraph" w:customStyle="1" w:styleId="63">
    <w:name w:val="TOC 标题1"/>
    <w:basedOn w:val="4"/>
    <w:next w:val="1"/>
    <w:autoRedefine/>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character" w:customStyle="1" w:styleId="64">
    <w:name w:val="未处理的提及1"/>
    <w:basedOn w:val="36"/>
    <w:autoRedefine/>
    <w:semiHidden/>
    <w:unhideWhenUsed/>
    <w:qFormat/>
    <w:uiPriority w:val="99"/>
    <w:rPr>
      <w:color w:val="605E5C"/>
      <w:shd w:val="clear" w:color="auto" w:fill="E1DFDD"/>
    </w:rPr>
  </w:style>
  <w:style w:type="character" w:customStyle="1" w:styleId="65">
    <w:name w:val="cf01"/>
    <w:basedOn w:val="36"/>
    <w:autoRedefine/>
    <w:qFormat/>
    <w:uiPriority w:val="0"/>
    <w:rPr>
      <w:rFonts w:hint="eastAsia" w:ascii="Microsoft YaHei UI" w:hAnsi="Microsoft YaHei UI" w:eastAsia="Microsoft YaHei UI"/>
      <w:sz w:val="18"/>
      <w:szCs w:val="18"/>
    </w:rPr>
  </w:style>
  <w:style w:type="paragraph" w:customStyle="1" w:styleId="66">
    <w:name w:val="Revision"/>
    <w:autoRedefine/>
    <w:hidden/>
    <w:semiHidden/>
    <w:qFormat/>
    <w:uiPriority w:val="99"/>
    <w:rPr>
      <w:rFonts w:ascii="Times New Roman" w:hAnsi="Times New Roman" w:eastAsia="宋体" w:cs="Times New Roman"/>
      <w:kern w:val="2"/>
      <w:sz w:val="28"/>
      <w:szCs w:val="22"/>
      <w:lang w:val="en-US" w:eastAsia="zh-CN" w:bidi="ar-SA"/>
    </w:rPr>
  </w:style>
  <w:style w:type="paragraph" w:customStyle="1" w:styleId="6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68">
    <w:name w:val="未处理的提及2"/>
    <w:basedOn w:val="36"/>
    <w:autoRedefine/>
    <w:semiHidden/>
    <w:unhideWhenUsed/>
    <w:qFormat/>
    <w:uiPriority w:val="99"/>
    <w:rPr>
      <w:color w:val="605E5C"/>
      <w:shd w:val="clear" w:color="auto" w:fill="E1DFDD"/>
    </w:rPr>
  </w:style>
  <w:style w:type="character" w:customStyle="1" w:styleId="69">
    <w:name w:val="纯文本 字符"/>
    <w:basedOn w:val="36"/>
    <w:link w:val="21"/>
    <w:autoRedefine/>
    <w:qFormat/>
    <w:uiPriority w:val="0"/>
    <w:rPr>
      <w:rFonts w:hAnsi="Courier New" w:cs="Courier New" w:asciiTheme="minorEastAsia" w:eastAsiaTheme="minorEastAsia"/>
      <w:kern w:val="2"/>
      <w:sz w:val="28"/>
      <w:szCs w:val="22"/>
    </w:rPr>
  </w:style>
  <w:style w:type="paragraph" w:customStyle="1" w:styleId="70">
    <w:name w:val="样式 宋体 首行缩进:  1.11 厘米"/>
    <w:basedOn w:val="1"/>
    <w:autoRedefine/>
    <w:qFormat/>
    <w:uiPriority w:val="0"/>
    <w:pPr>
      <w:widowControl/>
      <w:spacing w:line="600" w:lineRule="exact"/>
      <w:ind w:firstLine="629"/>
      <w:jc w:val="left"/>
    </w:pPr>
    <w:rPr>
      <w:rFonts w:ascii="宋体" w:hAnsi="宋体"/>
      <w:szCs w:val="20"/>
    </w:rPr>
  </w:style>
  <w:style w:type="character" w:customStyle="1" w:styleId="71">
    <w:name w:val="批注框文本 字符"/>
    <w:basedOn w:val="36"/>
    <w:link w:val="24"/>
    <w:autoRedefine/>
    <w:semiHidden/>
    <w:qFormat/>
    <w:uiPriority w:val="99"/>
    <w:rPr>
      <w:rFonts w:ascii="Times New Roman" w:hAnsi="Times New Roman"/>
      <w:kern w:val="2"/>
      <w:sz w:val="18"/>
      <w:szCs w:val="18"/>
    </w:rPr>
  </w:style>
  <w:style w:type="character" w:customStyle="1" w:styleId="72">
    <w:name w:val="c-content"/>
    <w:basedOn w:val="36"/>
    <w:autoRedefine/>
    <w:qFormat/>
    <w:uiPriority w:val="0"/>
  </w:style>
  <w:style w:type="character" w:customStyle="1" w:styleId="73">
    <w:name w:val="content-right_8zs40"/>
    <w:basedOn w:val="36"/>
    <w:autoRedefine/>
    <w:qFormat/>
    <w:uiPriority w:val="0"/>
  </w:style>
  <w:style w:type="paragraph" w:customStyle="1" w:styleId="74">
    <w:name w:val="WPSOffice手动目录 1"/>
    <w:autoRedefine/>
    <w:qFormat/>
    <w:uiPriority w:val="0"/>
    <w:pPr>
      <w:ind w:leftChars="0"/>
    </w:pPr>
    <w:rPr>
      <w:rFonts w:ascii="Calibri" w:hAnsi="Calibri" w:eastAsia="宋体" w:cs="Times New Roman"/>
      <w:sz w:val="20"/>
      <w:szCs w:val="20"/>
    </w:rPr>
  </w:style>
  <w:style w:type="paragraph" w:customStyle="1" w:styleId="75">
    <w:name w:val="WPSOffice手动目录 2"/>
    <w:autoRedefine/>
    <w:qFormat/>
    <w:uiPriority w:val="0"/>
    <w:pPr>
      <w:ind w:leftChars="200"/>
    </w:pPr>
    <w:rPr>
      <w:rFonts w:ascii="Calibri" w:hAnsi="Calibri" w:eastAsia="宋体" w:cs="Times New Roman"/>
      <w:sz w:val="20"/>
      <w:szCs w:val="20"/>
    </w:rPr>
  </w:style>
  <w:style w:type="paragraph" w:customStyle="1" w:styleId="76">
    <w:name w:val="WPSOffice手动目录 3"/>
    <w:autoRedefine/>
    <w:qFormat/>
    <w:uiPriority w:val="0"/>
    <w:pPr>
      <w:ind w:leftChars="4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7" Type="http://schemas.openxmlformats.org/officeDocument/2006/relationships/fontTable" Target="fontTable.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42.png"/><Relationship Id="rId62" Type="http://schemas.openxmlformats.org/officeDocument/2006/relationships/image" Target="media/image41.png"/><Relationship Id="rId61" Type="http://schemas.openxmlformats.org/officeDocument/2006/relationships/image" Target="media/image40.png"/><Relationship Id="rId60" Type="http://schemas.openxmlformats.org/officeDocument/2006/relationships/image" Target="media/image39.png"/><Relationship Id="rId6" Type="http://schemas.openxmlformats.org/officeDocument/2006/relationships/header" Target="header2.xml"/><Relationship Id="rId59" Type="http://schemas.openxmlformats.org/officeDocument/2006/relationships/image" Target="media/image38.png"/><Relationship Id="rId58" Type="http://schemas.openxmlformats.org/officeDocument/2006/relationships/image" Target="media/image37.png"/><Relationship Id="rId57" Type="http://schemas.openxmlformats.org/officeDocument/2006/relationships/image" Target="media/image36.png"/><Relationship Id="rId56" Type="http://schemas.openxmlformats.org/officeDocument/2006/relationships/image" Target="media/image35.png"/><Relationship Id="rId55" Type="http://schemas.openxmlformats.org/officeDocument/2006/relationships/image" Target="media/image34.png"/><Relationship Id="rId54" Type="http://schemas.openxmlformats.org/officeDocument/2006/relationships/image" Target="media/image33.png"/><Relationship Id="rId53" Type="http://schemas.openxmlformats.org/officeDocument/2006/relationships/image" Target="media/image32.png"/><Relationship Id="rId52" Type="http://schemas.openxmlformats.org/officeDocument/2006/relationships/image" Target="media/image31.png"/><Relationship Id="rId51" Type="http://schemas.openxmlformats.org/officeDocument/2006/relationships/image" Target="media/image30.png"/><Relationship Id="rId50" Type="http://schemas.openxmlformats.org/officeDocument/2006/relationships/image" Target="media/image29.png"/><Relationship Id="rId5" Type="http://schemas.openxmlformats.org/officeDocument/2006/relationships/header" Target="header1.xml"/><Relationship Id="rId49" Type="http://schemas.openxmlformats.org/officeDocument/2006/relationships/image" Target="media/image28.png"/><Relationship Id="rId48" Type="http://schemas.openxmlformats.org/officeDocument/2006/relationships/image" Target="media/image27.png"/><Relationship Id="rId47" Type="http://schemas.openxmlformats.org/officeDocument/2006/relationships/image" Target="media/image26.png"/><Relationship Id="rId46" Type="http://schemas.openxmlformats.org/officeDocument/2006/relationships/image" Target="media/image25.png"/><Relationship Id="rId45" Type="http://schemas.openxmlformats.org/officeDocument/2006/relationships/image" Target="media/image24.png"/><Relationship Id="rId44" Type="http://schemas.openxmlformats.org/officeDocument/2006/relationships/image" Target="media/image23.png"/><Relationship Id="rId43" Type="http://schemas.openxmlformats.org/officeDocument/2006/relationships/image" Target="media/image22.png"/><Relationship Id="rId42" Type="http://schemas.openxmlformats.org/officeDocument/2006/relationships/image" Target="media/image21.png"/><Relationship Id="rId41" Type="http://schemas.openxmlformats.org/officeDocument/2006/relationships/image" Target="media/image20.png"/><Relationship Id="rId40" Type="http://schemas.openxmlformats.org/officeDocument/2006/relationships/image" Target="media/image19.png"/><Relationship Id="rId4" Type="http://schemas.openxmlformats.org/officeDocument/2006/relationships/endnotes" Target="endnotes.xml"/><Relationship Id="rId39" Type="http://schemas.openxmlformats.org/officeDocument/2006/relationships/image" Target="media/image18.png"/><Relationship Id="rId38" Type="http://schemas.openxmlformats.org/officeDocument/2006/relationships/image" Target="media/image17.png"/><Relationship Id="rId37" Type="http://schemas.openxmlformats.org/officeDocument/2006/relationships/image" Target="media/image16.png"/><Relationship Id="rId36" Type="http://schemas.openxmlformats.org/officeDocument/2006/relationships/image" Target="media/image15.png"/><Relationship Id="rId35" Type="http://schemas.openxmlformats.org/officeDocument/2006/relationships/image" Target="media/image14.png"/><Relationship Id="rId34" Type="http://schemas.openxmlformats.org/officeDocument/2006/relationships/image" Target="media/image13.png"/><Relationship Id="rId33" Type="http://schemas.openxmlformats.org/officeDocument/2006/relationships/image" Target="media/image12.png"/><Relationship Id="rId32" Type="http://schemas.openxmlformats.org/officeDocument/2006/relationships/image" Target="media/image11.png"/><Relationship Id="rId31" Type="http://schemas.openxmlformats.org/officeDocument/2006/relationships/image" Target="media/image10.png"/><Relationship Id="rId30" Type="http://schemas.openxmlformats.org/officeDocument/2006/relationships/image" Target="media/image9.png"/><Relationship Id="rId3" Type="http://schemas.openxmlformats.org/officeDocument/2006/relationships/footnotes" Target="footnotes.xml"/><Relationship Id="rId29" Type="http://schemas.openxmlformats.org/officeDocument/2006/relationships/image" Target="media/image8.png"/><Relationship Id="rId28" Type="http://schemas.openxmlformats.org/officeDocument/2006/relationships/image" Target="media/image7.png"/><Relationship Id="rId27" Type="http://schemas.openxmlformats.org/officeDocument/2006/relationships/image" Target="media/image6.png"/><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jpeg"/><Relationship Id="rId22" Type="http://schemas.openxmlformats.org/officeDocument/2006/relationships/image" Target="media/image1.jpeg"/><Relationship Id="rId21" Type="http://schemas.openxmlformats.org/officeDocument/2006/relationships/theme" Target="theme/theme1.xml"/><Relationship Id="rId20" Type="http://schemas.openxmlformats.org/officeDocument/2006/relationships/header" Target="header7.xml"/><Relationship Id="rId2" Type="http://schemas.openxmlformats.org/officeDocument/2006/relationships/settings" Target="settings.xml"/><Relationship Id="rId19" Type="http://schemas.openxmlformats.org/officeDocument/2006/relationships/header" Target="header6.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4EC812-AD7E-4EE6-8049-45676293E097}">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100</Pages>
  <Words>51368</Words>
  <Characters>55813</Characters>
  <Lines>481</Lines>
  <Paragraphs>135</Paragraphs>
  <TotalTime>1</TotalTime>
  <ScaleCrop>false</ScaleCrop>
  <LinksUpToDate>false</LinksUpToDate>
  <CharactersWithSpaces>58132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2023-09-02T12:46:00Z</dcterms:created>
  <dc:creator>China</dc:creator>
  <cp:lastModifiedBy>lyypzq</cp:lastModifiedBy>
  <cp:lastPrinted>2023-03-28T01:56:00Z</cp:lastPrinted>
  <dcterms:modified xsi:type="dcterms:W3CDTF">2024-03-28T07:52:25Z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6402CD4E75F84DC193D62BA81D9BDF0F_13</vt:lpwstr>
  </property>
</Properties>
</file>