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538A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eastAsia" w:ascii="Times New Roman" w:hAnsi="Times New Roman" w:eastAsia="宋体" w:cs="Times New Roman"/>
          <w:b/>
          <w:bCs/>
          <w:color w:val="auto"/>
          <w:sz w:val="44"/>
          <w:szCs w:val="44"/>
          <w:lang w:val="en-US" w:eastAsia="zh-CN"/>
        </w:rPr>
      </w:pPr>
      <w:bookmarkStart w:id="0" w:name="_Toc350724178"/>
      <w:bookmarkStart w:id="1" w:name="_Toc350516431"/>
      <w:bookmarkStart w:id="2" w:name="_Toc465771073"/>
      <w:bookmarkStart w:id="3" w:name="_Toc335838491"/>
      <w:bookmarkStart w:id="4" w:name="_Toc358903871"/>
      <w:bookmarkStart w:id="5" w:name="_Toc531271020"/>
      <w:bookmarkStart w:id="6" w:name="_Toc360004783"/>
      <w:bookmarkStart w:id="7" w:name="_Toc55567328"/>
      <w:bookmarkStart w:id="8" w:name="_Toc362014280"/>
      <w:bookmarkStart w:id="9" w:name="_Toc465431409"/>
      <w:bookmarkStart w:id="10" w:name="_Toc483050820"/>
      <w:bookmarkStart w:id="11" w:name="_Toc370673764"/>
      <w:bookmarkStart w:id="12" w:name="_Toc373856840"/>
      <w:bookmarkStart w:id="13" w:name="_Toc522811396"/>
      <w:bookmarkStart w:id="14" w:name="_Toc17875"/>
      <w:bookmarkStart w:id="15" w:name="_Toc350258563"/>
      <w:bookmarkStart w:id="16" w:name="_Toc350258409"/>
      <w:bookmarkStart w:id="17" w:name="_Toc490127221"/>
      <w:bookmarkStart w:id="18" w:name="_Toc413501793"/>
      <w:bookmarkStart w:id="19" w:name="_Toc373186167"/>
      <w:bookmarkStart w:id="20" w:name="_Toc361234334"/>
      <w:bookmarkStart w:id="21" w:name="_Toc313493705"/>
      <w:bookmarkStart w:id="22" w:name="_Toc60925319"/>
      <w:bookmarkStart w:id="23" w:name="_Toc55033263"/>
      <w:bookmarkStart w:id="24" w:name="_Toc401585026"/>
      <w:bookmarkStart w:id="25" w:name="_Toc359977662"/>
      <w:bookmarkStart w:id="26" w:name="_Toc413502193"/>
      <w:bookmarkStart w:id="27" w:name="_Toc369097742"/>
      <w:bookmarkStart w:id="28" w:name="_Toc407369274"/>
      <w:bookmarkStart w:id="29" w:name="_Toc399793200"/>
      <w:bookmarkStart w:id="30" w:name="_Toc350258254"/>
      <w:bookmarkStart w:id="31" w:name="_Toc313493864"/>
      <w:bookmarkStart w:id="32" w:name="_Toc358902036"/>
      <w:bookmarkStart w:id="33" w:name="_Toc411342663"/>
      <w:bookmarkStart w:id="34" w:name="_Toc363550549"/>
      <w:bookmarkStart w:id="35" w:name="_Toc411342387"/>
      <w:bookmarkStart w:id="36" w:name="_Toc55945213"/>
      <w:bookmarkStart w:id="37" w:name="_Toc373185850"/>
      <w:bookmarkStart w:id="38" w:name="_Toc363569296"/>
      <w:bookmarkStart w:id="39" w:name="_Toc361234146"/>
      <w:bookmarkStart w:id="40" w:name="_Toc360177310"/>
      <w:bookmarkStart w:id="41" w:name="_Toc406176804"/>
      <w:bookmarkStart w:id="42" w:name="_Toc467599296"/>
      <w:bookmarkStart w:id="43" w:name="_Toc370888319"/>
      <w:bookmarkStart w:id="44" w:name="_Toc23728"/>
    </w:p>
    <w:p w14:paraId="64F53BE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eastAsia" w:ascii="Times New Roman" w:hAnsi="Times New Roman" w:eastAsia="宋体" w:cs="Times New Roman"/>
          <w:b/>
          <w:bCs/>
          <w:color w:val="auto"/>
          <w:sz w:val="44"/>
          <w:szCs w:val="44"/>
          <w:lang w:eastAsia="zh-CN"/>
        </w:rPr>
      </w:pPr>
      <w:r>
        <w:rPr>
          <w:rFonts w:hint="eastAsia" w:ascii="Times New Roman" w:hAnsi="Times New Roman" w:eastAsia="宋体" w:cs="Times New Roman"/>
          <w:b/>
          <w:bCs/>
          <w:color w:val="auto"/>
          <w:sz w:val="44"/>
          <w:szCs w:val="44"/>
          <w:lang w:eastAsia="zh-CN"/>
        </w:rPr>
        <w:t>云南东锆新材料有限公司</w:t>
      </w:r>
    </w:p>
    <w:p w14:paraId="4E76458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eastAsia" w:ascii="Times New Roman" w:hAnsi="Times New Roman" w:eastAsia="宋体" w:cs="Times New Roman"/>
          <w:b/>
          <w:bCs/>
          <w:color w:val="auto"/>
          <w:sz w:val="44"/>
          <w:szCs w:val="44"/>
          <w:lang w:eastAsia="zh-CN"/>
        </w:rPr>
      </w:pPr>
      <w:r>
        <w:rPr>
          <w:rFonts w:hint="eastAsia" w:ascii="Times New Roman" w:hAnsi="Times New Roman" w:eastAsia="宋体" w:cs="Times New Roman"/>
          <w:b/>
          <w:bCs/>
          <w:color w:val="auto"/>
          <w:sz w:val="44"/>
          <w:szCs w:val="44"/>
          <w:lang w:eastAsia="zh-CN"/>
        </w:rPr>
        <w:t>年产3万吨电熔氧化锆陶瓷产业基地</w:t>
      </w:r>
    </w:p>
    <w:p w14:paraId="681A957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eastAsia" w:ascii="Times New Roman" w:hAnsi="Times New Roman" w:eastAsia="宋体" w:cs="Times New Roman"/>
          <w:b/>
          <w:bCs/>
          <w:color w:val="auto"/>
          <w:sz w:val="44"/>
          <w:szCs w:val="44"/>
          <w:lang w:val="en-US" w:eastAsia="zh-CN"/>
        </w:rPr>
      </w:pPr>
      <w:r>
        <w:rPr>
          <w:rFonts w:hint="eastAsia" w:ascii="Times New Roman" w:hAnsi="Times New Roman" w:eastAsia="宋体" w:cs="Times New Roman"/>
          <w:b/>
          <w:bCs/>
          <w:color w:val="auto"/>
          <w:sz w:val="44"/>
          <w:szCs w:val="44"/>
          <w:lang w:eastAsia="zh-CN"/>
        </w:rPr>
        <w:t>建设项目</w:t>
      </w:r>
      <w:r>
        <w:rPr>
          <w:rFonts w:hint="eastAsia" w:ascii="Times New Roman" w:hAnsi="Times New Roman" w:eastAsia="宋体" w:cs="Times New Roman"/>
          <w:b/>
          <w:bCs/>
          <w:color w:val="auto"/>
          <w:sz w:val="44"/>
          <w:szCs w:val="44"/>
          <w:lang w:val="en-US" w:eastAsia="zh-CN"/>
        </w:rPr>
        <w:t>一期工程</w:t>
      </w:r>
    </w:p>
    <w:p w14:paraId="21D927EF">
      <w:pPr>
        <w:autoSpaceDE w:val="0"/>
        <w:autoSpaceDN w:val="0"/>
        <w:adjustRightInd w:val="0"/>
        <w:snapToGrid w:val="0"/>
        <w:spacing w:before="240" w:beforeLines="100" w:after="120" w:afterLines="50" w:line="500" w:lineRule="atLeast"/>
        <w:ind w:left="0" w:leftChars="0" w:right="0" w:rightChars="0" w:firstLine="0" w:firstLineChars="0"/>
        <w:jc w:val="center"/>
        <w:rPr>
          <w:rFonts w:hint="eastAsia" w:eastAsia="黑体" w:cs="Times New Roman"/>
          <w:b/>
          <w:bCs/>
          <w:snapToGrid w:val="0"/>
          <w:color w:val="000000"/>
          <w:kern w:val="0"/>
          <w:sz w:val="52"/>
          <w:szCs w:val="52"/>
          <w:lang w:val="en-US" w:eastAsia="zh-CN" w:bidi="zh-CN"/>
        </w:rPr>
      </w:pPr>
      <w:r>
        <w:rPr>
          <w:rFonts w:hint="eastAsia" w:eastAsia="黑体" w:cs="Times New Roman"/>
          <w:b/>
          <w:bCs/>
          <w:snapToGrid w:val="0"/>
          <w:color w:val="000000"/>
          <w:kern w:val="0"/>
          <w:sz w:val="52"/>
          <w:szCs w:val="52"/>
          <w:lang w:val="en-US" w:eastAsia="zh-CN" w:bidi="zh-CN"/>
        </w:rPr>
        <w:t>安全设施验收评价报告</w:t>
      </w:r>
    </w:p>
    <w:p w14:paraId="21E54AB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eastAsia" w:ascii="Times New Roman" w:hAnsi="Times New Roman" w:eastAsia="宋体" w:cs="Times New Roman"/>
          <w:b/>
          <w:bCs/>
          <w:color w:val="auto"/>
          <w:sz w:val="44"/>
          <w:szCs w:val="44"/>
          <w:lang w:val="en-US" w:eastAsia="zh-CN"/>
        </w:rPr>
      </w:pPr>
    </w:p>
    <w:p w14:paraId="70E5C89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eastAsia" w:ascii="Times New Roman" w:hAnsi="Times New Roman" w:eastAsia="宋体" w:cs="Times New Roman"/>
          <w:b/>
          <w:bCs/>
          <w:color w:val="auto"/>
          <w:sz w:val="44"/>
          <w:szCs w:val="44"/>
          <w:lang w:val="en-US" w:eastAsia="zh-CN"/>
        </w:rPr>
      </w:pPr>
    </w:p>
    <w:p w14:paraId="64665D5B">
      <w:pPr>
        <w:pStyle w:val="97"/>
        <w:rPr>
          <w:rFonts w:ascii="仿宋_GB2312" w:hAnsi="宋体" w:eastAsia="仿宋_GB2312"/>
          <w:b/>
          <w:bCs/>
          <w:kern w:val="0"/>
          <w:sz w:val="32"/>
        </w:rPr>
      </w:pPr>
    </w:p>
    <w:p w14:paraId="7FE14983">
      <w:pPr>
        <w:keepNext w:val="0"/>
        <w:keepLines w:val="0"/>
        <w:pageBreakBefore w:val="0"/>
        <w:widowControl w:val="0"/>
        <w:kinsoku/>
        <w:wordWrap/>
        <w:overflowPunct/>
        <w:topLinePunct w:val="0"/>
        <w:autoSpaceDE/>
        <w:autoSpaceDN/>
        <w:bidi w:val="0"/>
        <w:adjustRightInd/>
        <w:snapToGrid/>
        <w:spacing w:line="360" w:lineRule="auto"/>
        <w:ind w:left="0" w:firstLine="1701" w:firstLineChars="0"/>
        <w:jc w:val="both"/>
        <w:textAlignment w:val="auto"/>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建设单位：云南东锆新材料有限公司</w:t>
      </w:r>
    </w:p>
    <w:p w14:paraId="5B0B2D0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1701" w:firstLineChars="0"/>
        <w:jc w:val="both"/>
        <w:textAlignment w:val="auto"/>
        <w:rPr>
          <w:rFonts w:hint="default"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建设单位法定代表人：赵康康</w:t>
      </w:r>
    </w:p>
    <w:p w14:paraId="27A41EA5">
      <w:pPr>
        <w:keepNext w:val="0"/>
        <w:keepLines w:val="0"/>
        <w:pageBreakBefore w:val="0"/>
        <w:widowControl w:val="0"/>
        <w:kinsoku/>
        <w:wordWrap/>
        <w:overflowPunct/>
        <w:topLinePunct w:val="0"/>
        <w:autoSpaceDE/>
        <w:autoSpaceDN/>
        <w:bidi w:val="0"/>
        <w:adjustRightInd/>
        <w:snapToGrid/>
        <w:spacing w:line="360" w:lineRule="auto"/>
        <w:ind w:left="0" w:firstLine="1701" w:firstLineChars="0"/>
        <w:jc w:val="both"/>
        <w:textAlignment w:val="auto"/>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建设项目单位：云南东锆新材料有限公司</w:t>
      </w:r>
    </w:p>
    <w:p w14:paraId="66289F80">
      <w:pPr>
        <w:keepNext w:val="0"/>
        <w:keepLines w:val="0"/>
        <w:pageBreakBefore w:val="0"/>
        <w:widowControl w:val="0"/>
        <w:kinsoku/>
        <w:wordWrap/>
        <w:overflowPunct/>
        <w:topLinePunct w:val="0"/>
        <w:autoSpaceDE/>
        <w:autoSpaceDN/>
        <w:bidi w:val="0"/>
        <w:adjustRightInd/>
        <w:snapToGrid/>
        <w:spacing w:line="360" w:lineRule="auto"/>
        <w:ind w:left="0" w:firstLine="1701" w:firstLineChars="0"/>
        <w:jc w:val="both"/>
        <w:textAlignment w:val="auto"/>
        <w:rPr>
          <w:rFonts w:hint="default"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建设项目单位主要负责人：刘琦</w:t>
      </w:r>
    </w:p>
    <w:p w14:paraId="03428F62">
      <w:pPr>
        <w:keepNext w:val="0"/>
        <w:keepLines w:val="0"/>
        <w:pageBreakBefore w:val="0"/>
        <w:widowControl w:val="0"/>
        <w:kinsoku/>
        <w:wordWrap/>
        <w:overflowPunct/>
        <w:topLinePunct w:val="0"/>
        <w:autoSpaceDE/>
        <w:autoSpaceDN/>
        <w:bidi w:val="0"/>
        <w:adjustRightInd/>
        <w:snapToGrid/>
        <w:spacing w:line="360" w:lineRule="auto"/>
        <w:ind w:left="0" w:firstLine="1701" w:firstLineChars="0"/>
        <w:jc w:val="both"/>
        <w:textAlignment w:val="auto"/>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建设项目单位联系人：程龙</w:t>
      </w:r>
    </w:p>
    <w:p w14:paraId="393A82E8">
      <w:pPr>
        <w:keepNext w:val="0"/>
        <w:keepLines w:val="0"/>
        <w:pageBreakBefore w:val="0"/>
        <w:widowControl w:val="0"/>
        <w:kinsoku/>
        <w:wordWrap/>
        <w:overflowPunct/>
        <w:topLinePunct w:val="0"/>
        <w:autoSpaceDE/>
        <w:autoSpaceDN/>
        <w:bidi w:val="0"/>
        <w:adjustRightInd/>
        <w:snapToGrid/>
        <w:spacing w:line="360" w:lineRule="auto"/>
        <w:ind w:left="0" w:firstLine="1701" w:firstLineChars="0"/>
        <w:jc w:val="both"/>
        <w:textAlignment w:val="auto"/>
        <w:rPr>
          <w:rFonts w:hint="default"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建设项目单位联系电话：17352512299</w:t>
      </w:r>
    </w:p>
    <w:p w14:paraId="724B676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eastAsia" w:ascii="Times New Roman" w:hAnsi="Times New Roman" w:eastAsia="宋体" w:cs="Times New Roman"/>
          <w:b/>
          <w:bCs/>
          <w:color w:val="auto"/>
          <w:sz w:val="44"/>
          <w:szCs w:val="44"/>
          <w:lang w:val="en-US" w:eastAsia="zh-CN"/>
        </w:rPr>
      </w:pPr>
    </w:p>
    <w:p w14:paraId="431AE18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eastAsia" w:ascii="Times New Roman" w:hAnsi="Times New Roman" w:eastAsia="宋体" w:cs="Times New Roman"/>
          <w:b/>
          <w:bCs/>
          <w:color w:val="auto"/>
          <w:sz w:val="44"/>
          <w:szCs w:val="44"/>
          <w:lang w:val="en-US" w:eastAsia="zh-CN"/>
        </w:rPr>
      </w:pPr>
    </w:p>
    <w:p w14:paraId="077E4A46">
      <w:pPr>
        <w:ind w:firstLine="560"/>
        <w:jc w:val="center"/>
        <w:rPr>
          <w:rFonts w:hint="eastAsia" w:ascii="宋体" w:hAnsi="宋体" w:eastAsia="宋体" w:cs="宋体"/>
          <w:b/>
          <w:bCs/>
          <w:color w:val="000000"/>
          <w:kern w:val="0"/>
          <w:sz w:val="30"/>
          <w:szCs w:val="30"/>
          <w:lang w:val="en-US" w:eastAsia="zh-CN" w:bidi="ar-SA"/>
        </w:rPr>
      </w:pPr>
    </w:p>
    <w:p w14:paraId="11CED8E3">
      <w:pPr>
        <w:ind w:left="0" w:leftChars="0" w:right="0" w:rightChars="0" w:firstLine="0" w:firstLineChars="0"/>
        <w:jc w:val="center"/>
        <w:rPr>
          <w:rFonts w:hint="eastAsia" w:ascii="宋体" w:hAnsi="宋体" w:eastAsia="宋体" w:cs="宋体"/>
          <w:b/>
          <w:bCs/>
          <w:color w:val="000000"/>
          <w:kern w:val="0"/>
          <w:sz w:val="30"/>
          <w:szCs w:val="30"/>
          <w:lang w:val="en-US" w:eastAsia="zh-CN" w:bidi="ar-SA"/>
        </w:rPr>
      </w:pPr>
      <w:r>
        <w:rPr>
          <w:rFonts w:hint="eastAsia" w:ascii="宋体" w:hAnsi="宋体" w:eastAsia="宋体" w:cs="宋体"/>
          <w:b/>
          <w:bCs/>
          <w:color w:val="000000"/>
          <w:kern w:val="0"/>
          <w:sz w:val="30"/>
          <w:szCs w:val="30"/>
          <w:lang w:val="en-US" w:eastAsia="zh-CN" w:bidi="ar-SA"/>
        </w:rPr>
        <w:t>（建设单位公章）</w:t>
      </w:r>
    </w:p>
    <w:p w14:paraId="1CE30F28">
      <w:pPr>
        <w:keepNext w:val="0"/>
        <w:keepLines w:val="0"/>
        <w:pageBreakBefore w:val="0"/>
        <w:widowControl w:val="0"/>
        <w:tabs>
          <w:tab w:val="left" w:pos="5220"/>
        </w:tabs>
        <w:kinsoku/>
        <w:wordWrap/>
        <w:topLinePunct/>
        <w:bidi w:val="0"/>
        <w:spacing w:line="240" w:lineRule="auto"/>
        <w:ind w:firstLine="0" w:firstLineChars="0"/>
        <w:jc w:val="center"/>
        <w:outlineLvl w:val="9"/>
        <w:rPr>
          <w:rFonts w:hint="eastAsia" w:ascii="宋体" w:hAnsi="宋体" w:eastAsia="宋体" w:cs="宋体"/>
          <w:b/>
          <w:bCs/>
          <w:color w:val="000000"/>
          <w:kern w:val="0"/>
          <w:sz w:val="30"/>
          <w:szCs w:val="30"/>
          <w:lang w:val="en-US" w:eastAsia="zh-CN" w:bidi="ar-SA"/>
        </w:rPr>
      </w:pPr>
      <w:r>
        <w:rPr>
          <w:rFonts w:hint="eastAsia" w:ascii="宋体" w:hAnsi="宋体" w:eastAsia="宋体" w:cs="宋体"/>
          <w:b/>
          <w:bCs/>
          <w:color w:val="000000"/>
          <w:kern w:val="0"/>
          <w:sz w:val="30"/>
          <w:szCs w:val="30"/>
          <w:lang w:val="en-US" w:eastAsia="zh-CN" w:bidi="ar-SA"/>
        </w:rPr>
        <w:t>202</w:t>
      </w:r>
      <w:r>
        <w:rPr>
          <w:rFonts w:hint="eastAsia" w:ascii="宋体" w:hAnsi="宋体" w:cs="宋体"/>
          <w:b/>
          <w:bCs/>
          <w:color w:val="000000"/>
          <w:kern w:val="0"/>
          <w:sz w:val="30"/>
          <w:szCs w:val="30"/>
          <w:lang w:val="en-US" w:eastAsia="zh-CN" w:bidi="ar-SA"/>
        </w:rPr>
        <w:t>4</w:t>
      </w:r>
      <w:r>
        <w:rPr>
          <w:rFonts w:hint="eastAsia" w:ascii="宋体" w:hAnsi="宋体" w:eastAsia="宋体" w:cs="宋体"/>
          <w:b/>
          <w:bCs/>
          <w:color w:val="000000"/>
          <w:kern w:val="0"/>
          <w:sz w:val="30"/>
          <w:szCs w:val="30"/>
          <w:lang w:val="en-US" w:eastAsia="zh-CN" w:bidi="ar-SA"/>
        </w:rPr>
        <w:t>年</w:t>
      </w:r>
      <w:r>
        <w:rPr>
          <w:rFonts w:hint="eastAsia" w:cs="宋体"/>
          <w:b/>
          <w:bCs/>
          <w:color w:val="000000"/>
          <w:kern w:val="0"/>
          <w:sz w:val="30"/>
          <w:szCs w:val="30"/>
          <w:lang w:val="en-US" w:eastAsia="zh-CN" w:bidi="ar-SA"/>
        </w:rPr>
        <w:t>9</w:t>
      </w:r>
      <w:r>
        <w:rPr>
          <w:rFonts w:hint="eastAsia" w:ascii="宋体" w:hAnsi="宋体" w:eastAsia="宋体" w:cs="宋体"/>
          <w:b/>
          <w:bCs/>
          <w:color w:val="000000"/>
          <w:kern w:val="0"/>
          <w:sz w:val="30"/>
          <w:szCs w:val="30"/>
          <w:lang w:val="en-US" w:eastAsia="zh-CN" w:bidi="ar-SA"/>
        </w:rPr>
        <w:t>月</w:t>
      </w:r>
    </w:p>
    <w:p w14:paraId="36DB6952">
      <w:pPr>
        <w:rPr>
          <w:rFonts w:hint="eastAsia" w:ascii="黑体" w:hAnsi="黑体" w:eastAsia="黑体" w:cs="黑体"/>
          <w:b w:val="0"/>
          <w:bCs w:val="0"/>
          <w:sz w:val="32"/>
          <w:szCs w:val="32"/>
          <w:lang w:val="zh-CN" w:eastAsia="zh-CN"/>
        </w:rPr>
        <w:sectPr>
          <w:headerReference r:id="rId5" w:type="default"/>
          <w:footerReference r:id="rId6" w:type="default"/>
          <w:pgSz w:w="11907" w:h="16840"/>
          <w:pgMar w:top="1440" w:right="1800" w:bottom="1440" w:left="1800" w:header="850" w:footer="992" w:gutter="0"/>
          <w:pgBorders>
            <w:top w:val="none" w:sz="0" w:space="0"/>
            <w:left w:val="none" w:sz="0" w:space="0"/>
            <w:bottom w:val="none" w:sz="0" w:space="0"/>
            <w:right w:val="none" w:sz="0" w:space="0"/>
          </w:pgBorders>
          <w:pgNumType w:fmt="upperRoman"/>
          <w:cols w:space="720" w:num="1"/>
          <w:docGrid w:linePitch="286" w:charSpace="0"/>
        </w:sectPr>
      </w:pPr>
      <w:r>
        <w:rPr>
          <w:rFonts w:hint="eastAsia" w:ascii="黑体" w:hAnsi="黑体" w:eastAsia="黑体" w:cs="黑体"/>
          <w:b w:val="0"/>
          <w:bCs w:val="0"/>
          <w:sz w:val="32"/>
          <w:szCs w:val="32"/>
          <w:lang w:val="zh-CN" w:eastAsia="zh-CN"/>
        </w:rPr>
        <w:br w:type="page"/>
      </w:r>
    </w:p>
    <w:p w14:paraId="1A6701E5">
      <w:pPr>
        <w:keepNext w:val="0"/>
        <w:keepLines w:val="0"/>
        <w:pageBreakBefore w:val="0"/>
        <w:widowControl w:val="0"/>
        <w:tabs>
          <w:tab w:val="left" w:pos="5220"/>
        </w:tabs>
        <w:kinsoku/>
        <w:wordWrap/>
        <w:topLinePunct/>
        <w:bidi w:val="0"/>
        <w:spacing w:line="240" w:lineRule="auto"/>
        <w:ind w:firstLine="0" w:firstLineChars="0"/>
        <w:jc w:val="center"/>
        <w:outlineLvl w:val="9"/>
        <w:rPr>
          <w:rFonts w:hint="eastAsia" w:ascii="黑体" w:hAnsi="黑体" w:eastAsia="黑体" w:cs="黑体"/>
          <w:b w:val="0"/>
          <w:bCs w:val="0"/>
          <w:sz w:val="32"/>
          <w:szCs w:val="32"/>
          <w:lang w:val="zh-CN"/>
        </w:rPr>
      </w:pPr>
      <w:r>
        <w:rPr>
          <w:rFonts w:hint="eastAsia" w:ascii="黑体" w:hAnsi="黑体" w:eastAsia="黑体" w:cs="黑体"/>
          <w:b w:val="0"/>
          <w:bCs w:val="0"/>
          <w:sz w:val="32"/>
          <w:szCs w:val="32"/>
          <w:lang w:val="zh-CN" w:eastAsia="zh-CN"/>
        </w:rPr>
        <w:t>评价人员照片</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14:paraId="5082E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96" w:type="dxa"/>
            <w:noWrap w:val="0"/>
            <w:vAlign w:val="center"/>
          </w:tcPr>
          <w:p w14:paraId="158C97A9">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cs="宋体"/>
                <w:b w:val="0"/>
                <w:bCs w:val="0"/>
                <w:sz w:val="28"/>
                <w:szCs w:val="24"/>
                <w:lang w:val="en-US" w:eastAsia="zh-CN"/>
              </w:rPr>
            </w:pPr>
            <w:r>
              <w:rPr>
                <w:rFonts w:hint="eastAsia" w:ascii="宋体" w:hAnsi="宋体" w:eastAsia="宋体" w:cs="宋体"/>
                <w:b w:val="0"/>
                <w:bCs w:val="0"/>
                <w:sz w:val="28"/>
                <w:szCs w:val="24"/>
                <w:lang w:val="zh-CN"/>
              </w:rPr>
              <w:t>右</w:t>
            </w:r>
            <w:r>
              <w:rPr>
                <w:rFonts w:hint="eastAsia" w:cs="宋体"/>
                <w:b w:val="0"/>
                <w:bCs w:val="0"/>
                <w:sz w:val="28"/>
                <w:szCs w:val="24"/>
                <w:lang w:val="en-US" w:eastAsia="zh-CN"/>
              </w:rPr>
              <w:t>一：评价组组长（李毅雄）</w:t>
            </w:r>
          </w:p>
          <w:p w14:paraId="04EF68B1">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cs="宋体"/>
                <w:b w:val="0"/>
                <w:bCs w:val="0"/>
                <w:sz w:val="28"/>
                <w:szCs w:val="24"/>
                <w:lang w:val="en-US" w:eastAsia="zh-CN"/>
              </w:rPr>
            </w:pPr>
            <w:r>
              <w:rPr>
                <w:rFonts w:hint="eastAsia" w:ascii="宋体" w:hAnsi="宋体" w:eastAsia="宋体" w:cs="宋体"/>
                <w:b w:val="0"/>
                <w:bCs w:val="0"/>
                <w:sz w:val="28"/>
                <w:szCs w:val="24"/>
                <w:lang w:val="zh-CN"/>
              </w:rPr>
              <w:drawing>
                <wp:anchor distT="0" distB="0" distL="114300" distR="114300" simplePos="0" relativeHeight="251666432" behindDoc="0" locked="0" layoutInCell="1" allowOverlap="1">
                  <wp:simplePos x="0" y="0"/>
                  <wp:positionH relativeFrom="column">
                    <wp:posOffset>12700</wp:posOffset>
                  </wp:positionH>
                  <wp:positionV relativeFrom="paragraph">
                    <wp:posOffset>-3581400</wp:posOffset>
                  </wp:positionV>
                  <wp:extent cx="5097780" cy="3823335"/>
                  <wp:effectExtent l="0" t="0" r="7620" b="12065"/>
                  <wp:wrapSquare wrapText="bothSides"/>
                  <wp:docPr id="3" name="图片 3" descr="2aacc6c68c4d82115d8caaeaa5e19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aacc6c68c4d82115d8caaeaa5e195d"/>
                          <pic:cNvPicPr>
                            <a:picLocks noChangeAspect="1"/>
                          </pic:cNvPicPr>
                        </pic:nvPicPr>
                        <pic:blipFill>
                          <a:blip r:embed="rId21"/>
                          <a:stretch>
                            <a:fillRect/>
                          </a:stretch>
                        </pic:blipFill>
                        <pic:spPr>
                          <a:xfrm>
                            <a:off x="0" y="0"/>
                            <a:ext cx="5097780" cy="3823335"/>
                          </a:xfrm>
                          <a:prstGeom prst="rect">
                            <a:avLst/>
                          </a:prstGeom>
                        </pic:spPr>
                      </pic:pic>
                    </a:graphicData>
                  </a:graphic>
                </wp:anchor>
              </w:drawing>
            </w:r>
            <w:r>
              <w:rPr>
                <w:rFonts w:hint="eastAsia" w:ascii="宋体" w:hAnsi="宋体" w:eastAsia="宋体" w:cs="宋体"/>
                <w:b w:val="0"/>
                <w:bCs w:val="0"/>
                <w:sz w:val="28"/>
                <w:szCs w:val="24"/>
                <w:lang w:val="zh-CN"/>
              </w:rPr>
              <w:t>左</w:t>
            </w:r>
            <w:r>
              <w:rPr>
                <w:rFonts w:hint="eastAsia" w:cs="宋体"/>
                <w:b w:val="0"/>
                <w:bCs w:val="0"/>
                <w:sz w:val="28"/>
                <w:szCs w:val="24"/>
                <w:lang w:val="en-US" w:eastAsia="zh-CN"/>
              </w:rPr>
              <w:t>一</w:t>
            </w:r>
            <w:r>
              <w:rPr>
                <w:rFonts w:hint="eastAsia" w:ascii="宋体" w:hAnsi="宋体" w:eastAsia="宋体" w:cs="宋体"/>
                <w:b w:val="0"/>
                <w:bCs w:val="0"/>
                <w:sz w:val="28"/>
                <w:szCs w:val="24"/>
                <w:lang w:val="zh-CN"/>
              </w:rPr>
              <w:t>：评价人员</w:t>
            </w:r>
            <w:r>
              <w:rPr>
                <w:rFonts w:hint="eastAsia" w:cs="宋体"/>
                <w:b w:val="0"/>
                <w:bCs w:val="0"/>
                <w:sz w:val="28"/>
                <w:szCs w:val="24"/>
                <w:lang w:val="zh-CN"/>
              </w:rPr>
              <w:t>（</w:t>
            </w:r>
            <w:r>
              <w:rPr>
                <w:rFonts w:hint="eastAsia" w:cs="宋体"/>
                <w:b w:val="0"/>
                <w:bCs w:val="0"/>
                <w:sz w:val="28"/>
                <w:szCs w:val="24"/>
                <w:lang w:val="en-US" w:eastAsia="zh-CN"/>
              </w:rPr>
              <w:t>周忠菊）</w:t>
            </w:r>
          </w:p>
          <w:p w14:paraId="1FFB2A95">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ascii="黑体" w:hAnsi="黑体" w:eastAsia="黑体" w:cs="黑体"/>
                <w:b/>
                <w:bCs/>
                <w:sz w:val="36"/>
                <w:szCs w:val="32"/>
                <w:lang w:val="zh-CN"/>
              </w:rPr>
            </w:pPr>
            <w:r>
              <w:rPr>
                <w:rFonts w:hint="eastAsia" w:cs="宋体"/>
                <w:b w:val="0"/>
                <w:bCs w:val="0"/>
                <w:sz w:val="28"/>
                <w:szCs w:val="24"/>
                <w:lang w:val="en-US" w:eastAsia="zh-CN"/>
              </w:rPr>
              <w:t>中：</w:t>
            </w:r>
            <w:r>
              <w:rPr>
                <w:rFonts w:hint="eastAsia" w:ascii="宋体" w:hAnsi="宋体" w:eastAsia="宋体" w:cs="宋体"/>
                <w:b w:val="0"/>
                <w:bCs w:val="0"/>
                <w:sz w:val="28"/>
                <w:szCs w:val="24"/>
                <w:lang w:val="zh-CN"/>
              </w:rPr>
              <w:t>业主方人员</w:t>
            </w:r>
            <w:r>
              <w:rPr>
                <w:rFonts w:hint="eastAsia" w:cs="宋体"/>
                <w:b w:val="0"/>
                <w:bCs w:val="0"/>
                <w:sz w:val="28"/>
                <w:szCs w:val="24"/>
                <w:lang w:val="zh-CN"/>
              </w:rPr>
              <w:t>（</w:t>
            </w:r>
            <w:r>
              <w:rPr>
                <w:rFonts w:hint="eastAsia" w:cs="宋体"/>
                <w:b w:val="0"/>
                <w:bCs w:val="0"/>
                <w:sz w:val="28"/>
                <w:szCs w:val="24"/>
                <w:lang w:val="en-US" w:eastAsia="zh-CN"/>
              </w:rPr>
              <w:t>程龙</w:t>
            </w:r>
            <w:r>
              <w:rPr>
                <w:rFonts w:hint="eastAsia" w:cs="宋体"/>
                <w:b w:val="0"/>
                <w:bCs w:val="0"/>
                <w:sz w:val="28"/>
                <w:szCs w:val="24"/>
                <w:lang w:val="zh-CN"/>
              </w:rPr>
              <w:t>）</w:t>
            </w:r>
          </w:p>
        </w:tc>
      </w:tr>
    </w:tbl>
    <w:p w14:paraId="6788A4E7">
      <w:pPr>
        <w:keepNext w:val="0"/>
        <w:keepLines w:val="0"/>
        <w:pageBreakBefore w:val="0"/>
        <w:widowControl w:val="0"/>
        <w:tabs>
          <w:tab w:val="left" w:pos="5220"/>
        </w:tabs>
        <w:kinsoku/>
        <w:wordWrap/>
        <w:topLinePunct/>
        <w:bidi w:val="0"/>
        <w:ind w:firstLine="0" w:firstLineChars="0"/>
        <w:jc w:val="center"/>
        <w:rPr>
          <w:rFonts w:hint="eastAsia" w:ascii="黑体" w:hAnsi="黑体" w:eastAsia="黑体" w:cs="黑体"/>
          <w:b w:val="0"/>
          <w:bCs w:val="0"/>
          <w:sz w:val="32"/>
          <w:szCs w:val="32"/>
          <w:lang w:val="zh-CN" w:eastAsia="zh-CN"/>
        </w:rPr>
        <w:sectPr>
          <w:headerReference r:id="rId7" w:type="default"/>
          <w:footerReference r:id="rId8" w:type="default"/>
          <w:pgSz w:w="11907" w:h="16840"/>
          <w:pgMar w:top="1440" w:right="1800" w:bottom="1440" w:left="1800" w:header="850" w:footer="992" w:gutter="0"/>
          <w:pgBorders>
            <w:top w:val="none" w:sz="0" w:space="0"/>
            <w:left w:val="none" w:sz="0" w:space="0"/>
            <w:bottom w:val="none" w:sz="0" w:space="0"/>
            <w:right w:val="none" w:sz="0" w:space="0"/>
          </w:pgBorders>
          <w:pgNumType w:fmt="decimal" w:start="1"/>
          <w:cols w:space="720" w:num="1"/>
          <w:docGrid w:linePitch="286" w:charSpace="0"/>
        </w:sectPr>
      </w:pPr>
    </w:p>
    <w:p w14:paraId="1161EEAA">
      <w:pPr>
        <w:keepNext w:val="0"/>
        <w:keepLines w:val="0"/>
        <w:pageBreakBefore w:val="0"/>
        <w:widowControl w:val="0"/>
        <w:tabs>
          <w:tab w:val="left" w:pos="5220"/>
        </w:tabs>
        <w:kinsoku/>
        <w:wordWrap/>
        <w:topLinePunct/>
        <w:bidi w:val="0"/>
        <w:spacing w:line="240" w:lineRule="auto"/>
        <w:ind w:firstLine="0" w:firstLineChars="0"/>
        <w:jc w:val="center"/>
        <w:rPr>
          <w:rFonts w:hint="eastAsia" w:ascii="黑体" w:hAnsi="黑体" w:eastAsia="黑体" w:cs="黑体"/>
          <w:b w:val="0"/>
          <w:bCs w:val="0"/>
          <w:sz w:val="32"/>
          <w:szCs w:val="32"/>
          <w:lang w:val="zh-CN" w:eastAsia="zh-CN"/>
        </w:rPr>
      </w:pPr>
      <w:r>
        <w:rPr>
          <w:rFonts w:hint="eastAsia" w:ascii="黑体" w:hAnsi="黑体" w:eastAsia="黑体" w:cs="黑体"/>
          <w:b w:val="0"/>
          <w:bCs w:val="0"/>
          <w:sz w:val="32"/>
          <w:szCs w:val="32"/>
          <w:lang w:val="zh-CN" w:eastAsia="zh-CN"/>
        </w:rPr>
        <w:t>现场照片</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2"/>
      </w:tblGrid>
      <w:tr w14:paraId="0C3FA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6EB0C5A3">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default" w:ascii="黑体" w:hAnsi="黑体" w:eastAsia="黑体" w:cs="黑体"/>
                <w:b/>
                <w:bCs/>
                <w:sz w:val="36"/>
                <w:szCs w:val="32"/>
                <w:lang w:val="en-US" w:eastAsia="zh-CN"/>
              </w:rPr>
            </w:pPr>
            <w:r>
              <w:rPr>
                <w:rFonts w:hint="eastAsia" w:ascii="黑体" w:hAnsi="黑体" w:eastAsia="黑体" w:cs="黑体"/>
                <w:b w:val="0"/>
                <w:bCs w:val="0"/>
                <w:sz w:val="28"/>
                <w:szCs w:val="24"/>
                <w:lang w:val="en-US" w:eastAsia="zh-CN"/>
              </w:rPr>
              <w:drawing>
                <wp:anchor distT="0" distB="0" distL="114300" distR="114300" simplePos="0" relativeHeight="251670528" behindDoc="0" locked="0" layoutInCell="1" allowOverlap="1">
                  <wp:simplePos x="0" y="0"/>
                  <wp:positionH relativeFrom="column">
                    <wp:posOffset>7620</wp:posOffset>
                  </wp:positionH>
                  <wp:positionV relativeFrom="paragraph">
                    <wp:posOffset>-1663700</wp:posOffset>
                  </wp:positionV>
                  <wp:extent cx="2552065" cy="1913890"/>
                  <wp:effectExtent l="0" t="0" r="635" b="3810"/>
                  <wp:wrapSquare wrapText="bothSides"/>
                  <wp:docPr id="14" name="图片 14" descr="IMG_20240820_132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0240820_132619"/>
                          <pic:cNvPicPr>
                            <a:picLocks noChangeAspect="1"/>
                          </pic:cNvPicPr>
                        </pic:nvPicPr>
                        <pic:blipFill>
                          <a:blip r:embed="rId22"/>
                          <a:stretch>
                            <a:fillRect/>
                          </a:stretch>
                        </pic:blipFill>
                        <pic:spPr>
                          <a:xfrm>
                            <a:off x="0" y="0"/>
                            <a:ext cx="2552065" cy="1913890"/>
                          </a:xfrm>
                          <a:prstGeom prst="rect">
                            <a:avLst/>
                          </a:prstGeom>
                        </pic:spPr>
                      </pic:pic>
                    </a:graphicData>
                  </a:graphic>
                </wp:anchor>
              </w:drawing>
            </w:r>
            <w:r>
              <w:rPr>
                <w:rFonts w:hint="eastAsia" w:ascii="黑体" w:hAnsi="黑体" w:eastAsia="黑体" w:cs="黑体"/>
                <w:b w:val="0"/>
                <w:bCs w:val="0"/>
                <w:sz w:val="28"/>
                <w:szCs w:val="24"/>
                <w:lang w:val="en-US" w:eastAsia="zh-CN"/>
              </w:rPr>
              <w:t>厂区主出入口</w:t>
            </w:r>
          </w:p>
        </w:tc>
        <w:tc>
          <w:tcPr>
            <w:tcW w:w="4262" w:type="dxa"/>
            <w:noWrap w:val="0"/>
            <w:vAlign w:val="top"/>
          </w:tcPr>
          <w:p w14:paraId="27F3DE90">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ascii="黑体" w:hAnsi="黑体" w:eastAsia="黑体" w:cs="黑体"/>
                <w:b/>
                <w:bCs/>
                <w:sz w:val="28"/>
                <w:szCs w:val="24"/>
                <w:lang w:val="en-US" w:eastAsia="zh-CN"/>
              </w:rPr>
            </w:pPr>
            <w:r>
              <w:rPr>
                <w:rFonts w:hint="eastAsia" w:ascii="黑体" w:hAnsi="黑体" w:eastAsia="黑体" w:cs="黑体"/>
                <w:b w:val="0"/>
                <w:bCs w:val="0"/>
                <w:sz w:val="28"/>
                <w:szCs w:val="24"/>
                <w:lang w:val="en-US" w:eastAsia="zh-CN"/>
              </w:rPr>
              <w:t>门卫室</w:t>
            </w:r>
            <w:r>
              <w:rPr>
                <w:rFonts w:hint="eastAsia" w:ascii="黑体" w:hAnsi="黑体" w:eastAsia="黑体" w:cs="黑体"/>
                <w:b/>
                <w:bCs/>
                <w:sz w:val="28"/>
                <w:szCs w:val="24"/>
                <w:lang w:val="en-US" w:eastAsia="zh-CN"/>
              </w:rPr>
              <w:drawing>
                <wp:anchor distT="0" distB="0" distL="114300" distR="114300" simplePos="0" relativeHeight="251667456" behindDoc="0" locked="0" layoutInCell="1" allowOverlap="1">
                  <wp:simplePos x="0" y="0"/>
                  <wp:positionH relativeFrom="column">
                    <wp:posOffset>8255</wp:posOffset>
                  </wp:positionH>
                  <wp:positionV relativeFrom="paragraph">
                    <wp:posOffset>-1663700</wp:posOffset>
                  </wp:positionV>
                  <wp:extent cx="2552065" cy="1913890"/>
                  <wp:effectExtent l="0" t="0" r="635" b="3810"/>
                  <wp:wrapSquare wrapText="bothSides"/>
                  <wp:docPr id="8" name="图片 8" descr="IMG_20240820_132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0240820_132610"/>
                          <pic:cNvPicPr>
                            <a:picLocks noChangeAspect="1"/>
                          </pic:cNvPicPr>
                        </pic:nvPicPr>
                        <pic:blipFill>
                          <a:blip r:embed="rId23"/>
                          <a:stretch>
                            <a:fillRect/>
                          </a:stretch>
                        </pic:blipFill>
                        <pic:spPr>
                          <a:xfrm>
                            <a:off x="0" y="0"/>
                            <a:ext cx="2552065" cy="1913890"/>
                          </a:xfrm>
                          <a:prstGeom prst="rect">
                            <a:avLst/>
                          </a:prstGeom>
                        </pic:spPr>
                      </pic:pic>
                    </a:graphicData>
                  </a:graphic>
                </wp:anchor>
              </w:drawing>
            </w:r>
          </w:p>
        </w:tc>
      </w:tr>
      <w:tr w14:paraId="5FF74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202E697F">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default" w:ascii="黑体" w:hAnsi="黑体" w:eastAsia="黑体" w:cs="黑体"/>
                <w:b w:val="0"/>
                <w:bCs w:val="0"/>
                <w:sz w:val="28"/>
                <w:szCs w:val="24"/>
                <w:lang w:val="en-US" w:eastAsia="zh-CN"/>
              </w:rPr>
            </w:pPr>
            <w:r>
              <w:rPr>
                <w:rFonts w:hint="eastAsia" w:ascii="黑体" w:hAnsi="黑体" w:eastAsia="黑体" w:cs="黑体"/>
                <w:b w:val="0"/>
                <w:bCs w:val="0"/>
                <w:sz w:val="28"/>
                <w:szCs w:val="24"/>
                <w:lang w:val="en-US" w:eastAsia="zh-CN"/>
              </w:rPr>
              <w:drawing>
                <wp:anchor distT="0" distB="0" distL="114300" distR="114300" simplePos="0" relativeHeight="251683840" behindDoc="0" locked="0" layoutInCell="1" allowOverlap="1">
                  <wp:simplePos x="0" y="0"/>
                  <wp:positionH relativeFrom="column">
                    <wp:posOffset>26670</wp:posOffset>
                  </wp:positionH>
                  <wp:positionV relativeFrom="paragraph">
                    <wp:posOffset>-1638300</wp:posOffset>
                  </wp:positionV>
                  <wp:extent cx="2514600" cy="1701165"/>
                  <wp:effectExtent l="0" t="0" r="0" b="635"/>
                  <wp:wrapSquare wrapText="bothSides"/>
                  <wp:docPr id="42" name="图片 42" descr="IMG_20240820_143737_edit_657281259035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IMG_20240820_143737_edit_657281259035642"/>
                          <pic:cNvPicPr>
                            <a:picLocks noChangeAspect="1"/>
                          </pic:cNvPicPr>
                        </pic:nvPicPr>
                        <pic:blipFill>
                          <a:blip r:embed="rId24"/>
                          <a:stretch>
                            <a:fillRect/>
                          </a:stretch>
                        </pic:blipFill>
                        <pic:spPr>
                          <a:xfrm>
                            <a:off x="0" y="0"/>
                            <a:ext cx="2514600" cy="1701165"/>
                          </a:xfrm>
                          <a:prstGeom prst="rect">
                            <a:avLst/>
                          </a:prstGeom>
                        </pic:spPr>
                      </pic:pic>
                    </a:graphicData>
                  </a:graphic>
                </wp:anchor>
              </w:drawing>
            </w:r>
            <w:r>
              <w:rPr>
                <w:rFonts w:hint="eastAsia" w:ascii="黑体" w:hAnsi="黑体" w:eastAsia="黑体" w:cs="黑体"/>
                <w:b w:val="0"/>
                <w:bCs w:val="0"/>
                <w:sz w:val="28"/>
                <w:szCs w:val="24"/>
                <w:lang w:val="en-US" w:eastAsia="zh-CN"/>
              </w:rPr>
              <w:t>办公区</w:t>
            </w:r>
          </w:p>
        </w:tc>
        <w:tc>
          <w:tcPr>
            <w:tcW w:w="4262" w:type="dxa"/>
            <w:noWrap w:val="0"/>
            <w:vAlign w:val="top"/>
          </w:tcPr>
          <w:p w14:paraId="1434E972">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ascii="黑体" w:hAnsi="黑体" w:eastAsia="黑体" w:cs="黑体"/>
                <w:b w:val="0"/>
                <w:bCs w:val="0"/>
                <w:sz w:val="28"/>
                <w:szCs w:val="24"/>
                <w:lang w:val="en-US" w:eastAsia="zh-CN"/>
              </w:rPr>
            </w:pPr>
            <w:r>
              <w:rPr>
                <w:rFonts w:hint="eastAsia" w:ascii="黑体" w:hAnsi="黑体" w:eastAsia="黑体" w:cs="黑体"/>
                <w:b w:val="0"/>
                <w:bCs w:val="0"/>
                <w:sz w:val="28"/>
                <w:szCs w:val="24"/>
                <w:lang w:val="en-US" w:eastAsia="zh-CN"/>
              </w:rPr>
              <w:t>1#联合车间</w:t>
            </w:r>
            <w:r>
              <w:rPr>
                <w:rFonts w:hint="eastAsia" w:ascii="黑体" w:hAnsi="黑体" w:eastAsia="黑体" w:cs="黑体"/>
                <w:b w:val="0"/>
                <w:bCs w:val="0"/>
                <w:sz w:val="28"/>
                <w:szCs w:val="24"/>
                <w:lang w:val="en-US" w:eastAsia="zh-CN"/>
              </w:rPr>
              <w:drawing>
                <wp:anchor distT="0" distB="0" distL="114300" distR="114300" simplePos="0" relativeHeight="251684864" behindDoc="0" locked="0" layoutInCell="1" allowOverlap="1">
                  <wp:simplePos x="0" y="0"/>
                  <wp:positionH relativeFrom="column">
                    <wp:posOffset>8255</wp:posOffset>
                  </wp:positionH>
                  <wp:positionV relativeFrom="paragraph">
                    <wp:posOffset>-1663700</wp:posOffset>
                  </wp:positionV>
                  <wp:extent cx="2552065" cy="1739900"/>
                  <wp:effectExtent l="0" t="0" r="635" b="0"/>
                  <wp:wrapSquare wrapText="bothSides"/>
                  <wp:docPr id="41" name="图片 41" descr="IMG_20240820_143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IMG_20240820_143334"/>
                          <pic:cNvPicPr>
                            <a:picLocks noChangeAspect="1"/>
                          </pic:cNvPicPr>
                        </pic:nvPicPr>
                        <pic:blipFill>
                          <a:blip r:embed="rId25"/>
                          <a:stretch>
                            <a:fillRect/>
                          </a:stretch>
                        </pic:blipFill>
                        <pic:spPr>
                          <a:xfrm>
                            <a:off x="0" y="0"/>
                            <a:ext cx="2552065" cy="1739900"/>
                          </a:xfrm>
                          <a:prstGeom prst="rect">
                            <a:avLst/>
                          </a:prstGeom>
                        </pic:spPr>
                      </pic:pic>
                    </a:graphicData>
                  </a:graphic>
                </wp:anchor>
              </w:drawing>
            </w:r>
          </w:p>
        </w:tc>
      </w:tr>
      <w:tr w14:paraId="6580C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74F69DC2">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ascii="黑体" w:hAnsi="黑体" w:eastAsia="黑体" w:cs="黑体"/>
                <w:b w:val="0"/>
                <w:bCs w:val="0"/>
                <w:sz w:val="28"/>
                <w:szCs w:val="24"/>
                <w:lang w:val="en-US" w:eastAsia="zh-CN"/>
              </w:rPr>
            </w:pPr>
            <w:r>
              <w:rPr>
                <w:rFonts w:hint="eastAsia" w:ascii="黑体" w:hAnsi="黑体" w:eastAsia="黑体" w:cs="黑体"/>
                <w:b w:val="0"/>
                <w:bCs w:val="0"/>
                <w:sz w:val="28"/>
                <w:szCs w:val="24"/>
                <w:lang w:val="en-US" w:eastAsia="zh-CN"/>
              </w:rPr>
              <w:t>1#成品仓库</w:t>
            </w:r>
            <w:r>
              <w:rPr>
                <w:rFonts w:hint="eastAsia" w:ascii="黑体" w:hAnsi="黑体" w:eastAsia="黑体" w:cs="黑体"/>
                <w:b w:val="0"/>
                <w:bCs w:val="0"/>
                <w:sz w:val="28"/>
                <w:szCs w:val="24"/>
                <w:lang w:val="en-US" w:eastAsia="zh-CN"/>
              </w:rPr>
              <w:drawing>
                <wp:anchor distT="0" distB="0" distL="114300" distR="114300" simplePos="0" relativeHeight="251685888" behindDoc="0" locked="0" layoutInCell="1" allowOverlap="1">
                  <wp:simplePos x="0" y="0"/>
                  <wp:positionH relativeFrom="column">
                    <wp:posOffset>7620</wp:posOffset>
                  </wp:positionH>
                  <wp:positionV relativeFrom="paragraph">
                    <wp:posOffset>-1663700</wp:posOffset>
                  </wp:positionV>
                  <wp:extent cx="2552065" cy="1718945"/>
                  <wp:effectExtent l="0" t="0" r="635" b="8255"/>
                  <wp:wrapSquare wrapText="bothSides"/>
                  <wp:docPr id="43" name="图片 43" descr="IMG_20240820_143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IMG_20240820_143317"/>
                          <pic:cNvPicPr>
                            <a:picLocks noChangeAspect="1"/>
                          </pic:cNvPicPr>
                        </pic:nvPicPr>
                        <pic:blipFill>
                          <a:blip r:embed="rId26"/>
                          <a:stretch>
                            <a:fillRect/>
                          </a:stretch>
                        </pic:blipFill>
                        <pic:spPr>
                          <a:xfrm>
                            <a:off x="0" y="0"/>
                            <a:ext cx="2552065" cy="1718945"/>
                          </a:xfrm>
                          <a:prstGeom prst="rect">
                            <a:avLst/>
                          </a:prstGeom>
                        </pic:spPr>
                      </pic:pic>
                    </a:graphicData>
                  </a:graphic>
                </wp:anchor>
              </w:drawing>
            </w:r>
          </w:p>
        </w:tc>
        <w:tc>
          <w:tcPr>
            <w:tcW w:w="4262" w:type="dxa"/>
            <w:noWrap w:val="0"/>
            <w:vAlign w:val="top"/>
          </w:tcPr>
          <w:p w14:paraId="02152368">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default" w:ascii="黑体" w:hAnsi="黑体" w:eastAsia="黑体" w:cs="黑体"/>
                <w:b w:val="0"/>
                <w:bCs w:val="0"/>
                <w:sz w:val="28"/>
                <w:szCs w:val="24"/>
                <w:lang w:val="en-US" w:eastAsia="zh-CN"/>
              </w:rPr>
            </w:pPr>
            <w:r>
              <w:rPr>
                <w:rFonts w:hint="eastAsia" w:ascii="黑体" w:hAnsi="黑体" w:eastAsia="黑体" w:cs="黑体"/>
                <w:b w:val="0"/>
                <w:bCs w:val="0"/>
                <w:sz w:val="28"/>
                <w:szCs w:val="24"/>
                <w:lang w:val="en-US" w:eastAsia="zh-CN"/>
              </w:rPr>
              <w:drawing>
                <wp:anchor distT="0" distB="0" distL="114300" distR="114300" simplePos="0" relativeHeight="251686912" behindDoc="0" locked="0" layoutInCell="1" allowOverlap="1">
                  <wp:simplePos x="0" y="0"/>
                  <wp:positionH relativeFrom="column">
                    <wp:posOffset>8255</wp:posOffset>
                  </wp:positionH>
                  <wp:positionV relativeFrom="paragraph">
                    <wp:posOffset>-1663700</wp:posOffset>
                  </wp:positionV>
                  <wp:extent cx="2552065" cy="1739900"/>
                  <wp:effectExtent l="0" t="0" r="635" b="0"/>
                  <wp:wrapSquare wrapText="bothSides"/>
                  <wp:docPr id="44" name="图片 44" descr="IMG_20240820_151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IMG_20240820_151731"/>
                          <pic:cNvPicPr>
                            <a:picLocks noChangeAspect="1"/>
                          </pic:cNvPicPr>
                        </pic:nvPicPr>
                        <pic:blipFill>
                          <a:blip r:embed="rId27"/>
                          <a:stretch>
                            <a:fillRect/>
                          </a:stretch>
                        </pic:blipFill>
                        <pic:spPr>
                          <a:xfrm>
                            <a:off x="0" y="0"/>
                            <a:ext cx="2552065" cy="1739900"/>
                          </a:xfrm>
                          <a:prstGeom prst="rect">
                            <a:avLst/>
                          </a:prstGeom>
                        </pic:spPr>
                      </pic:pic>
                    </a:graphicData>
                  </a:graphic>
                </wp:anchor>
              </w:drawing>
            </w:r>
            <w:r>
              <w:rPr>
                <w:rFonts w:hint="eastAsia" w:ascii="黑体" w:hAnsi="黑体" w:eastAsia="黑体" w:cs="黑体"/>
                <w:b w:val="0"/>
                <w:bCs w:val="0"/>
                <w:sz w:val="28"/>
                <w:szCs w:val="24"/>
                <w:lang w:val="en-US" w:eastAsia="zh-CN"/>
              </w:rPr>
              <w:t>厂区道路</w:t>
            </w:r>
          </w:p>
        </w:tc>
      </w:tr>
      <w:tr w14:paraId="0106B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5F9FC403">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ascii="黑体" w:hAnsi="黑体" w:eastAsia="黑体" w:cs="黑体"/>
                <w:b/>
                <w:bCs/>
                <w:sz w:val="28"/>
                <w:szCs w:val="24"/>
                <w:lang w:val="en-US" w:eastAsia="zh-CN"/>
              </w:rPr>
            </w:pPr>
            <w:r>
              <w:rPr>
                <w:rFonts w:hint="eastAsia" w:ascii="黑体" w:hAnsi="黑体" w:eastAsia="黑体" w:cs="黑体"/>
                <w:b/>
                <w:bCs/>
                <w:sz w:val="28"/>
                <w:szCs w:val="24"/>
                <w:lang w:val="en-US" w:eastAsia="zh-CN"/>
              </w:rPr>
              <w:t>生产车间</w:t>
            </w:r>
            <w:r>
              <w:rPr>
                <w:rFonts w:hint="default" w:ascii="黑体" w:hAnsi="黑体" w:eastAsia="黑体" w:cs="黑体"/>
                <w:b/>
                <w:bCs/>
                <w:sz w:val="28"/>
                <w:szCs w:val="24"/>
                <w:lang w:val="en-US" w:eastAsia="zh-CN"/>
              </w:rPr>
              <w:drawing>
                <wp:anchor distT="0" distB="0" distL="114300" distR="114300" simplePos="0" relativeHeight="251688960" behindDoc="0" locked="0" layoutInCell="1" allowOverlap="1">
                  <wp:simplePos x="0" y="0"/>
                  <wp:positionH relativeFrom="column">
                    <wp:posOffset>7620</wp:posOffset>
                  </wp:positionH>
                  <wp:positionV relativeFrom="paragraph">
                    <wp:posOffset>-1143000</wp:posOffset>
                  </wp:positionV>
                  <wp:extent cx="2552065" cy="1707515"/>
                  <wp:effectExtent l="0" t="0" r="635" b="6985"/>
                  <wp:wrapSquare wrapText="bothSides"/>
                  <wp:docPr id="45" name="图片 45" descr="IMG_20240820_134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IMG_20240820_134930"/>
                          <pic:cNvPicPr>
                            <a:picLocks noChangeAspect="1"/>
                          </pic:cNvPicPr>
                        </pic:nvPicPr>
                        <pic:blipFill>
                          <a:blip r:embed="rId28"/>
                          <a:stretch>
                            <a:fillRect/>
                          </a:stretch>
                        </pic:blipFill>
                        <pic:spPr>
                          <a:xfrm>
                            <a:off x="0" y="0"/>
                            <a:ext cx="2552065" cy="1707515"/>
                          </a:xfrm>
                          <a:prstGeom prst="rect">
                            <a:avLst/>
                          </a:prstGeom>
                        </pic:spPr>
                      </pic:pic>
                    </a:graphicData>
                  </a:graphic>
                </wp:anchor>
              </w:drawing>
            </w:r>
          </w:p>
        </w:tc>
        <w:tc>
          <w:tcPr>
            <w:tcW w:w="4262" w:type="dxa"/>
            <w:noWrap w:val="0"/>
            <w:vAlign w:val="top"/>
          </w:tcPr>
          <w:p w14:paraId="19445E74">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default" w:ascii="黑体" w:hAnsi="黑体" w:eastAsia="黑体" w:cs="黑体"/>
                <w:b/>
                <w:bCs/>
                <w:sz w:val="28"/>
                <w:szCs w:val="24"/>
                <w:lang w:val="en-US" w:eastAsia="zh-CN"/>
              </w:rPr>
            </w:pPr>
            <w:r>
              <w:rPr>
                <w:rFonts w:hint="eastAsia" w:ascii="黑体" w:hAnsi="黑体" w:eastAsia="黑体" w:cs="黑体"/>
                <w:b/>
                <w:bCs/>
                <w:sz w:val="28"/>
                <w:szCs w:val="24"/>
                <w:lang w:val="en-US" w:eastAsia="zh-CN"/>
              </w:rPr>
              <w:drawing>
                <wp:anchor distT="0" distB="0" distL="114300" distR="114300" simplePos="0" relativeHeight="251687936" behindDoc="0" locked="0" layoutInCell="1" allowOverlap="1">
                  <wp:simplePos x="0" y="0"/>
                  <wp:positionH relativeFrom="column">
                    <wp:posOffset>8255</wp:posOffset>
                  </wp:positionH>
                  <wp:positionV relativeFrom="paragraph">
                    <wp:posOffset>-1460500</wp:posOffset>
                  </wp:positionV>
                  <wp:extent cx="2552065" cy="1702435"/>
                  <wp:effectExtent l="0" t="0" r="635" b="12065"/>
                  <wp:wrapSquare wrapText="bothSides"/>
                  <wp:docPr id="23" name="图片 23" descr="IMG_20240820_135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G_20240820_135253"/>
                          <pic:cNvPicPr>
                            <a:picLocks noChangeAspect="1"/>
                          </pic:cNvPicPr>
                        </pic:nvPicPr>
                        <pic:blipFill>
                          <a:blip r:embed="rId29"/>
                          <a:stretch>
                            <a:fillRect/>
                          </a:stretch>
                        </pic:blipFill>
                        <pic:spPr>
                          <a:xfrm>
                            <a:off x="0" y="0"/>
                            <a:ext cx="2552065" cy="1702435"/>
                          </a:xfrm>
                          <a:prstGeom prst="rect">
                            <a:avLst/>
                          </a:prstGeom>
                        </pic:spPr>
                      </pic:pic>
                    </a:graphicData>
                  </a:graphic>
                </wp:anchor>
              </w:drawing>
            </w:r>
            <w:r>
              <w:rPr>
                <w:rFonts w:hint="eastAsia" w:ascii="黑体" w:hAnsi="黑体" w:eastAsia="黑体" w:cs="黑体"/>
                <w:b w:val="0"/>
                <w:bCs w:val="0"/>
                <w:sz w:val="28"/>
                <w:szCs w:val="24"/>
                <w:lang w:val="en-US" w:eastAsia="zh-CN"/>
              </w:rPr>
              <w:t>电弧炉</w:t>
            </w:r>
          </w:p>
        </w:tc>
      </w:tr>
      <w:tr w14:paraId="678FB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139428A2">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ascii="黑体" w:hAnsi="黑体" w:eastAsia="黑体" w:cs="黑体"/>
                <w:b w:val="0"/>
                <w:bCs w:val="0"/>
                <w:sz w:val="28"/>
                <w:szCs w:val="24"/>
                <w:lang w:val="en-US" w:eastAsia="zh-CN"/>
              </w:rPr>
            </w:pPr>
            <w:r>
              <w:rPr>
                <w:rFonts w:hint="eastAsia" w:ascii="黑体" w:hAnsi="黑体" w:eastAsia="黑体" w:cs="黑体"/>
                <w:b w:val="0"/>
                <w:bCs w:val="0"/>
                <w:sz w:val="28"/>
                <w:szCs w:val="24"/>
                <w:lang w:val="en-US" w:eastAsia="zh-CN"/>
              </w:rPr>
              <w:drawing>
                <wp:anchor distT="0" distB="0" distL="114300" distR="114300" simplePos="0" relativeHeight="251689984" behindDoc="0" locked="0" layoutInCell="1" allowOverlap="1">
                  <wp:simplePos x="0" y="0"/>
                  <wp:positionH relativeFrom="column">
                    <wp:posOffset>7620</wp:posOffset>
                  </wp:positionH>
                  <wp:positionV relativeFrom="paragraph">
                    <wp:posOffset>-1574800</wp:posOffset>
                  </wp:positionV>
                  <wp:extent cx="2552065" cy="1818640"/>
                  <wp:effectExtent l="0" t="0" r="635" b="10160"/>
                  <wp:wrapSquare wrapText="bothSides"/>
                  <wp:docPr id="24" name="图片 24" descr="IMG_20240820_135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IMG_20240820_135847"/>
                          <pic:cNvPicPr>
                            <a:picLocks noChangeAspect="1"/>
                          </pic:cNvPicPr>
                        </pic:nvPicPr>
                        <pic:blipFill>
                          <a:blip r:embed="rId30"/>
                          <a:stretch>
                            <a:fillRect/>
                          </a:stretch>
                        </pic:blipFill>
                        <pic:spPr>
                          <a:xfrm>
                            <a:off x="0" y="0"/>
                            <a:ext cx="2552065" cy="1818640"/>
                          </a:xfrm>
                          <a:prstGeom prst="rect">
                            <a:avLst/>
                          </a:prstGeom>
                        </pic:spPr>
                      </pic:pic>
                    </a:graphicData>
                  </a:graphic>
                </wp:anchor>
              </w:drawing>
            </w:r>
            <w:r>
              <w:rPr>
                <w:rFonts w:hint="eastAsia" w:ascii="黑体" w:hAnsi="黑体" w:eastAsia="黑体" w:cs="黑体"/>
                <w:b w:val="0"/>
                <w:bCs w:val="0"/>
                <w:sz w:val="28"/>
                <w:szCs w:val="24"/>
                <w:lang w:val="en-US" w:eastAsia="zh-CN"/>
              </w:rPr>
              <w:t>气流磨</w:t>
            </w:r>
          </w:p>
        </w:tc>
        <w:tc>
          <w:tcPr>
            <w:tcW w:w="4262" w:type="dxa"/>
            <w:noWrap w:val="0"/>
            <w:vAlign w:val="top"/>
          </w:tcPr>
          <w:p w14:paraId="66266C3F">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default" w:ascii="黑体" w:hAnsi="黑体" w:eastAsia="黑体" w:cs="黑体"/>
                <w:b/>
                <w:bCs/>
                <w:sz w:val="36"/>
                <w:szCs w:val="32"/>
                <w:lang w:val="en-US" w:eastAsia="zh-CN"/>
              </w:rPr>
            </w:pPr>
            <w:r>
              <w:rPr>
                <w:rFonts w:hint="eastAsia" w:ascii="黑体" w:hAnsi="黑体" w:eastAsia="黑体" w:cs="黑体"/>
                <w:b w:val="0"/>
                <w:bCs w:val="0"/>
                <w:sz w:val="28"/>
                <w:szCs w:val="24"/>
                <w:lang w:val="en-US" w:eastAsia="zh-CN"/>
              </w:rPr>
              <w:drawing>
                <wp:anchor distT="0" distB="0" distL="114300" distR="114300" simplePos="0" relativeHeight="251691008" behindDoc="0" locked="0" layoutInCell="1" allowOverlap="1">
                  <wp:simplePos x="0" y="0"/>
                  <wp:positionH relativeFrom="column">
                    <wp:posOffset>8255</wp:posOffset>
                  </wp:positionH>
                  <wp:positionV relativeFrom="paragraph">
                    <wp:posOffset>-1574800</wp:posOffset>
                  </wp:positionV>
                  <wp:extent cx="2552065" cy="1823720"/>
                  <wp:effectExtent l="0" t="0" r="635" b="5080"/>
                  <wp:wrapSquare wrapText="bothSides"/>
                  <wp:docPr id="25" name="图片 25" descr="IMG_20240820_140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IMG_20240820_140130"/>
                          <pic:cNvPicPr>
                            <a:picLocks noChangeAspect="1"/>
                          </pic:cNvPicPr>
                        </pic:nvPicPr>
                        <pic:blipFill>
                          <a:blip r:embed="rId31"/>
                          <a:stretch>
                            <a:fillRect/>
                          </a:stretch>
                        </pic:blipFill>
                        <pic:spPr>
                          <a:xfrm>
                            <a:off x="0" y="0"/>
                            <a:ext cx="2552065" cy="1823720"/>
                          </a:xfrm>
                          <a:prstGeom prst="rect">
                            <a:avLst/>
                          </a:prstGeom>
                        </pic:spPr>
                      </pic:pic>
                    </a:graphicData>
                  </a:graphic>
                </wp:anchor>
              </w:drawing>
            </w:r>
            <w:r>
              <w:rPr>
                <w:rFonts w:hint="eastAsia" w:ascii="黑体" w:hAnsi="黑体" w:eastAsia="黑体" w:cs="黑体"/>
                <w:b w:val="0"/>
                <w:bCs w:val="0"/>
                <w:sz w:val="28"/>
                <w:szCs w:val="24"/>
                <w:lang w:val="en-US" w:eastAsia="zh-CN"/>
              </w:rPr>
              <w:t>环球磨</w:t>
            </w:r>
          </w:p>
        </w:tc>
      </w:tr>
      <w:tr w14:paraId="6BF8F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458E9FAD">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ascii="黑体" w:hAnsi="黑体" w:eastAsia="黑体" w:cs="黑体"/>
                <w:b w:val="0"/>
                <w:bCs w:val="0"/>
                <w:sz w:val="28"/>
                <w:szCs w:val="24"/>
                <w:lang w:val="en-US" w:eastAsia="zh-CN"/>
              </w:rPr>
            </w:pPr>
            <w:r>
              <w:rPr>
                <w:rFonts w:hint="eastAsia" w:ascii="黑体" w:hAnsi="黑体" w:eastAsia="黑体" w:cs="黑体"/>
                <w:b w:val="0"/>
                <w:bCs w:val="0"/>
                <w:sz w:val="28"/>
                <w:szCs w:val="24"/>
                <w:lang w:val="en-US" w:eastAsia="zh-CN"/>
              </w:rPr>
              <w:drawing>
                <wp:anchor distT="0" distB="0" distL="114300" distR="114300" simplePos="0" relativeHeight="251676672" behindDoc="0" locked="0" layoutInCell="1" allowOverlap="1">
                  <wp:simplePos x="0" y="0"/>
                  <wp:positionH relativeFrom="column">
                    <wp:posOffset>7620</wp:posOffset>
                  </wp:positionH>
                  <wp:positionV relativeFrom="paragraph">
                    <wp:posOffset>-1663700</wp:posOffset>
                  </wp:positionV>
                  <wp:extent cx="2552065" cy="1697990"/>
                  <wp:effectExtent l="0" t="0" r="635" b="3810"/>
                  <wp:wrapSquare wrapText="bothSides"/>
                  <wp:docPr id="22" name="图片 22" descr="IMG_20240820_135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IMG_20240820_135200"/>
                          <pic:cNvPicPr>
                            <a:picLocks noChangeAspect="1"/>
                          </pic:cNvPicPr>
                        </pic:nvPicPr>
                        <pic:blipFill>
                          <a:blip r:embed="rId32"/>
                          <a:stretch>
                            <a:fillRect/>
                          </a:stretch>
                        </pic:blipFill>
                        <pic:spPr>
                          <a:xfrm>
                            <a:off x="0" y="0"/>
                            <a:ext cx="2552065" cy="1697990"/>
                          </a:xfrm>
                          <a:prstGeom prst="rect">
                            <a:avLst/>
                          </a:prstGeom>
                        </pic:spPr>
                      </pic:pic>
                    </a:graphicData>
                  </a:graphic>
                </wp:anchor>
              </w:drawing>
            </w:r>
            <w:r>
              <w:rPr>
                <w:rFonts w:hint="eastAsia" w:ascii="黑体" w:hAnsi="黑体" w:eastAsia="黑体" w:cs="黑体"/>
                <w:b w:val="0"/>
                <w:bCs w:val="0"/>
                <w:sz w:val="28"/>
                <w:szCs w:val="24"/>
                <w:lang w:val="en-US" w:eastAsia="zh-CN"/>
              </w:rPr>
              <w:t>电弧炉喷淋水冷系统</w:t>
            </w:r>
          </w:p>
        </w:tc>
        <w:tc>
          <w:tcPr>
            <w:tcW w:w="4262" w:type="dxa"/>
            <w:noWrap w:val="0"/>
            <w:vAlign w:val="top"/>
          </w:tcPr>
          <w:p w14:paraId="4A159EA1">
            <w:pPr>
              <w:keepNext w:val="0"/>
              <w:keepLines w:val="0"/>
              <w:pageBreakBefore w:val="0"/>
              <w:widowControl w:val="0"/>
              <w:suppressLineNumbers w:val="0"/>
              <w:kinsoku/>
              <w:bidi w:val="0"/>
              <w:spacing w:before="0" w:beforeAutospacing="0" w:after="0" w:afterAutospacing="0"/>
              <w:ind w:left="0" w:leftChars="0" w:right="0" w:rightChars="0" w:firstLine="0" w:firstLineChars="0"/>
              <w:jc w:val="center"/>
              <w:rPr>
                <w:rFonts w:hint="default"/>
                <w:b/>
                <w:bCs/>
                <w:sz w:val="24"/>
                <w:szCs w:val="22"/>
                <w:lang w:val="en-US" w:eastAsia="zh-CN"/>
              </w:rPr>
            </w:pPr>
            <w:r>
              <w:rPr>
                <w:rFonts w:hint="eastAsia" w:ascii="黑体" w:hAnsi="黑体" w:eastAsia="黑体" w:cs="黑体"/>
                <w:b w:val="0"/>
                <w:bCs w:val="0"/>
                <w:sz w:val="28"/>
                <w:szCs w:val="24"/>
                <w:lang w:val="en-US" w:eastAsia="zh-CN"/>
              </w:rPr>
              <w:t>电弧炉控制室外CO检测报警仪</w:t>
            </w:r>
            <w:r>
              <w:rPr>
                <w:rFonts w:hint="eastAsia" w:ascii="黑体" w:hAnsi="黑体" w:eastAsia="黑体" w:cs="黑体"/>
                <w:b w:val="0"/>
                <w:bCs w:val="0"/>
                <w:sz w:val="28"/>
                <w:szCs w:val="24"/>
                <w:lang w:val="en-US" w:eastAsia="zh-CN"/>
              </w:rPr>
              <w:drawing>
                <wp:anchor distT="0" distB="0" distL="114300" distR="114300" simplePos="0" relativeHeight="251682816" behindDoc="0" locked="0" layoutInCell="1" allowOverlap="1">
                  <wp:simplePos x="0" y="0"/>
                  <wp:positionH relativeFrom="column">
                    <wp:posOffset>14605</wp:posOffset>
                  </wp:positionH>
                  <wp:positionV relativeFrom="paragraph">
                    <wp:posOffset>-1333500</wp:posOffset>
                  </wp:positionV>
                  <wp:extent cx="2536190" cy="1696085"/>
                  <wp:effectExtent l="0" t="0" r="3810" b="5715"/>
                  <wp:wrapSquare wrapText="bothSides"/>
                  <wp:docPr id="32" name="图片 32" descr="IMG_20240820_140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IMG_20240820_140747"/>
                          <pic:cNvPicPr>
                            <a:picLocks noChangeAspect="1"/>
                          </pic:cNvPicPr>
                        </pic:nvPicPr>
                        <pic:blipFill>
                          <a:blip r:embed="rId33"/>
                          <a:stretch>
                            <a:fillRect/>
                          </a:stretch>
                        </pic:blipFill>
                        <pic:spPr>
                          <a:xfrm>
                            <a:off x="0" y="0"/>
                            <a:ext cx="2536190" cy="1696085"/>
                          </a:xfrm>
                          <a:prstGeom prst="rect">
                            <a:avLst/>
                          </a:prstGeom>
                        </pic:spPr>
                      </pic:pic>
                    </a:graphicData>
                  </a:graphic>
                </wp:anchor>
              </w:drawing>
            </w:r>
          </w:p>
        </w:tc>
      </w:tr>
      <w:tr w14:paraId="2DEF9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672129E2">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ascii="黑体" w:hAnsi="黑体" w:eastAsia="黑体" w:cs="黑体"/>
                <w:b w:val="0"/>
                <w:bCs w:val="0"/>
                <w:sz w:val="28"/>
                <w:szCs w:val="24"/>
                <w:lang w:val="en-US" w:eastAsia="zh-CN"/>
              </w:rPr>
            </w:pPr>
            <w:r>
              <w:rPr>
                <w:rFonts w:hint="default" w:ascii="黑体" w:hAnsi="黑体" w:eastAsia="黑体" w:cs="黑体"/>
                <w:b w:val="0"/>
                <w:bCs w:val="0"/>
                <w:sz w:val="28"/>
                <w:szCs w:val="24"/>
                <w:lang w:val="en-US" w:eastAsia="zh-CN"/>
              </w:rPr>
              <w:drawing>
                <wp:anchor distT="0" distB="0" distL="114300" distR="114300" simplePos="0" relativeHeight="251681792" behindDoc="0" locked="0" layoutInCell="1" allowOverlap="1">
                  <wp:simplePos x="0" y="0"/>
                  <wp:positionH relativeFrom="column">
                    <wp:posOffset>7620</wp:posOffset>
                  </wp:positionH>
                  <wp:positionV relativeFrom="paragraph">
                    <wp:posOffset>-1346200</wp:posOffset>
                  </wp:positionV>
                  <wp:extent cx="2552065" cy="1807210"/>
                  <wp:effectExtent l="0" t="0" r="635" b="8890"/>
                  <wp:wrapSquare wrapText="bothSides"/>
                  <wp:docPr id="33" name="图片 33" descr="IMG_20240820_140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IMG_20240820_140906"/>
                          <pic:cNvPicPr>
                            <a:picLocks noChangeAspect="1"/>
                          </pic:cNvPicPr>
                        </pic:nvPicPr>
                        <pic:blipFill>
                          <a:blip r:embed="rId34"/>
                          <a:stretch>
                            <a:fillRect/>
                          </a:stretch>
                        </pic:blipFill>
                        <pic:spPr>
                          <a:xfrm>
                            <a:off x="0" y="0"/>
                            <a:ext cx="2552065" cy="1807210"/>
                          </a:xfrm>
                          <a:prstGeom prst="rect">
                            <a:avLst/>
                          </a:prstGeom>
                        </pic:spPr>
                      </pic:pic>
                    </a:graphicData>
                  </a:graphic>
                </wp:anchor>
              </w:drawing>
            </w:r>
            <w:r>
              <w:rPr>
                <w:rFonts w:hint="eastAsia" w:ascii="黑体" w:hAnsi="黑体" w:eastAsia="黑体" w:cs="黑体"/>
                <w:b w:val="0"/>
                <w:bCs w:val="0"/>
                <w:sz w:val="28"/>
                <w:szCs w:val="24"/>
                <w:lang w:val="en-US" w:eastAsia="zh-CN"/>
              </w:rPr>
              <w:t>电弧炉控制系统（一）</w:t>
            </w:r>
          </w:p>
        </w:tc>
        <w:tc>
          <w:tcPr>
            <w:tcW w:w="4262" w:type="dxa"/>
            <w:noWrap w:val="0"/>
            <w:vAlign w:val="top"/>
          </w:tcPr>
          <w:p w14:paraId="16783854">
            <w:pPr>
              <w:keepNext w:val="0"/>
              <w:keepLines w:val="0"/>
              <w:pageBreakBefore w:val="0"/>
              <w:widowControl w:val="0"/>
              <w:suppressLineNumbers w:val="0"/>
              <w:kinsoku/>
              <w:bidi w:val="0"/>
              <w:spacing w:before="0" w:beforeAutospacing="0" w:after="0" w:afterAutospacing="0"/>
              <w:ind w:left="0" w:leftChars="0" w:right="0" w:rightChars="0" w:firstLine="0" w:firstLineChars="0"/>
              <w:jc w:val="center"/>
              <w:rPr>
                <w:rFonts w:hint="default" w:ascii="黑体" w:hAnsi="黑体" w:eastAsia="黑体" w:cs="黑体"/>
                <w:b w:val="0"/>
                <w:bCs w:val="0"/>
                <w:sz w:val="28"/>
                <w:szCs w:val="24"/>
                <w:lang w:val="en-US" w:eastAsia="zh-CN"/>
              </w:rPr>
            </w:pPr>
            <w:r>
              <w:rPr>
                <w:rFonts w:hint="eastAsia" w:ascii="黑体" w:hAnsi="黑体" w:eastAsia="黑体" w:cs="黑体"/>
                <w:b w:val="0"/>
                <w:bCs w:val="0"/>
                <w:sz w:val="28"/>
                <w:szCs w:val="24"/>
                <w:lang w:val="en-US" w:eastAsia="zh-CN"/>
              </w:rPr>
              <w:t>电弧炉控制系统（二）</w:t>
            </w:r>
            <w:r>
              <w:rPr>
                <w:rFonts w:hint="default" w:ascii="黑体" w:hAnsi="黑体" w:eastAsia="黑体" w:cs="黑体"/>
                <w:b w:val="0"/>
                <w:bCs w:val="0"/>
                <w:sz w:val="28"/>
                <w:szCs w:val="24"/>
                <w:lang w:val="en-US" w:eastAsia="zh-CN"/>
              </w:rPr>
              <w:drawing>
                <wp:anchor distT="0" distB="0" distL="114300" distR="114300" simplePos="0" relativeHeight="251680768" behindDoc="0" locked="0" layoutInCell="1" allowOverlap="1">
                  <wp:simplePos x="0" y="0"/>
                  <wp:positionH relativeFrom="column">
                    <wp:posOffset>8255</wp:posOffset>
                  </wp:positionH>
                  <wp:positionV relativeFrom="paragraph">
                    <wp:posOffset>-1663700</wp:posOffset>
                  </wp:positionV>
                  <wp:extent cx="2552065" cy="1804035"/>
                  <wp:effectExtent l="0" t="0" r="635" b="12065"/>
                  <wp:wrapSquare wrapText="bothSides"/>
                  <wp:docPr id="37" name="图片 37" descr="IMG_20240820_141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IMG_20240820_141230"/>
                          <pic:cNvPicPr>
                            <a:picLocks noChangeAspect="1"/>
                          </pic:cNvPicPr>
                        </pic:nvPicPr>
                        <pic:blipFill>
                          <a:blip r:embed="rId35"/>
                          <a:stretch>
                            <a:fillRect/>
                          </a:stretch>
                        </pic:blipFill>
                        <pic:spPr>
                          <a:xfrm>
                            <a:off x="0" y="0"/>
                            <a:ext cx="2552065" cy="1804035"/>
                          </a:xfrm>
                          <a:prstGeom prst="rect">
                            <a:avLst/>
                          </a:prstGeom>
                        </pic:spPr>
                      </pic:pic>
                    </a:graphicData>
                  </a:graphic>
                </wp:anchor>
              </w:drawing>
            </w:r>
          </w:p>
        </w:tc>
      </w:tr>
      <w:tr w14:paraId="6A791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7720EC83">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ascii="黑体" w:hAnsi="黑体" w:eastAsia="黑体" w:cs="黑体"/>
                <w:b w:val="0"/>
                <w:bCs w:val="0"/>
                <w:sz w:val="28"/>
                <w:szCs w:val="24"/>
                <w:lang w:val="en-US" w:eastAsia="zh-CN"/>
              </w:rPr>
            </w:pPr>
            <w:r>
              <w:rPr>
                <w:rFonts w:hint="eastAsia" w:ascii="黑体" w:hAnsi="黑体" w:eastAsia="黑体" w:cs="黑体"/>
                <w:b w:val="0"/>
                <w:bCs w:val="0"/>
                <w:sz w:val="28"/>
                <w:szCs w:val="24"/>
                <w:lang w:val="en-US" w:eastAsia="zh-CN"/>
              </w:rPr>
              <w:t>110kV东锆变电站</w:t>
            </w:r>
            <w:r>
              <w:rPr>
                <w:rFonts w:hint="eastAsia" w:ascii="黑体" w:hAnsi="黑体" w:eastAsia="黑体" w:cs="黑体"/>
                <w:b w:val="0"/>
                <w:bCs w:val="0"/>
                <w:sz w:val="28"/>
                <w:szCs w:val="24"/>
                <w:lang w:val="en-US" w:eastAsia="zh-CN"/>
              </w:rPr>
              <w:drawing>
                <wp:anchor distT="0" distB="0" distL="114300" distR="114300" simplePos="0" relativeHeight="251668480" behindDoc="0" locked="0" layoutInCell="1" allowOverlap="1">
                  <wp:simplePos x="0" y="0"/>
                  <wp:positionH relativeFrom="column">
                    <wp:posOffset>7620</wp:posOffset>
                  </wp:positionH>
                  <wp:positionV relativeFrom="paragraph">
                    <wp:posOffset>-1663700</wp:posOffset>
                  </wp:positionV>
                  <wp:extent cx="2552065" cy="1913890"/>
                  <wp:effectExtent l="0" t="0" r="635" b="3810"/>
                  <wp:wrapSquare wrapText="bothSides"/>
                  <wp:docPr id="12" name="图片 12" descr="IMG_20240820_132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0240820_132841"/>
                          <pic:cNvPicPr>
                            <a:picLocks noChangeAspect="1"/>
                          </pic:cNvPicPr>
                        </pic:nvPicPr>
                        <pic:blipFill>
                          <a:blip r:embed="rId36"/>
                          <a:stretch>
                            <a:fillRect/>
                          </a:stretch>
                        </pic:blipFill>
                        <pic:spPr>
                          <a:xfrm>
                            <a:off x="0" y="0"/>
                            <a:ext cx="2552065" cy="1913890"/>
                          </a:xfrm>
                          <a:prstGeom prst="rect">
                            <a:avLst/>
                          </a:prstGeom>
                        </pic:spPr>
                      </pic:pic>
                    </a:graphicData>
                  </a:graphic>
                </wp:anchor>
              </w:drawing>
            </w:r>
          </w:p>
        </w:tc>
        <w:tc>
          <w:tcPr>
            <w:tcW w:w="4262" w:type="dxa"/>
            <w:noWrap w:val="0"/>
            <w:vAlign w:val="top"/>
          </w:tcPr>
          <w:p w14:paraId="54FC469F">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default" w:cs="宋体"/>
                <w:b/>
                <w:bCs/>
                <w:sz w:val="24"/>
                <w:szCs w:val="24"/>
                <w:lang w:val="en-US" w:eastAsia="zh-CN"/>
              </w:rPr>
            </w:pPr>
            <w:r>
              <w:rPr>
                <w:rFonts w:hint="default" w:ascii="黑体" w:hAnsi="黑体" w:eastAsia="黑体" w:cs="黑体"/>
                <w:b w:val="0"/>
                <w:bCs w:val="0"/>
                <w:sz w:val="28"/>
                <w:szCs w:val="24"/>
                <w:lang w:val="en-US" w:eastAsia="zh-CN"/>
              </w:rPr>
              <w:drawing>
                <wp:anchor distT="0" distB="0" distL="114300" distR="114300" simplePos="0" relativeHeight="251669504" behindDoc="0" locked="0" layoutInCell="1" allowOverlap="1">
                  <wp:simplePos x="0" y="0"/>
                  <wp:positionH relativeFrom="column">
                    <wp:posOffset>8255</wp:posOffset>
                  </wp:positionH>
                  <wp:positionV relativeFrom="paragraph">
                    <wp:posOffset>-1663700</wp:posOffset>
                  </wp:positionV>
                  <wp:extent cx="2552065" cy="1913890"/>
                  <wp:effectExtent l="0" t="0" r="635" b="3810"/>
                  <wp:wrapSquare wrapText="bothSides"/>
                  <wp:docPr id="13" name="图片 13" descr="IMG_20240820_133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0240820_133148"/>
                          <pic:cNvPicPr>
                            <a:picLocks noChangeAspect="1"/>
                          </pic:cNvPicPr>
                        </pic:nvPicPr>
                        <pic:blipFill>
                          <a:blip r:embed="rId37"/>
                          <a:stretch>
                            <a:fillRect/>
                          </a:stretch>
                        </pic:blipFill>
                        <pic:spPr>
                          <a:xfrm>
                            <a:off x="0" y="0"/>
                            <a:ext cx="2552065" cy="1913890"/>
                          </a:xfrm>
                          <a:prstGeom prst="rect">
                            <a:avLst/>
                          </a:prstGeom>
                        </pic:spPr>
                      </pic:pic>
                    </a:graphicData>
                  </a:graphic>
                </wp:anchor>
              </w:drawing>
            </w:r>
            <w:r>
              <w:rPr>
                <w:rFonts w:hint="eastAsia" w:ascii="黑体" w:hAnsi="黑体" w:eastAsia="黑体" w:cs="黑体"/>
                <w:b w:val="0"/>
                <w:bCs w:val="0"/>
                <w:sz w:val="28"/>
                <w:szCs w:val="24"/>
                <w:lang w:val="en-US" w:eastAsia="zh-CN"/>
              </w:rPr>
              <w:t>35kV专用变压器</w:t>
            </w:r>
          </w:p>
        </w:tc>
      </w:tr>
      <w:tr w14:paraId="16938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4F7F37AD">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ascii="黑体" w:hAnsi="黑体" w:eastAsia="黑体" w:cs="黑体"/>
                <w:b w:val="0"/>
                <w:bCs w:val="0"/>
                <w:sz w:val="28"/>
                <w:szCs w:val="24"/>
                <w:lang w:val="en-US" w:eastAsia="zh-CN"/>
              </w:rPr>
            </w:pPr>
            <w:r>
              <w:rPr>
                <w:rFonts w:hint="eastAsia" w:ascii="黑体" w:hAnsi="黑体" w:eastAsia="黑体" w:cs="黑体"/>
                <w:b w:val="0"/>
                <w:bCs w:val="0"/>
                <w:sz w:val="28"/>
                <w:szCs w:val="24"/>
                <w:lang w:val="en-US" w:eastAsia="zh-CN"/>
              </w:rPr>
              <w:drawing>
                <wp:anchor distT="0" distB="0" distL="114300" distR="114300" simplePos="0" relativeHeight="251672576" behindDoc="0" locked="0" layoutInCell="1" allowOverlap="1">
                  <wp:simplePos x="0" y="0"/>
                  <wp:positionH relativeFrom="column">
                    <wp:posOffset>13970</wp:posOffset>
                  </wp:positionH>
                  <wp:positionV relativeFrom="paragraph">
                    <wp:posOffset>-1651000</wp:posOffset>
                  </wp:positionV>
                  <wp:extent cx="2536190" cy="1901825"/>
                  <wp:effectExtent l="0" t="0" r="3810" b="3175"/>
                  <wp:wrapSquare wrapText="bothSides"/>
                  <wp:docPr id="17" name="图片 17" descr="IMG_20240820_13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0240820_134130"/>
                          <pic:cNvPicPr>
                            <a:picLocks noChangeAspect="1"/>
                          </pic:cNvPicPr>
                        </pic:nvPicPr>
                        <pic:blipFill>
                          <a:blip r:embed="rId38"/>
                          <a:stretch>
                            <a:fillRect/>
                          </a:stretch>
                        </pic:blipFill>
                        <pic:spPr>
                          <a:xfrm>
                            <a:off x="0" y="0"/>
                            <a:ext cx="2536190" cy="1901825"/>
                          </a:xfrm>
                          <a:prstGeom prst="rect">
                            <a:avLst/>
                          </a:prstGeom>
                        </pic:spPr>
                      </pic:pic>
                    </a:graphicData>
                  </a:graphic>
                </wp:anchor>
              </w:drawing>
            </w:r>
            <w:r>
              <w:rPr>
                <w:rFonts w:hint="eastAsia" w:ascii="黑体" w:hAnsi="黑体" w:eastAsia="黑体" w:cs="黑体"/>
                <w:b w:val="0"/>
                <w:bCs w:val="0"/>
                <w:sz w:val="28"/>
                <w:szCs w:val="24"/>
                <w:lang w:val="en-US" w:eastAsia="zh-CN"/>
              </w:rPr>
              <w:t>110kV主控室</w:t>
            </w:r>
          </w:p>
        </w:tc>
        <w:tc>
          <w:tcPr>
            <w:tcW w:w="4262" w:type="dxa"/>
            <w:noWrap w:val="0"/>
            <w:vAlign w:val="top"/>
          </w:tcPr>
          <w:p w14:paraId="51CF9794">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default" w:ascii="黑体" w:hAnsi="黑体" w:eastAsia="黑体" w:cs="黑体"/>
                <w:b w:val="0"/>
                <w:bCs w:val="0"/>
                <w:sz w:val="28"/>
                <w:szCs w:val="24"/>
                <w:lang w:val="en-US" w:eastAsia="zh-CN"/>
              </w:rPr>
            </w:pPr>
            <w:r>
              <w:rPr>
                <w:rFonts w:hint="default" w:ascii="黑体" w:hAnsi="黑体" w:eastAsia="黑体" w:cs="黑体"/>
                <w:b w:val="0"/>
                <w:bCs w:val="0"/>
                <w:sz w:val="28"/>
                <w:szCs w:val="24"/>
                <w:lang w:val="en-US" w:eastAsia="zh-CN"/>
              </w:rPr>
              <w:drawing>
                <wp:anchor distT="0" distB="0" distL="114300" distR="114300" simplePos="0" relativeHeight="251673600" behindDoc="0" locked="0" layoutInCell="1" allowOverlap="1">
                  <wp:simplePos x="0" y="0"/>
                  <wp:positionH relativeFrom="column">
                    <wp:posOffset>8255</wp:posOffset>
                  </wp:positionH>
                  <wp:positionV relativeFrom="paragraph">
                    <wp:posOffset>-1663700</wp:posOffset>
                  </wp:positionV>
                  <wp:extent cx="2552065" cy="1913890"/>
                  <wp:effectExtent l="0" t="0" r="635" b="3810"/>
                  <wp:wrapSquare wrapText="bothSides"/>
                  <wp:docPr id="19" name="图片 19" descr="IMG_20240820_133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IMG_20240820_133302"/>
                          <pic:cNvPicPr>
                            <a:picLocks noChangeAspect="1"/>
                          </pic:cNvPicPr>
                        </pic:nvPicPr>
                        <pic:blipFill>
                          <a:blip r:embed="rId39"/>
                          <a:stretch>
                            <a:fillRect/>
                          </a:stretch>
                        </pic:blipFill>
                        <pic:spPr>
                          <a:xfrm>
                            <a:off x="0" y="0"/>
                            <a:ext cx="2552065" cy="1913890"/>
                          </a:xfrm>
                          <a:prstGeom prst="rect">
                            <a:avLst/>
                          </a:prstGeom>
                        </pic:spPr>
                      </pic:pic>
                    </a:graphicData>
                  </a:graphic>
                </wp:anchor>
              </w:drawing>
            </w:r>
            <w:r>
              <w:rPr>
                <w:rFonts w:hint="eastAsia" w:ascii="黑体" w:hAnsi="黑体" w:eastAsia="黑体" w:cs="黑体"/>
                <w:b w:val="0"/>
                <w:bCs w:val="0"/>
                <w:sz w:val="28"/>
                <w:szCs w:val="24"/>
                <w:lang w:val="en-US" w:eastAsia="zh-CN"/>
              </w:rPr>
              <w:t>35kV/0.4kV配电室</w:t>
            </w:r>
          </w:p>
        </w:tc>
      </w:tr>
      <w:tr w14:paraId="1D1FC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3E3FA9FE">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ascii="黑体" w:hAnsi="黑体" w:eastAsia="黑体" w:cs="黑体"/>
                <w:b w:val="0"/>
                <w:bCs w:val="0"/>
                <w:sz w:val="28"/>
                <w:szCs w:val="24"/>
                <w:lang w:val="en-US" w:eastAsia="zh-CN"/>
              </w:rPr>
            </w:pPr>
            <w:r>
              <w:rPr>
                <w:rFonts w:hint="eastAsia" w:ascii="黑体" w:hAnsi="黑体" w:eastAsia="黑体" w:cs="黑体"/>
                <w:b w:val="0"/>
                <w:bCs w:val="0"/>
                <w:sz w:val="28"/>
                <w:szCs w:val="24"/>
                <w:lang w:val="en-US" w:eastAsia="zh-CN"/>
              </w:rPr>
              <w:t>SiO</w:t>
            </w:r>
            <w:r>
              <w:rPr>
                <w:rFonts w:hint="eastAsia" w:ascii="黑体" w:hAnsi="黑体" w:eastAsia="黑体" w:cs="黑体"/>
                <w:b w:val="0"/>
                <w:bCs w:val="0"/>
                <w:sz w:val="28"/>
                <w:szCs w:val="24"/>
                <w:vertAlign w:val="subscript"/>
                <w:lang w:val="en-US" w:eastAsia="zh-CN"/>
              </w:rPr>
              <w:t>2</w:t>
            </w:r>
            <w:r>
              <w:rPr>
                <w:rFonts w:hint="eastAsia" w:ascii="黑体" w:hAnsi="黑体" w:eastAsia="黑体" w:cs="黑体"/>
                <w:b w:val="0"/>
                <w:bCs w:val="0"/>
                <w:sz w:val="28"/>
                <w:szCs w:val="24"/>
                <w:lang w:val="en-US" w:eastAsia="zh-CN"/>
              </w:rPr>
              <w:t>微粉回收</w:t>
            </w:r>
            <w:r>
              <w:rPr>
                <w:rFonts w:hint="eastAsia" w:ascii="黑体" w:hAnsi="黑体" w:eastAsia="黑体" w:cs="黑体"/>
                <w:b w:val="0"/>
                <w:bCs w:val="0"/>
                <w:sz w:val="28"/>
                <w:szCs w:val="24"/>
                <w:lang w:val="en-US" w:eastAsia="zh-CN"/>
              </w:rPr>
              <w:drawing>
                <wp:anchor distT="0" distB="0" distL="114300" distR="114300" simplePos="0" relativeHeight="251671552" behindDoc="0" locked="0" layoutInCell="1" allowOverlap="1">
                  <wp:simplePos x="0" y="0"/>
                  <wp:positionH relativeFrom="column">
                    <wp:posOffset>7620</wp:posOffset>
                  </wp:positionH>
                  <wp:positionV relativeFrom="paragraph">
                    <wp:posOffset>-1346200</wp:posOffset>
                  </wp:positionV>
                  <wp:extent cx="2552065" cy="1781175"/>
                  <wp:effectExtent l="0" t="0" r="635" b="9525"/>
                  <wp:wrapSquare wrapText="bothSides"/>
                  <wp:docPr id="15" name="图片 15" descr="IMG_20240820_133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0240820_133834"/>
                          <pic:cNvPicPr>
                            <a:picLocks noChangeAspect="1"/>
                          </pic:cNvPicPr>
                        </pic:nvPicPr>
                        <pic:blipFill>
                          <a:blip r:embed="rId40"/>
                          <a:stretch>
                            <a:fillRect/>
                          </a:stretch>
                        </pic:blipFill>
                        <pic:spPr>
                          <a:xfrm>
                            <a:off x="0" y="0"/>
                            <a:ext cx="2552065" cy="1781175"/>
                          </a:xfrm>
                          <a:prstGeom prst="rect">
                            <a:avLst/>
                          </a:prstGeom>
                        </pic:spPr>
                      </pic:pic>
                    </a:graphicData>
                  </a:graphic>
                </wp:anchor>
              </w:drawing>
            </w:r>
            <w:r>
              <w:rPr>
                <w:rFonts w:hint="eastAsia" w:ascii="黑体" w:hAnsi="黑体" w:eastAsia="黑体" w:cs="黑体"/>
                <w:b w:val="0"/>
                <w:bCs w:val="0"/>
                <w:sz w:val="28"/>
                <w:szCs w:val="24"/>
                <w:lang w:val="en-US" w:eastAsia="zh-CN"/>
              </w:rPr>
              <w:t>系统</w:t>
            </w:r>
          </w:p>
        </w:tc>
        <w:tc>
          <w:tcPr>
            <w:tcW w:w="4262" w:type="dxa"/>
            <w:noWrap w:val="0"/>
            <w:vAlign w:val="top"/>
          </w:tcPr>
          <w:p w14:paraId="2144923B">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default" w:ascii="黑体" w:hAnsi="黑体" w:eastAsia="黑体" w:cs="黑体"/>
                <w:b w:val="0"/>
                <w:bCs w:val="0"/>
                <w:sz w:val="28"/>
                <w:szCs w:val="24"/>
                <w:lang w:val="en-US" w:eastAsia="zh-CN"/>
              </w:rPr>
            </w:pPr>
            <w:r>
              <w:rPr>
                <w:rFonts w:hint="default" w:ascii="黑体" w:hAnsi="黑体" w:eastAsia="黑体" w:cs="黑体"/>
                <w:b w:val="0"/>
                <w:bCs w:val="0"/>
                <w:sz w:val="28"/>
                <w:szCs w:val="24"/>
                <w:lang w:val="en-US" w:eastAsia="zh-CN"/>
              </w:rPr>
              <w:drawing>
                <wp:anchor distT="0" distB="0" distL="114300" distR="114300" simplePos="0" relativeHeight="251679744" behindDoc="0" locked="0" layoutInCell="1" allowOverlap="1">
                  <wp:simplePos x="0" y="0"/>
                  <wp:positionH relativeFrom="column">
                    <wp:posOffset>8255</wp:posOffset>
                  </wp:positionH>
                  <wp:positionV relativeFrom="paragraph">
                    <wp:posOffset>-1663700</wp:posOffset>
                  </wp:positionV>
                  <wp:extent cx="2552065" cy="1791970"/>
                  <wp:effectExtent l="0" t="0" r="635" b="11430"/>
                  <wp:wrapSquare wrapText="bothSides"/>
                  <wp:docPr id="36" name="图片 36" descr="IMG_20240820_141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IMG_20240820_141906"/>
                          <pic:cNvPicPr>
                            <a:picLocks noChangeAspect="1"/>
                          </pic:cNvPicPr>
                        </pic:nvPicPr>
                        <pic:blipFill>
                          <a:blip r:embed="rId41"/>
                          <a:stretch>
                            <a:fillRect/>
                          </a:stretch>
                        </pic:blipFill>
                        <pic:spPr>
                          <a:xfrm>
                            <a:off x="0" y="0"/>
                            <a:ext cx="2552065" cy="1791970"/>
                          </a:xfrm>
                          <a:prstGeom prst="rect">
                            <a:avLst/>
                          </a:prstGeom>
                        </pic:spPr>
                      </pic:pic>
                    </a:graphicData>
                  </a:graphic>
                </wp:anchor>
              </w:drawing>
            </w:r>
            <w:r>
              <w:rPr>
                <w:rFonts w:hint="eastAsia" w:ascii="黑体" w:hAnsi="黑体" w:eastAsia="黑体" w:cs="黑体"/>
                <w:b w:val="0"/>
                <w:bCs w:val="0"/>
                <w:sz w:val="28"/>
                <w:szCs w:val="24"/>
                <w:lang w:val="en-US" w:eastAsia="zh-CN"/>
              </w:rPr>
              <w:t>电弧炉炉前变压器</w:t>
            </w:r>
          </w:p>
        </w:tc>
      </w:tr>
      <w:tr w14:paraId="03AEA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61" w:type="dxa"/>
            <w:noWrap w:val="0"/>
            <w:vAlign w:val="top"/>
          </w:tcPr>
          <w:p w14:paraId="659E4210">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ascii="黑体" w:hAnsi="黑体" w:eastAsia="黑体" w:cs="黑体"/>
                <w:b w:val="0"/>
                <w:bCs w:val="0"/>
                <w:sz w:val="28"/>
                <w:szCs w:val="24"/>
                <w:lang w:val="en-US" w:eastAsia="zh-CN"/>
              </w:rPr>
            </w:pPr>
            <w:r>
              <w:rPr>
                <w:rFonts w:hint="eastAsia" w:ascii="黑体" w:hAnsi="黑体" w:eastAsia="黑体" w:cs="黑体"/>
                <w:b w:val="0"/>
                <w:bCs w:val="0"/>
                <w:sz w:val="28"/>
                <w:szCs w:val="24"/>
                <w:lang w:val="en-US" w:eastAsia="zh-CN"/>
              </w:rPr>
              <w:drawing>
                <wp:anchor distT="0" distB="0" distL="114300" distR="114300" simplePos="0" relativeHeight="251674624" behindDoc="0" locked="0" layoutInCell="1" allowOverlap="1">
                  <wp:simplePos x="0" y="0"/>
                  <wp:positionH relativeFrom="column">
                    <wp:posOffset>7620</wp:posOffset>
                  </wp:positionH>
                  <wp:positionV relativeFrom="paragraph">
                    <wp:posOffset>-1663700</wp:posOffset>
                  </wp:positionV>
                  <wp:extent cx="2552065" cy="1776730"/>
                  <wp:effectExtent l="0" t="0" r="635" b="1270"/>
                  <wp:wrapSquare wrapText="bothSides"/>
                  <wp:docPr id="20" name="图片 20" descr="IMG_20240820_134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IMG_20240820_134318"/>
                          <pic:cNvPicPr>
                            <a:picLocks noChangeAspect="1"/>
                          </pic:cNvPicPr>
                        </pic:nvPicPr>
                        <pic:blipFill>
                          <a:blip r:embed="rId42"/>
                          <a:stretch>
                            <a:fillRect/>
                          </a:stretch>
                        </pic:blipFill>
                        <pic:spPr>
                          <a:xfrm>
                            <a:off x="0" y="0"/>
                            <a:ext cx="2552065" cy="1776730"/>
                          </a:xfrm>
                          <a:prstGeom prst="rect">
                            <a:avLst/>
                          </a:prstGeom>
                        </pic:spPr>
                      </pic:pic>
                    </a:graphicData>
                  </a:graphic>
                </wp:anchor>
              </w:drawing>
            </w:r>
            <w:r>
              <w:rPr>
                <w:rFonts w:hint="eastAsia" w:ascii="黑体" w:hAnsi="黑体" w:eastAsia="黑体" w:cs="黑体"/>
                <w:b w:val="0"/>
                <w:bCs w:val="0"/>
                <w:sz w:val="28"/>
                <w:szCs w:val="24"/>
                <w:lang w:val="en-US" w:eastAsia="zh-CN"/>
              </w:rPr>
              <w:t>冷却循环水池</w:t>
            </w:r>
          </w:p>
        </w:tc>
        <w:tc>
          <w:tcPr>
            <w:tcW w:w="4262" w:type="dxa"/>
            <w:noWrap w:val="0"/>
            <w:vAlign w:val="top"/>
          </w:tcPr>
          <w:p w14:paraId="79D9977B">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default" w:ascii="黑体" w:hAnsi="黑体" w:eastAsia="黑体" w:cs="黑体"/>
                <w:b w:val="0"/>
                <w:bCs w:val="0"/>
                <w:sz w:val="28"/>
                <w:szCs w:val="24"/>
                <w:lang w:val="en-US" w:eastAsia="zh-CN"/>
              </w:rPr>
            </w:pPr>
            <w:r>
              <w:rPr>
                <w:rFonts w:hint="default" w:ascii="黑体" w:hAnsi="黑体" w:eastAsia="黑体" w:cs="黑体"/>
                <w:b w:val="0"/>
                <w:bCs w:val="0"/>
                <w:sz w:val="28"/>
                <w:szCs w:val="24"/>
                <w:lang w:val="en-US" w:eastAsia="zh-CN"/>
              </w:rPr>
              <w:drawing>
                <wp:anchor distT="0" distB="0" distL="114300" distR="114300" simplePos="0" relativeHeight="251675648" behindDoc="0" locked="0" layoutInCell="1" allowOverlap="1">
                  <wp:simplePos x="0" y="0"/>
                  <wp:positionH relativeFrom="column">
                    <wp:posOffset>8255</wp:posOffset>
                  </wp:positionH>
                  <wp:positionV relativeFrom="paragraph">
                    <wp:posOffset>-1663700</wp:posOffset>
                  </wp:positionV>
                  <wp:extent cx="2552065" cy="1761490"/>
                  <wp:effectExtent l="0" t="0" r="635" b="3810"/>
                  <wp:wrapSquare wrapText="bothSides"/>
                  <wp:docPr id="21" name="图片 21" descr="IMG_20240820_134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IMG_20240820_134503"/>
                          <pic:cNvPicPr>
                            <a:picLocks noChangeAspect="1"/>
                          </pic:cNvPicPr>
                        </pic:nvPicPr>
                        <pic:blipFill>
                          <a:blip r:embed="rId43"/>
                          <a:stretch>
                            <a:fillRect/>
                          </a:stretch>
                        </pic:blipFill>
                        <pic:spPr>
                          <a:xfrm>
                            <a:off x="0" y="0"/>
                            <a:ext cx="2552065" cy="1761490"/>
                          </a:xfrm>
                          <a:prstGeom prst="rect">
                            <a:avLst/>
                          </a:prstGeom>
                        </pic:spPr>
                      </pic:pic>
                    </a:graphicData>
                  </a:graphic>
                </wp:anchor>
              </w:drawing>
            </w:r>
            <w:r>
              <w:rPr>
                <w:rFonts w:hint="eastAsia" w:ascii="黑体" w:hAnsi="黑体" w:eastAsia="黑体" w:cs="黑体"/>
                <w:b w:val="0"/>
                <w:bCs w:val="0"/>
                <w:sz w:val="28"/>
                <w:szCs w:val="24"/>
                <w:lang w:val="en-US" w:eastAsia="zh-CN"/>
              </w:rPr>
              <w:t>水泵房</w:t>
            </w:r>
          </w:p>
        </w:tc>
      </w:tr>
      <w:tr w14:paraId="21F30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14:paraId="5542922E">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eastAsia" w:cs="宋体"/>
                <w:b/>
                <w:bCs/>
                <w:sz w:val="24"/>
                <w:szCs w:val="24"/>
                <w:lang w:val="en-US" w:eastAsia="zh-CN"/>
              </w:rPr>
            </w:pPr>
            <w:r>
              <w:rPr>
                <w:rFonts w:hint="eastAsia" w:ascii="黑体" w:hAnsi="黑体" w:eastAsia="黑体" w:cs="黑体"/>
                <w:b w:val="0"/>
                <w:bCs w:val="0"/>
                <w:sz w:val="28"/>
                <w:szCs w:val="24"/>
                <w:lang w:val="en-US" w:eastAsia="zh-CN"/>
              </w:rPr>
              <w:drawing>
                <wp:anchor distT="0" distB="0" distL="114300" distR="114300" simplePos="0" relativeHeight="251677696" behindDoc="0" locked="0" layoutInCell="1" allowOverlap="1">
                  <wp:simplePos x="0" y="0"/>
                  <wp:positionH relativeFrom="column">
                    <wp:posOffset>1270</wp:posOffset>
                  </wp:positionH>
                  <wp:positionV relativeFrom="paragraph">
                    <wp:posOffset>-2476500</wp:posOffset>
                  </wp:positionV>
                  <wp:extent cx="2561590" cy="1928495"/>
                  <wp:effectExtent l="0" t="0" r="3810" b="1905"/>
                  <wp:wrapSquare wrapText="bothSides"/>
                  <wp:docPr id="27" name="图片 27" descr="IMG_20240820_140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IMG_20240820_140333"/>
                          <pic:cNvPicPr>
                            <a:picLocks noChangeAspect="1"/>
                          </pic:cNvPicPr>
                        </pic:nvPicPr>
                        <pic:blipFill>
                          <a:blip r:embed="rId44"/>
                          <a:stretch>
                            <a:fillRect/>
                          </a:stretch>
                        </pic:blipFill>
                        <pic:spPr>
                          <a:xfrm>
                            <a:off x="0" y="0"/>
                            <a:ext cx="2561590" cy="1928495"/>
                          </a:xfrm>
                          <a:prstGeom prst="rect">
                            <a:avLst/>
                          </a:prstGeom>
                        </pic:spPr>
                      </pic:pic>
                    </a:graphicData>
                  </a:graphic>
                </wp:anchor>
              </w:drawing>
            </w:r>
            <w:r>
              <w:rPr>
                <w:rFonts w:hint="eastAsia" w:ascii="黑体" w:hAnsi="黑体" w:eastAsia="黑体" w:cs="黑体"/>
                <w:b w:val="0"/>
                <w:bCs w:val="0"/>
                <w:sz w:val="28"/>
                <w:szCs w:val="24"/>
                <w:lang w:val="en-US" w:eastAsia="zh-CN"/>
              </w:rPr>
              <w:t>气流磨空压机</w:t>
            </w:r>
          </w:p>
        </w:tc>
        <w:tc>
          <w:tcPr>
            <w:tcW w:w="4262" w:type="dxa"/>
            <w:noWrap w:val="0"/>
            <w:vAlign w:val="top"/>
          </w:tcPr>
          <w:p w14:paraId="47317B71">
            <w:pPr>
              <w:keepNext w:val="0"/>
              <w:keepLines w:val="0"/>
              <w:pageBreakBefore w:val="0"/>
              <w:widowControl w:val="0"/>
              <w:suppressLineNumbers w:val="0"/>
              <w:tabs>
                <w:tab w:val="left" w:pos="5220"/>
              </w:tabs>
              <w:kinsoku/>
              <w:wordWrap/>
              <w:topLinePunct/>
              <w:bidi w:val="0"/>
              <w:spacing w:before="0" w:beforeAutospacing="0" w:after="0" w:afterAutospacing="0"/>
              <w:ind w:left="0" w:right="0" w:firstLine="0" w:firstLineChars="0"/>
              <w:jc w:val="center"/>
              <w:rPr>
                <w:rFonts w:hint="default" w:ascii="黑体" w:hAnsi="黑体" w:eastAsia="黑体" w:cs="黑体"/>
                <w:b w:val="0"/>
                <w:bCs w:val="0"/>
                <w:sz w:val="28"/>
                <w:szCs w:val="24"/>
                <w:lang w:val="en-US" w:eastAsia="zh-CN"/>
              </w:rPr>
            </w:pPr>
            <w:r>
              <w:rPr>
                <w:rFonts w:hint="eastAsia" w:ascii="黑体" w:hAnsi="黑体" w:eastAsia="黑体" w:cs="黑体"/>
                <w:b w:val="0"/>
                <w:bCs w:val="0"/>
                <w:sz w:val="28"/>
                <w:szCs w:val="24"/>
                <w:lang w:val="en-US" w:eastAsia="zh-CN"/>
              </w:rPr>
              <w:t>空</w:t>
            </w:r>
            <w:r>
              <w:rPr>
                <w:rFonts w:hint="default" w:ascii="黑体" w:hAnsi="黑体" w:eastAsia="黑体" w:cs="黑体"/>
                <w:b w:val="0"/>
                <w:bCs w:val="0"/>
                <w:sz w:val="28"/>
                <w:szCs w:val="24"/>
                <w:lang w:val="en-US" w:eastAsia="zh-CN"/>
              </w:rPr>
              <w:drawing>
                <wp:anchor distT="0" distB="0" distL="114300" distR="114300" simplePos="0" relativeHeight="251678720" behindDoc="0" locked="0" layoutInCell="1" allowOverlap="1">
                  <wp:simplePos x="0" y="0"/>
                  <wp:positionH relativeFrom="column">
                    <wp:posOffset>8255</wp:posOffset>
                  </wp:positionH>
                  <wp:positionV relativeFrom="paragraph">
                    <wp:posOffset>-1663700</wp:posOffset>
                  </wp:positionV>
                  <wp:extent cx="2552065" cy="2009140"/>
                  <wp:effectExtent l="0" t="0" r="635" b="10160"/>
                  <wp:wrapSquare wrapText="bothSides"/>
                  <wp:docPr id="34" name="图片 34" descr="IMG_20240820_141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IMG_20240820_141330"/>
                          <pic:cNvPicPr>
                            <a:picLocks noChangeAspect="1"/>
                          </pic:cNvPicPr>
                        </pic:nvPicPr>
                        <pic:blipFill>
                          <a:blip r:embed="rId45"/>
                          <a:stretch>
                            <a:fillRect/>
                          </a:stretch>
                        </pic:blipFill>
                        <pic:spPr>
                          <a:xfrm>
                            <a:off x="0" y="0"/>
                            <a:ext cx="2552065" cy="2009140"/>
                          </a:xfrm>
                          <a:prstGeom prst="rect">
                            <a:avLst/>
                          </a:prstGeom>
                        </pic:spPr>
                      </pic:pic>
                    </a:graphicData>
                  </a:graphic>
                </wp:anchor>
              </w:drawing>
            </w:r>
            <w:r>
              <w:rPr>
                <w:rFonts w:hint="eastAsia" w:ascii="黑体" w:hAnsi="黑体" w:eastAsia="黑体" w:cs="黑体"/>
                <w:b w:val="0"/>
                <w:bCs w:val="0"/>
                <w:sz w:val="28"/>
                <w:szCs w:val="24"/>
                <w:lang w:val="en-US" w:eastAsia="zh-CN"/>
              </w:rPr>
              <w:t>压站</w:t>
            </w:r>
          </w:p>
        </w:tc>
      </w:tr>
    </w:tbl>
    <w:p w14:paraId="29A08A4B">
      <w:pPr>
        <w:keepNext w:val="0"/>
        <w:keepLines w:val="0"/>
        <w:pageBreakBefore w:val="0"/>
        <w:widowControl w:val="0"/>
        <w:tabs>
          <w:tab w:val="left" w:pos="5220"/>
        </w:tabs>
        <w:kinsoku/>
        <w:wordWrap/>
        <w:topLinePunct/>
        <w:bidi w:val="0"/>
        <w:ind w:firstLine="0" w:firstLineChars="0"/>
        <w:jc w:val="center"/>
        <w:rPr>
          <w:rFonts w:hint="eastAsia" w:ascii="黑体" w:hAnsi="黑体" w:eastAsia="黑体" w:cs="黑体"/>
          <w:b/>
          <w:bCs/>
          <w:sz w:val="36"/>
          <w:szCs w:val="32"/>
          <w:lang w:val="zh-CN"/>
        </w:rPr>
        <w:sectPr>
          <w:footerReference r:id="rId9" w:type="default"/>
          <w:pgSz w:w="11907" w:h="16840"/>
          <w:pgMar w:top="1440" w:right="1800" w:bottom="1440" w:left="1800" w:header="850" w:footer="992" w:gutter="0"/>
          <w:pgBorders>
            <w:top w:val="none" w:sz="0" w:space="0"/>
            <w:left w:val="none" w:sz="0" w:space="0"/>
            <w:bottom w:val="none" w:sz="0" w:space="0"/>
            <w:right w:val="none" w:sz="0" w:space="0"/>
          </w:pgBorders>
          <w:pgNumType w:fmt="decimal"/>
          <w:cols w:space="720" w:num="1"/>
          <w:docGrid w:linePitch="286" w:charSpace="0"/>
        </w:sectPr>
      </w:pPr>
    </w:p>
    <w:p w14:paraId="42141FB8">
      <w:pPr>
        <w:keepNext w:val="0"/>
        <w:keepLines w:val="0"/>
        <w:pageBreakBefore w:val="0"/>
        <w:widowControl w:val="0"/>
        <w:tabs>
          <w:tab w:val="left" w:pos="5220"/>
        </w:tabs>
        <w:kinsoku/>
        <w:wordWrap/>
        <w:overflowPunct/>
        <w:topLinePunct/>
        <w:autoSpaceDE/>
        <w:autoSpaceDN/>
        <w:bidi w:val="0"/>
        <w:adjustRightInd/>
        <w:snapToGrid/>
        <w:ind w:firstLine="0" w:firstLineChars="0"/>
        <w:jc w:val="center"/>
        <w:textAlignment w:val="auto"/>
        <w:outlineLvl w:val="9"/>
        <w:rPr>
          <w:rFonts w:hint="eastAsia" w:ascii="黑体" w:hAnsi="黑体" w:eastAsia="黑体" w:cs="黑体"/>
          <w:b/>
          <w:bCs/>
          <w:sz w:val="36"/>
          <w:szCs w:val="32"/>
        </w:rPr>
      </w:pPr>
      <w:r>
        <w:rPr>
          <w:rFonts w:hint="eastAsia" w:ascii="黑体" w:hAnsi="黑体" w:eastAsia="黑体" w:cs="黑体"/>
          <w:b/>
          <w:bCs/>
          <w:sz w:val="36"/>
          <w:szCs w:val="32"/>
          <w:lang w:val="zh-CN"/>
        </w:rPr>
        <w:t>前</w:t>
      </w:r>
      <w:r>
        <w:rPr>
          <w:rFonts w:hint="eastAsia" w:ascii="黑体" w:hAnsi="黑体" w:eastAsia="黑体" w:cs="黑体"/>
          <w:b/>
          <w:bCs/>
          <w:sz w:val="36"/>
          <w:szCs w:val="32"/>
        </w:rPr>
        <w:t xml:space="preserve">  </w:t>
      </w:r>
      <w:r>
        <w:rPr>
          <w:rFonts w:hint="eastAsia" w:ascii="黑体" w:hAnsi="黑体" w:eastAsia="黑体" w:cs="黑体"/>
          <w:b/>
          <w:bCs/>
          <w:sz w:val="36"/>
          <w:szCs w:val="32"/>
          <w:lang w:val="zh-CN"/>
        </w:rPr>
        <w:t>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p w14:paraId="72B65B2E">
      <w:pPr>
        <w:keepNext w:val="0"/>
        <w:keepLines w:val="0"/>
        <w:pageBreakBefore w:val="0"/>
        <w:widowControl w:val="0"/>
        <w:kinsoku/>
        <w:wordWrap/>
        <w:topLinePunct w:val="0"/>
        <w:bidi w:val="0"/>
        <w:adjustRightInd/>
        <w:snapToGrid/>
        <w:ind w:firstLine="0"/>
        <w:jc w:val="left"/>
        <w:rPr>
          <w:rFonts w:hint="eastAsia"/>
        </w:rPr>
      </w:pPr>
      <w:r>
        <w:t>随着我国法制化的日趋健全和完善，安全生产监督管理体系也逐步向科学化、规范化、制度化发展，</w:t>
      </w:r>
      <w:r>
        <w:rPr>
          <w:rFonts w:hint="eastAsia"/>
        </w:rPr>
        <w:t>“</w:t>
      </w:r>
      <w:r>
        <w:t>安全第一、预防为主、综合治理</w:t>
      </w:r>
      <w:r>
        <w:rPr>
          <w:rFonts w:hint="eastAsia"/>
        </w:rPr>
        <w:t>”</w:t>
      </w:r>
      <w:r>
        <w:t>是我们党和国家始终不渝的安全生产方针，开展</w:t>
      </w:r>
      <w:r>
        <w:rPr>
          <w:rFonts w:hint="eastAsia"/>
        </w:rPr>
        <w:t>安全设施竣工验收</w:t>
      </w:r>
      <w:r>
        <w:t>正是突出这个方针的一项重要工作，是这个方针在企业安全生产中的具体体现。</w:t>
      </w:r>
      <w:r>
        <w:rPr>
          <w:rFonts w:hint="eastAsia"/>
        </w:rPr>
        <w:t>安全设施竣工验收</w:t>
      </w:r>
      <w:r>
        <w:t>不仅能有效地提高企业和生产设备的本质安全程度，而且可以为各级安全生产监督管理部门的决策和监督检查提供有力的技术支撑。</w:t>
      </w:r>
    </w:p>
    <w:p w14:paraId="64B25D98">
      <w:pPr>
        <w:keepNext w:val="0"/>
        <w:keepLines w:val="0"/>
        <w:widowControl/>
        <w:suppressLineNumbers w:val="0"/>
        <w:jc w:val="left"/>
        <w:rPr>
          <w:rFonts w:hint="eastAsia" w:ascii="宋体" w:hAnsi="宋体" w:eastAsia="宋体" w:cs="Times New Roman"/>
          <w:lang w:eastAsia="zh-CN"/>
        </w:rPr>
      </w:pPr>
      <w:r>
        <w:rPr>
          <w:rFonts w:hint="eastAsia"/>
          <w:lang w:eastAsia="zh-CN"/>
        </w:rPr>
        <w:t>云南东锆新材料有限公司</w:t>
      </w:r>
      <w:r>
        <w:rPr>
          <w:rFonts w:hint="eastAsia" w:ascii="宋体" w:hAnsi="宋体" w:eastAsia="宋体" w:cs="Times New Roman"/>
          <w:lang w:eastAsia="zh-CN"/>
        </w:rPr>
        <w:t>年产3万吨电熔氧化锆陶瓷产业基地建设项目位于云南省楚雄彝族自治州禄丰县勤丰镇羊街村，</w:t>
      </w:r>
      <w:r>
        <w:rPr>
          <w:rFonts w:hint="eastAsia" w:ascii="宋体" w:hAnsi="宋体" w:eastAsia="宋体" w:cs="Times New Roman"/>
          <w:lang w:val="en-US" w:eastAsia="zh-CN"/>
        </w:rPr>
        <w:t>于2021 年4月25日经禄丰市发展和改革局备案，并取得了《投资项目备案证》（备案项目编码：</w:t>
      </w:r>
      <w:r>
        <w:rPr>
          <w:rFonts w:hint="eastAsia" w:ascii="宋体" w:hAnsi="宋体" w:eastAsia="宋体" w:cs="Times New Roman"/>
          <w:lang w:eastAsia="zh-CN"/>
        </w:rPr>
        <w:t>2104-532331-04-01-901488</w:t>
      </w:r>
      <w:r>
        <w:rPr>
          <w:rFonts w:hint="eastAsia" w:ascii="宋体" w:hAnsi="宋体" w:eastAsia="宋体" w:cs="Times New Roman"/>
          <w:lang w:val="en-US" w:eastAsia="zh-CN"/>
        </w:rPr>
        <w:t>）。项目于2024年4月30日建成，进入试生产。</w:t>
      </w:r>
    </w:p>
    <w:p w14:paraId="71009E52">
      <w:pPr>
        <w:keepNext w:val="0"/>
        <w:keepLines w:val="0"/>
        <w:widowControl/>
        <w:suppressLineNumbers w:val="0"/>
        <w:jc w:val="left"/>
        <w:rPr>
          <w:rFonts w:hint="eastAsia"/>
        </w:rPr>
      </w:pPr>
      <w:r>
        <w:rPr>
          <w:rFonts w:hint="eastAsia" w:ascii="宋体" w:hAnsi="宋体" w:eastAsia="宋体" w:cs="Times New Roman"/>
          <w:lang w:eastAsia="zh-CN"/>
        </w:rPr>
        <w:t>根据国家基本建设程序和《建设</w:t>
      </w:r>
      <w:r>
        <w:rPr>
          <w:rFonts w:hint="eastAsia"/>
        </w:rPr>
        <w:t>项目安全设施“三同时”监督管理办法》等国家有关安全生产法律法规，</w:t>
      </w:r>
      <w:r>
        <w:rPr>
          <w:rFonts w:hint="eastAsia"/>
          <w:lang w:eastAsia="zh-CN"/>
        </w:rPr>
        <w:t>云南东锆新材料有限公司</w:t>
      </w:r>
      <w:r>
        <w:rPr>
          <w:rFonts w:hint="eastAsia"/>
        </w:rPr>
        <w:t>委托昭通市鼎安科技有限公司承担</w:t>
      </w:r>
      <w:r>
        <w:rPr>
          <w:rFonts w:hint="eastAsia"/>
          <w:lang w:eastAsia="zh-CN"/>
        </w:rPr>
        <w:t>云南东锆新材料有限公司年产3万吨电熔氧化锆陶瓷产业基地建设项目一期工程安全设施验收评价</w:t>
      </w:r>
      <w:r>
        <w:rPr>
          <w:rFonts w:hint="eastAsia"/>
        </w:rPr>
        <w:t>工作。</w:t>
      </w:r>
    </w:p>
    <w:p w14:paraId="7B11932A">
      <w:pPr>
        <w:keepNext w:val="0"/>
        <w:keepLines w:val="0"/>
        <w:pageBreakBefore w:val="0"/>
        <w:widowControl w:val="0"/>
        <w:kinsoku/>
        <w:wordWrap/>
        <w:topLinePunct w:val="0"/>
        <w:bidi w:val="0"/>
        <w:adjustRightInd/>
        <w:snapToGrid/>
        <w:ind w:firstLine="0"/>
        <w:jc w:val="left"/>
        <w:rPr>
          <w:rFonts w:hint="eastAsia"/>
        </w:rPr>
      </w:pPr>
      <w:r>
        <w:rPr>
          <w:rFonts w:hint="eastAsia"/>
        </w:rPr>
        <w:t>在接受企业安全设施验收评价工作的委托之后，昭通市鼎安科技有限公司根据评价对象及范围，组建项目安全评价组。在认真分析项目风险，收集国家法律法规、部门规章、地方性法规及规范性文件、国家标准、行业标准、规程、规范以及企业提供的相关资料的基础上。公司遵照相关规定和公司作业指导书的要求进行了多次现场实地调查和勘验工作，并就安全生产设施方面存在的问题与企业方相关人员进行了交流和沟通。</w:t>
      </w:r>
    </w:p>
    <w:p w14:paraId="06EC7013">
      <w:pPr>
        <w:keepNext w:val="0"/>
        <w:keepLines w:val="0"/>
        <w:pageBreakBefore w:val="0"/>
        <w:widowControl w:val="0"/>
        <w:kinsoku/>
        <w:wordWrap/>
        <w:topLinePunct w:val="0"/>
        <w:bidi w:val="0"/>
        <w:adjustRightInd/>
        <w:snapToGrid/>
        <w:ind w:firstLine="0"/>
        <w:jc w:val="left"/>
        <w:rPr>
          <w:rFonts w:hint="eastAsia"/>
        </w:rPr>
      </w:pPr>
      <w:r>
        <w:rPr>
          <w:rFonts w:hint="eastAsia"/>
        </w:rPr>
        <w:t>根据企业提交资料及现场收集的资料、数据，辨识与分析危险、有害因素，并确定其危险程度。合理划分评价单元，选择评价方法，进行定性、定量评价和分析，提出相应的对策措施和建议。经过综合分析后提出结论与建议，完成安全设施竣工验收评价报告的编制，并提交公司进行审核定稿。最终完成了《</w:t>
      </w:r>
      <w:r>
        <w:rPr>
          <w:rFonts w:hint="eastAsia"/>
          <w:lang w:eastAsia="zh-CN"/>
        </w:rPr>
        <w:t>云南东锆新材料有限公司年产3万吨电熔氧化锆陶瓷产业基地建设项目一期工程安全设施验收评价</w:t>
      </w:r>
      <w:r>
        <w:rPr>
          <w:rFonts w:hint="eastAsia"/>
        </w:rPr>
        <w:t>报告》。</w:t>
      </w:r>
    </w:p>
    <w:p w14:paraId="51424CEF">
      <w:pPr>
        <w:keepNext w:val="0"/>
        <w:keepLines w:val="0"/>
        <w:pageBreakBefore w:val="0"/>
        <w:widowControl w:val="0"/>
        <w:kinsoku/>
        <w:wordWrap/>
        <w:topLinePunct w:val="0"/>
        <w:bidi w:val="0"/>
        <w:adjustRightInd/>
        <w:snapToGrid/>
        <w:ind w:firstLine="0"/>
        <w:jc w:val="left"/>
        <w:rPr>
          <w:rFonts w:hint="eastAsia"/>
        </w:rPr>
        <w:sectPr>
          <w:headerReference r:id="rId10" w:type="default"/>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rPr>
        <w:t>本评价涉及的有关原始资料由委托方提供，并对其真实性负责。本报告在编写过程中，得到了企业的积极支持和配合，在此表示衷心的感谢！</w:t>
      </w:r>
    </w:p>
    <w:sdt>
      <w:sdtPr>
        <w:rPr>
          <w:rFonts w:ascii="宋体" w:hAnsi="宋体" w:eastAsia="宋体" w:cs="Times New Roman"/>
          <w:b/>
          <w:bCs/>
          <w:kern w:val="2"/>
          <w:sz w:val="32"/>
          <w:szCs w:val="32"/>
          <w:lang w:val="en-US" w:eastAsia="zh-CN" w:bidi="ar-SA"/>
        </w:rPr>
        <w:id w:val="147455091"/>
        <w15:color w:val="DBDBDB"/>
        <w:docPartObj>
          <w:docPartGallery w:val="Table of Contents"/>
          <w:docPartUnique/>
        </w:docPartObj>
      </w:sdtPr>
      <w:sdtEndPr>
        <w:rPr>
          <w:rFonts w:hint="eastAsia" w:ascii="Times New Roman" w:hAnsi="Times New Roman" w:eastAsia="宋体" w:cs="Times New Roman"/>
          <w:b/>
          <w:bCs/>
          <w:kern w:val="2"/>
          <w:sz w:val="28"/>
          <w:szCs w:val="24"/>
          <w:lang w:val="en-US" w:eastAsia="zh-CN" w:bidi="ar-SA"/>
        </w:rPr>
      </w:sdtEndPr>
      <w:sdtContent>
        <w:p w14:paraId="78AB48A0">
          <w:pPr>
            <w:keepNext w:val="0"/>
            <w:keepLines w:val="0"/>
            <w:pageBreakBefore w:val="0"/>
            <w:widowControl w:val="0"/>
            <w:kinsoku/>
            <w:bidi w:val="0"/>
            <w:spacing w:before="0" w:beforeLines="0" w:after="0" w:afterLines="0" w:line="240" w:lineRule="auto"/>
            <w:ind w:left="0" w:leftChars="0" w:right="0" w:rightChars="0" w:firstLine="0" w:firstLineChars="0"/>
            <w:jc w:val="center"/>
            <w:rPr>
              <w:b/>
              <w:bCs/>
              <w:sz w:val="32"/>
              <w:szCs w:val="32"/>
            </w:rPr>
          </w:pPr>
          <w:r>
            <w:rPr>
              <w:rFonts w:ascii="宋体" w:hAnsi="宋体" w:eastAsia="宋体"/>
              <w:b/>
              <w:bCs/>
              <w:sz w:val="32"/>
              <w:szCs w:val="32"/>
            </w:rPr>
            <w:t>目录</w:t>
          </w:r>
        </w:p>
        <w:p w14:paraId="444C59E5">
          <w:pPr>
            <w:pStyle w:val="22"/>
          </w:pPr>
          <w:r>
            <w:rPr>
              <w:rFonts w:hint="eastAsia" w:ascii="宋体" w:hAnsi="宋体" w:eastAsia="宋体" w:cs="宋体"/>
              <w:sz w:val="24"/>
              <w:szCs w:val="22"/>
            </w:rPr>
            <w:fldChar w:fldCharType="begin"/>
          </w:r>
          <w:r>
            <w:rPr>
              <w:rFonts w:hint="eastAsia" w:ascii="宋体" w:hAnsi="宋体" w:eastAsia="宋体" w:cs="宋体"/>
              <w:sz w:val="24"/>
              <w:szCs w:val="22"/>
            </w:rPr>
            <w:instrText xml:space="preserve">TOC \o "1-3" \h \u </w:instrText>
          </w:r>
          <w:r>
            <w:rPr>
              <w:rFonts w:hint="eastAsia" w:ascii="宋体" w:hAnsi="宋体" w:eastAsia="宋体" w:cs="宋体"/>
              <w:sz w:val="24"/>
              <w:szCs w:val="22"/>
            </w:rPr>
            <w:fldChar w:fldCharType="separate"/>
          </w:r>
          <w:r>
            <w:rPr>
              <w:rFonts w:hint="eastAsia" w:ascii="宋体" w:hAnsi="宋体" w:eastAsia="宋体" w:cs="宋体"/>
              <w:szCs w:val="22"/>
            </w:rPr>
            <w:fldChar w:fldCharType="begin"/>
          </w:r>
          <w:r>
            <w:rPr>
              <w:rFonts w:hint="eastAsia" w:ascii="宋体" w:hAnsi="宋体" w:eastAsia="宋体" w:cs="宋体"/>
              <w:szCs w:val="22"/>
            </w:rPr>
            <w:instrText xml:space="preserve"> HYPERLINK \l _Toc14212 </w:instrText>
          </w:r>
          <w:r>
            <w:rPr>
              <w:rFonts w:hint="eastAsia" w:ascii="宋体" w:hAnsi="宋体" w:eastAsia="宋体" w:cs="宋体"/>
              <w:szCs w:val="22"/>
            </w:rPr>
            <w:fldChar w:fldCharType="separate"/>
          </w:r>
          <w:r>
            <w:rPr>
              <w:rFonts w:hint="default" w:ascii="黑体" w:hAnsi="黑体" w:eastAsia="黑体" w:cs="黑体"/>
              <w:bCs/>
              <w:szCs w:val="36"/>
              <w:lang w:val="en-US" w:eastAsia="zh-CN"/>
            </w:rPr>
            <w:t xml:space="preserve">第1章 </w:t>
          </w:r>
          <w:r>
            <w:rPr>
              <w:rFonts w:hint="eastAsia"/>
              <w:lang w:val="en-US" w:eastAsia="zh-CN"/>
            </w:rPr>
            <w:t>评价</w:t>
          </w:r>
          <w:r>
            <w:rPr>
              <w:lang w:val="en-US" w:eastAsia="zh-CN"/>
            </w:rPr>
            <w:t>说明</w:t>
          </w:r>
          <w:r>
            <w:tab/>
          </w:r>
          <w:r>
            <w:fldChar w:fldCharType="begin"/>
          </w:r>
          <w:r>
            <w:instrText xml:space="preserve"> PAGEREF _Toc14212 \h </w:instrText>
          </w:r>
          <w:r>
            <w:fldChar w:fldCharType="separate"/>
          </w:r>
          <w:r>
            <w:t>1</w:t>
          </w:r>
          <w:r>
            <w:fldChar w:fldCharType="end"/>
          </w:r>
          <w:r>
            <w:rPr>
              <w:rFonts w:hint="eastAsia" w:ascii="宋体" w:hAnsi="宋体" w:eastAsia="宋体" w:cs="宋体"/>
              <w:szCs w:val="22"/>
            </w:rPr>
            <w:fldChar w:fldCharType="end"/>
          </w:r>
        </w:p>
        <w:p w14:paraId="4D1CE34C">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_Toc31106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1.1 </w:t>
          </w:r>
          <w:r>
            <w:rPr>
              <w:rFonts w:hint="default"/>
              <w:lang w:val="en-US" w:eastAsia="zh-CN"/>
            </w:rPr>
            <w:t>评价目的</w:t>
          </w:r>
          <w:r>
            <w:tab/>
          </w:r>
          <w:r>
            <w:fldChar w:fldCharType="begin"/>
          </w:r>
          <w:r>
            <w:instrText xml:space="preserve"> PAGEREF _Toc31106 \h </w:instrText>
          </w:r>
          <w:r>
            <w:fldChar w:fldCharType="separate"/>
          </w:r>
          <w:r>
            <w:t>1</w:t>
          </w:r>
          <w:r>
            <w:fldChar w:fldCharType="end"/>
          </w:r>
          <w:r>
            <w:rPr>
              <w:rFonts w:hint="eastAsia" w:ascii="宋体" w:hAnsi="宋体" w:eastAsia="宋体" w:cs="宋体"/>
              <w:szCs w:val="22"/>
            </w:rPr>
            <w:fldChar w:fldCharType="end"/>
          </w:r>
        </w:p>
        <w:p w14:paraId="7C2AF334">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_Toc13898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1.2 </w:t>
          </w:r>
          <w:r>
            <w:rPr>
              <w:rFonts w:hint="default"/>
              <w:lang w:val="en-US" w:eastAsia="zh-CN"/>
            </w:rPr>
            <w:t>评价</w:t>
          </w:r>
          <w:r>
            <w:rPr>
              <w:lang w:val="en-US" w:eastAsia="zh-CN"/>
            </w:rPr>
            <w:t>范围</w:t>
          </w:r>
          <w:r>
            <w:tab/>
          </w:r>
          <w:r>
            <w:fldChar w:fldCharType="begin"/>
          </w:r>
          <w:r>
            <w:instrText xml:space="preserve"> PAGEREF _Toc13898 \h </w:instrText>
          </w:r>
          <w:r>
            <w:fldChar w:fldCharType="separate"/>
          </w:r>
          <w:r>
            <w:t>1</w:t>
          </w:r>
          <w:r>
            <w:fldChar w:fldCharType="end"/>
          </w:r>
          <w:r>
            <w:rPr>
              <w:rFonts w:hint="eastAsia" w:ascii="宋体" w:hAnsi="宋体" w:eastAsia="宋体" w:cs="宋体"/>
              <w:szCs w:val="22"/>
            </w:rPr>
            <w:fldChar w:fldCharType="end"/>
          </w:r>
        </w:p>
        <w:p w14:paraId="7C11A609">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_Toc4632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1.3 </w:t>
          </w:r>
          <w:r>
            <w:rPr>
              <w:rFonts w:hint="eastAsia"/>
              <w:lang w:val="en-US" w:eastAsia="zh-CN"/>
            </w:rPr>
            <w:t>评价依据</w:t>
          </w:r>
          <w:r>
            <w:tab/>
          </w:r>
          <w:r>
            <w:fldChar w:fldCharType="begin"/>
          </w:r>
          <w:r>
            <w:instrText xml:space="preserve"> PAGEREF _Toc4632 \h </w:instrText>
          </w:r>
          <w:r>
            <w:fldChar w:fldCharType="separate"/>
          </w:r>
          <w:r>
            <w:t>2</w:t>
          </w:r>
          <w:r>
            <w:fldChar w:fldCharType="end"/>
          </w:r>
          <w:r>
            <w:rPr>
              <w:rFonts w:hint="eastAsia" w:ascii="宋体" w:hAnsi="宋体" w:eastAsia="宋体" w:cs="宋体"/>
              <w:szCs w:val="22"/>
            </w:rPr>
            <w:fldChar w:fldCharType="end"/>
          </w:r>
        </w:p>
        <w:p w14:paraId="78A7E86D">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_Toc14577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1.3.1 </w:t>
          </w:r>
          <w:r>
            <w:rPr>
              <w:rFonts w:hint="eastAsia"/>
              <w:lang w:val="en-US" w:eastAsia="zh-CN"/>
            </w:rPr>
            <w:t>法律</w:t>
          </w:r>
          <w:r>
            <w:tab/>
          </w:r>
          <w:r>
            <w:fldChar w:fldCharType="begin"/>
          </w:r>
          <w:r>
            <w:instrText xml:space="preserve"> PAGEREF _Toc14577 \h </w:instrText>
          </w:r>
          <w:r>
            <w:fldChar w:fldCharType="separate"/>
          </w:r>
          <w:r>
            <w:t>2</w:t>
          </w:r>
          <w:r>
            <w:fldChar w:fldCharType="end"/>
          </w:r>
          <w:r>
            <w:rPr>
              <w:rFonts w:hint="eastAsia" w:ascii="宋体" w:hAnsi="宋体" w:eastAsia="宋体" w:cs="宋体"/>
              <w:szCs w:val="22"/>
            </w:rPr>
            <w:fldChar w:fldCharType="end"/>
          </w:r>
        </w:p>
        <w:p w14:paraId="162C9802">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_Toc909 </w:instrText>
          </w:r>
          <w:r>
            <w:rPr>
              <w:rFonts w:hint="eastAsia" w:ascii="宋体" w:hAnsi="宋体" w:eastAsia="宋体" w:cs="宋体"/>
              <w:szCs w:val="22"/>
            </w:rPr>
            <w:fldChar w:fldCharType="separate"/>
          </w:r>
          <w:r>
            <w:rPr>
              <w:rFonts w:hint="default" w:ascii="宋体" w:hAnsi="宋体" w:cs="宋体"/>
              <w:bCs/>
              <w:szCs w:val="32"/>
            </w:rPr>
            <w:t xml:space="preserve">1.3.2 </w:t>
          </w:r>
          <w:r>
            <w:rPr>
              <w:rFonts w:hint="eastAsia"/>
              <w:lang w:val="en-US" w:eastAsia="zh-CN"/>
            </w:rPr>
            <w:t>行政法规</w:t>
          </w:r>
          <w:r>
            <w:tab/>
          </w:r>
          <w:r>
            <w:fldChar w:fldCharType="begin"/>
          </w:r>
          <w:r>
            <w:instrText xml:space="preserve"> PAGEREF _Toc909 \h </w:instrText>
          </w:r>
          <w:r>
            <w:fldChar w:fldCharType="separate"/>
          </w:r>
          <w:r>
            <w:t>3</w:t>
          </w:r>
          <w:r>
            <w:fldChar w:fldCharType="end"/>
          </w:r>
          <w:r>
            <w:rPr>
              <w:rFonts w:hint="eastAsia" w:ascii="宋体" w:hAnsi="宋体" w:eastAsia="宋体" w:cs="宋体"/>
              <w:szCs w:val="22"/>
            </w:rPr>
            <w:fldChar w:fldCharType="end"/>
          </w:r>
        </w:p>
        <w:p w14:paraId="42AD919B">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_Toc23665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1.3.3 </w:t>
          </w:r>
          <w:r>
            <w:rPr>
              <w:rFonts w:hint="eastAsia"/>
              <w:lang w:val="en-US" w:eastAsia="zh-CN"/>
            </w:rPr>
            <w:t>部门规章及规范性文件</w:t>
          </w:r>
          <w:r>
            <w:tab/>
          </w:r>
          <w:r>
            <w:fldChar w:fldCharType="begin"/>
          </w:r>
          <w:r>
            <w:instrText xml:space="preserve"> PAGEREF _Toc23665 \h </w:instrText>
          </w:r>
          <w:r>
            <w:fldChar w:fldCharType="separate"/>
          </w:r>
          <w:r>
            <w:t>4</w:t>
          </w:r>
          <w:r>
            <w:fldChar w:fldCharType="end"/>
          </w:r>
          <w:r>
            <w:rPr>
              <w:rFonts w:hint="eastAsia" w:ascii="宋体" w:hAnsi="宋体" w:eastAsia="宋体" w:cs="宋体"/>
              <w:szCs w:val="22"/>
            </w:rPr>
            <w:fldChar w:fldCharType="end"/>
          </w:r>
        </w:p>
        <w:p w14:paraId="437514F9">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_Toc1291 </w:instrText>
          </w:r>
          <w:r>
            <w:rPr>
              <w:rFonts w:hint="eastAsia" w:ascii="宋体" w:hAnsi="宋体" w:eastAsia="宋体" w:cs="宋体"/>
              <w:szCs w:val="22"/>
            </w:rPr>
            <w:fldChar w:fldCharType="separate"/>
          </w:r>
          <w:r>
            <w:rPr>
              <w:rFonts w:hint="default" w:ascii="宋体" w:hAnsi="宋体" w:cs="宋体"/>
              <w:bCs/>
              <w:szCs w:val="32"/>
              <w:lang w:val="en-US"/>
            </w:rPr>
            <w:t xml:space="preserve">1.3.4 </w:t>
          </w:r>
          <w:r>
            <w:rPr>
              <w:rFonts w:hint="eastAsia"/>
              <w:lang w:val="en-US" w:eastAsia="zh-CN"/>
            </w:rPr>
            <w:t>云南省地方性法规及规范性文件</w:t>
          </w:r>
          <w:r>
            <w:tab/>
          </w:r>
          <w:r>
            <w:fldChar w:fldCharType="begin"/>
          </w:r>
          <w:r>
            <w:instrText xml:space="preserve"> PAGEREF _Toc1291 \h </w:instrText>
          </w:r>
          <w:r>
            <w:fldChar w:fldCharType="separate"/>
          </w:r>
          <w:r>
            <w:t>6</w:t>
          </w:r>
          <w:r>
            <w:fldChar w:fldCharType="end"/>
          </w:r>
          <w:r>
            <w:rPr>
              <w:rFonts w:hint="eastAsia" w:ascii="宋体" w:hAnsi="宋体" w:eastAsia="宋体" w:cs="宋体"/>
              <w:szCs w:val="22"/>
            </w:rPr>
            <w:fldChar w:fldCharType="end"/>
          </w:r>
        </w:p>
        <w:p w14:paraId="66DA02DF">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_Toc6425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1.3.5 </w:t>
          </w:r>
          <w:r>
            <w:rPr>
              <w:rFonts w:hint="eastAsia"/>
              <w:lang w:val="en-US" w:eastAsia="zh-CN"/>
            </w:rPr>
            <w:t>国家标准</w:t>
          </w:r>
          <w:r>
            <w:tab/>
          </w:r>
          <w:r>
            <w:fldChar w:fldCharType="begin"/>
          </w:r>
          <w:r>
            <w:instrText xml:space="preserve"> PAGEREF _Toc6425 \h </w:instrText>
          </w:r>
          <w:r>
            <w:fldChar w:fldCharType="separate"/>
          </w:r>
          <w:r>
            <w:t>6</w:t>
          </w:r>
          <w:r>
            <w:fldChar w:fldCharType="end"/>
          </w:r>
          <w:r>
            <w:rPr>
              <w:rFonts w:hint="eastAsia" w:ascii="宋体" w:hAnsi="宋体" w:eastAsia="宋体" w:cs="宋体"/>
              <w:szCs w:val="22"/>
            </w:rPr>
            <w:fldChar w:fldCharType="end"/>
          </w:r>
        </w:p>
        <w:p w14:paraId="26350F59">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_Toc31815 </w:instrText>
          </w:r>
          <w:r>
            <w:rPr>
              <w:rFonts w:hint="eastAsia" w:ascii="宋体" w:hAnsi="宋体" w:eastAsia="宋体" w:cs="宋体"/>
              <w:szCs w:val="22"/>
            </w:rPr>
            <w:fldChar w:fldCharType="separate"/>
          </w:r>
          <w:r>
            <w:rPr>
              <w:rFonts w:hint="default" w:ascii="宋体" w:hAnsi="宋体" w:eastAsia="宋体" w:cs="宋体"/>
              <w:bCs/>
              <w:szCs w:val="32"/>
            </w:rPr>
            <w:t xml:space="preserve">1.3.6 </w:t>
          </w:r>
          <w:r>
            <w:rPr>
              <w:rFonts w:hint="eastAsia" w:cs="宋体"/>
              <w:lang w:val="en-US" w:eastAsia="zh-CN"/>
            </w:rPr>
            <w:t>行业规范</w:t>
          </w:r>
          <w:r>
            <w:tab/>
          </w:r>
          <w:r>
            <w:fldChar w:fldCharType="begin"/>
          </w:r>
          <w:r>
            <w:instrText xml:space="preserve"> PAGEREF _Toc31815 \h </w:instrText>
          </w:r>
          <w:r>
            <w:fldChar w:fldCharType="separate"/>
          </w:r>
          <w:r>
            <w:t>10</w:t>
          </w:r>
          <w:r>
            <w:fldChar w:fldCharType="end"/>
          </w:r>
          <w:r>
            <w:rPr>
              <w:rFonts w:hint="eastAsia" w:ascii="宋体" w:hAnsi="宋体" w:eastAsia="宋体" w:cs="宋体"/>
              <w:szCs w:val="22"/>
            </w:rPr>
            <w:fldChar w:fldCharType="end"/>
          </w:r>
        </w:p>
        <w:p w14:paraId="6ED43D39">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_Toc23016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1.3.7 </w:t>
          </w:r>
          <w:r>
            <w:rPr>
              <w:lang w:val="en-US" w:eastAsia="zh-CN"/>
            </w:rPr>
            <w:t>建设项目依据的批准文件或相关合法证明文件</w:t>
          </w:r>
          <w:r>
            <w:tab/>
          </w:r>
          <w:r>
            <w:fldChar w:fldCharType="begin"/>
          </w:r>
          <w:r>
            <w:instrText xml:space="preserve"> PAGEREF _Toc23016 \h </w:instrText>
          </w:r>
          <w:r>
            <w:fldChar w:fldCharType="separate"/>
          </w:r>
          <w:r>
            <w:t>10</w:t>
          </w:r>
          <w:r>
            <w:fldChar w:fldCharType="end"/>
          </w:r>
          <w:r>
            <w:rPr>
              <w:rFonts w:hint="eastAsia" w:ascii="宋体" w:hAnsi="宋体" w:eastAsia="宋体" w:cs="宋体"/>
              <w:szCs w:val="22"/>
            </w:rPr>
            <w:fldChar w:fldCharType="end"/>
          </w:r>
        </w:p>
        <w:p w14:paraId="160CCD41">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_Toc15354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1.3.8 </w:t>
          </w:r>
          <w:r>
            <w:rPr>
              <w:rFonts w:hint="eastAsia"/>
              <w:lang w:val="en-US" w:eastAsia="zh-CN"/>
            </w:rPr>
            <w:t>建设项目技术资料</w:t>
          </w:r>
          <w:r>
            <w:tab/>
          </w:r>
          <w:r>
            <w:fldChar w:fldCharType="begin"/>
          </w:r>
          <w:r>
            <w:instrText xml:space="preserve"> PAGEREF _Toc15354 \h </w:instrText>
          </w:r>
          <w:r>
            <w:fldChar w:fldCharType="separate"/>
          </w:r>
          <w:r>
            <w:t>11</w:t>
          </w:r>
          <w:r>
            <w:fldChar w:fldCharType="end"/>
          </w:r>
          <w:r>
            <w:rPr>
              <w:rFonts w:hint="eastAsia" w:ascii="宋体" w:hAnsi="宋体" w:eastAsia="宋体" w:cs="宋体"/>
              <w:szCs w:val="22"/>
            </w:rPr>
            <w:fldChar w:fldCharType="end"/>
          </w:r>
        </w:p>
        <w:p w14:paraId="056DF048">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_Toc13207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1.4 </w:t>
          </w:r>
          <w:r>
            <w:rPr>
              <w:rFonts w:hint="eastAsia"/>
              <w:lang w:val="en-US" w:eastAsia="zh-CN"/>
            </w:rPr>
            <w:t>评价</w:t>
          </w:r>
          <w:r>
            <w:rPr>
              <w:lang w:val="en-US" w:eastAsia="zh-CN"/>
            </w:rPr>
            <w:t>程序</w:t>
          </w:r>
          <w:r>
            <w:tab/>
          </w:r>
          <w:r>
            <w:fldChar w:fldCharType="begin"/>
          </w:r>
          <w:r>
            <w:instrText xml:space="preserve"> PAGEREF _Toc13207 \h </w:instrText>
          </w:r>
          <w:r>
            <w:fldChar w:fldCharType="separate"/>
          </w:r>
          <w:r>
            <w:t>11</w:t>
          </w:r>
          <w:r>
            <w:fldChar w:fldCharType="end"/>
          </w:r>
          <w:r>
            <w:rPr>
              <w:rFonts w:hint="eastAsia" w:ascii="宋体" w:hAnsi="宋体" w:eastAsia="宋体" w:cs="宋体"/>
              <w:szCs w:val="22"/>
            </w:rPr>
            <w:fldChar w:fldCharType="end"/>
          </w:r>
        </w:p>
        <w:p w14:paraId="587B2445">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_Toc1844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1.5 </w:t>
          </w:r>
          <w:r>
            <w:rPr>
              <w:rFonts w:hint="eastAsia"/>
              <w:lang w:val="en-US" w:eastAsia="zh-CN"/>
            </w:rPr>
            <w:t>评价报告使用权声明</w:t>
          </w:r>
          <w:r>
            <w:tab/>
          </w:r>
          <w:r>
            <w:fldChar w:fldCharType="begin"/>
          </w:r>
          <w:r>
            <w:instrText xml:space="preserve"> PAGEREF _Toc1844 \h </w:instrText>
          </w:r>
          <w:r>
            <w:fldChar w:fldCharType="separate"/>
          </w:r>
          <w:r>
            <w:t>12</w:t>
          </w:r>
          <w:r>
            <w:fldChar w:fldCharType="end"/>
          </w:r>
          <w:r>
            <w:rPr>
              <w:rFonts w:hint="eastAsia" w:ascii="宋体" w:hAnsi="宋体" w:eastAsia="宋体" w:cs="宋体"/>
              <w:szCs w:val="22"/>
            </w:rPr>
            <w:fldChar w:fldCharType="end"/>
          </w:r>
        </w:p>
        <w:p w14:paraId="2F0860FB">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_Toc24881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1.6 </w:t>
          </w:r>
          <w:r>
            <w:rPr>
              <w:rFonts w:hint="eastAsia"/>
              <w:lang w:val="en-US" w:eastAsia="zh-CN"/>
            </w:rPr>
            <w:t>评价基准日</w:t>
          </w:r>
          <w:r>
            <w:tab/>
          </w:r>
          <w:r>
            <w:fldChar w:fldCharType="begin"/>
          </w:r>
          <w:r>
            <w:instrText xml:space="preserve"> PAGEREF _Toc24881 \h </w:instrText>
          </w:r>
          <w:r>
            <w:fldChar w:fldCharType="separate"/>
          </w:r>
          <w:r>
            <w:t>12</w:t>
          </w:r>
          <w:r>
            <w:fldChar w:fldCharType="end"/>
          </w:r>
          <w:r>
            <w:rPr>
              <w:rFonts w:hint="eastAsia" w:ascii="宋体" w:hAnsi="宋体" w:eastAsia="宋体" w:cs="宋体"/>
              <w:szCs w:val="22"/>
            </w:rPr>
            <w:fldChar w:fldCharType="end"/>
          </w:r>
        </w:p>
        <w:p w14:paraId="3AF5CA7B">
          <w:pPr>
            <w:pStyle w:val="22"/>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_Toc2088 </w:instrText>
          </w:r>
          <w:r>
            <w:rPr>
              <w:rFonts w:hint="eastAsia" w:ascii="宋体" w:hAnsi="宋体" w:eastAsia="宋体" w:cs="宋体"/>
              <w:szCs w:val="22"/>
            </w:rPr>
            <w:fldChar w:fldCharType="separate"/>
          </w:r>
          <w:r>
            <w:rPr>
              <w:rFonts w:hint="default" w:ascii="黑体" w:hAnsi="黑体" w:eastAsia="黑体" w:cs="黑体"/>
              <w:bCs/>
              <w:szCs w:val="36"/>
              <w:lang w:val="en-US" w:eastAsia="zh-CN"/>
            </w:rPr>
            <w:t xml:space="preserve">第2章 </w:t>
          </w:r>
          <w:r>
            <w:rPr>
              <w:rFonts w:hint="eastAsia"/>
              <w:lang w:val="en-US" w:eastAsia="zh-CN"/>
            </w:rPr>
            <w:t>建设项目概况</w:t>
          </w:r>
          <w:r>
            <w:tab/>
          </w:r>
          <w:r>
            <w:fldChar w:fldCharType="begin"/>
          </w:r>
          <w:r>
            <w:instrText xml:space="preserve"> PAGEREF _Toc2088 \h </w:instrText>
          </w:r>
          <w:r>
            <w:fldChar w:fldCharType="separate"/>
          </w:r>
          <w:r>
            <w:t>13</w:t>
          </w:r>
          <w:r>
            <w:fldChar w:fldCharType="end"/>
          </w:r>
          <w:r>
            <w:rPr>
              <w:rFonts w:hint="eastAsia" w:ascii="宋体" w:hAnsi="宋体" w:eastAsia="宋体" w:cs="宋体"/>
              <w:szCs w:val="22"/>
            </w:rPr>
            <w:fldChar w:fldCharType="end"/>
          </w:r>
        </w:p>
        <w:p w14:paraId="6ED8D420">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_Toc6700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2.1 </w:t>
          </w:r>
          <w:r>
            <w:rPr>
              <w:rFonts w:hint="eastAsia"/>
              <w:lang w:val="en-US" w:eastAsia="zh-CN"/>
            </w:rPr>
            <w:t>建设单位基本情况表</w:t>
          </w:r>
          <w:r>
            <w:tab/>
          </w:r>
          <w:r>
            <w:fldChar w:fldCharType="begin"/>
          </w:r>
          <w:r>
            <w:instrText xml:space="preserve"> PAGEREF _Toc6700 \h </w:instrText>
          </w:r>
          <w:r>
            <w:fldChar w:fldCharType="separate"/>
          </w:r>
          <w:r>
            <w:t>13</w:t>
          </w:r>
          <w:r>
            <w:fldChar w:fldCharType="end"/>
          </w:r>
          <w:r>
            <w:rPr>
              <w:rFonts w:hint="eastAsia" w:ascii="宋体" w:hAnsi="宋体" w:eastAsia="宋体" w:cs="宋体"/>
              <w:szCs w:val="22"/>
            </w:rPr>
            <w:fldChar w:fldCharType="end"/>
          </w:r>
        </w:p>
        <w:p w14:paraId="0045CBF3">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_Toc7770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2.2 </w:t>
          </w:r>
          <w:r>
            <w:rPr>
              <w:rFonts w:hint="eastAsia"/>
              <w:lang w:val="en-US" w:eastAsia="zh-CN"/>
            </w:rPr>
            <w:t>建设项目性质</w:t>
          </w:r>
          <w:r>
            <w:tab/>
          </w:r>
          <w:r>
            <w:fldChar w:fldCharType="begin"/>
          </w:r>
          <w:r>
            <w:instrText xml:space="preserve"> PAGEREF _Toc7770 \h </w:instrText>
          </w:r>
          <w:r>
            <w:fldChar w:fldCharType="separate"/>
          </w:r>
          <w:r>
            <w:t>13</w:t>
          </w:r>
          <w:r>
            <w:fldChar w:fldCharType="end"/>
          </w:r>
          <w:r>
            <w:rPr>
              <w:rFonts w:hint="eastAsia" w:ascii="宋体" w:hAnsi="宋体" w:eastAsia="宋体" w:cs="宋体"/>
              <w:szCs w:val="22"/>
            </w:rPr>
            <w:fldChar w:fldCharType="end"/>
          </w:r>
        </w:p>
        <w:p w14:paraId="1504FE34">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_Toc13903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2.3 </w:t>
          </w:r>
          <w:r>
            <w:rPr>
              <w:rFonts w:hint="default"/>
              <w:lang w:val="en-US" w:eastAsia="zh-CN"/>
            </w:rPr>
            <w:t>产业政策</w:t>
          </w:r>
          <w:r>
            <w:tab/>
          </w:r>
          <w:r>
            <w:fldChar w:fldCharType="begin"/>
          </w:r>
          <w:r>
            <w:instrText xml:space="preserve"> PAGEREF _Toc13903 \h </w:instrText>
          </w:r>
          <w:r>
            <w:fldChar w:fldCharType="separate"/>
          </w:r>
          <w:r>
            <w:t>13</w:t>
          </w:r>
          <w:r>
            <w:fldChar w:fldCharType="end"/>
          </w:r>
          <w:r>
            <w:rPr>
              <w:rFonts w:hint="eastAsia" w:ascii="宋体" w:hAnsi="宋体" w:eastAsia="宋体" w:cs="宋体"/>
              <w:szCs w:val="22"/>
            </w:rPr>
            <w:fldChar w:fldCharType="end"/>
          </w:r>
        </w:p>
        <w:p w14:paraId="18EC4618">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_Toc18276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2.4 </w:t>
          </w:r>
          <w:r>
            <w:rPr>
              <w:rFonts w:hint="eastAsia"/>
              <w:lang w:val="en-US" w:eastAsia="zh-CN"/>
            </w:rPr>
            <w:t>建设内容</w:t>
          </w:r>
          <w:r>
            <w:tab/>
          </w:r>
          <w:r>
            <w:fldChar w:fldCharType="begin"/>
          </w:r>
          <w:r>
            <w:instrText xml:space="preserve"> PAGEREF _Toc18276 \h </w:instrText>
          </w:r>
          <w:r>
            <w:fldChar w:fldCharType="separate"/>
          </w:r>
          <w:r>
            <w:t>14</w:t>
          </w:r>
          <w:r>
            <w:fldChar w:fldCharType="end"/>
          </w:r>
          <w:r>
            <w:rPr>
              <w:rFonts w:hint="eastAsia" w:ascii="宋体" w:hAnsi="宋体" w:eastAsia="宋体" w:cs="宋体"/>
              <w:szCs w:val="22"/>
            </w:rPr>
            <w:fldChar w:fldCharType="end"/>
          </w:r>
        </w:p>
        <w:p w14:paraId="6DED0F21">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_Toc30203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2.5 </w:t>
          </w:r>
          <w:r>
            <w:rPr>
              <w:rFonts w:hint="eastAsia"/>
              <w:lang w:val="en-US" w:eastAsia="zh-CN"/>
            </w:rPr>
            <w:t>建设规模和产品方案</w:t>
          </w:r>
          <w:r>
            <w:tab/>
          </w:r>
          <w:r>
            <w:fldChar w:fldCharType="begin"/>
          </w:r>
          <w:r>
            <w:instrText xml:space="preserve"> PAGEREF _Toc30203 \h </w:instrText>
          </w:r>
          <w:r>
            <w:fldChar w:fldCharType="separate"/>
          </w:r>
          <w:r>
            <w:t>14</w:t>
          </w:r>
          <w:r>
            <w:fldChar w:fldCharType="end"/>
          </w:r>
          <w:r>
            <w:rPr>
              <w:rFonts w:hint="eastAsia" w:ascii="宋体" w:hAnsi="宋体" w:eastAsia="宋体" w:cs="宋体"/>
              <w:szCs w:val="22"/>
            </w:rPr>
            <w:fldChar w:fldCharType="end"/>
          </w:r>
        </w:p>
        <w:p w14:paraId="6D9C8E17">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_Toc16035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2.6 </w:t>
          </w:r>
          <w:r>
            <w:t>项目</w:t>
          </w:r>
          <w:r>
            <w:rPr>
              <w:rFonts w:hint="eastAsia"/>
              <w:lang w:val="en-US" w:eastAsia="zh-CN"/>
            </w:rPr>
            <w:t>建设</w:t>
          </w:r>
          <w:r>
            <w:t>基本情况</w:t>
          </w:r>
          <w:r>
            <w:tab/>
          </w:r>
          <w:r>
            <w:fldChar w:fldCharType="begin"/>
          </w:r>
          <w:r>
            <w:instrText xml:space="preserve"> PAGEREF _Toc16035 \h </w:instrText>
          </w:r>
          <w:r>
            <w:fldChar w:fldCharType="separate"/>
          </w:r>
          <w:r>
            <w:t>15</w:t>
          </w:r>
          <w:r>
            <w:fldChar w:fldCharType="end"/>
          </w:r>
          <w:r>
            <w:rPr>
              <w:rFonts w:hint="eastAsia" w:ascii="宋体" w:hAnsi="宋体" w:eastAsia="宋体" w:cs="宋体"/>
              <w:szCs w:val="22"/>
            </w:rPr>
            <w:fldChar w:fldCharType="end"/>
          </w:r>
        </w:p>
        <w:p w14:paraId="04D931B0">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_Toc14736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2.6.1 </w:t>
          </w:r>
          <w:r>
            <w:rPr>
              <w:rFonts w:hint="eastAsia"/>
              <w:lang w:val="en-US" w:eastAsia="zh-CN"/>
            </w:rPr>
            <w:t>建设项目历程</w:t>
          </w:r>
          <w:r>
            <w:tab/>
          </w:r>
          <w:r>
            <w:fldChar w:fldCharType="begin"/>
          </w:r>
          <w:r>
            <w:instrText xml:space="preserve"> PAGEREF _Toc14736 \h </w:instrText>
          </w:r>
          <w:r>
            <w:fldChar w:fldCharType="separate"/>
          </w:r>
          <w:r>
            <w:t>15</w:t>
          </w:r>
          <w:r>
            <w:fldChar w:fldCharType="end"/>
          </w:r>
          <w:r>
            <w:rPr>
              <w:rFonts w:hint="eastAsia" w:ascii="宋体" w:hAnsi="宋体" w:eastAsia="宋体" w:cs="宋体"/>
              <w:szCs w:val="22"/>
            </w:rPr>
            <w:fldChar w:fldCharType="end"/>
          </w:r>
        </w:p>
        <w:p w14:paraId="77824B53">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_Toc5004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2.6.2 </w:t>
          </w:r>
          <w:r>
            <w:rPr>
              <w:lang w:val="en-US" w:eastAsia="zh-CN"/>
            </w:rPr>
            <w:t>地理位置</w:t>
          </w:r>
          <w:r>
            <w:tab/>
          </w:r>
          <w:r>
            <w:fldChar w:fldCharType="begin"/>
          </w:r>
          <w:r>
            <w:instrText xml:space="preserve"> PAGEREF _Toc5004 \h </w:instrText>
          </w:r>
          <w:r>
            <w:fldChar w:fldCharType="separate"/>
          </w:r>
          <w:r>
            <w:t>16</w:t>
          </w:r>
          <w:r>
            <w:fldChar w:fldCharType="end"/>
          </w:r>
          <w:r>
            <w:rPr>
              <w:rFonts w:hint="eastAsia" w:ascii="宋体" w:hAnsi="宋体" w:eastAsia="宋体" w:cs="宋体"/>
              <w:szCs w:val="22"/>
            </w:rPr>
            <w:fldChar w:fldCharType="end"/>
          </w:r>
        </w:p>
        <w:p w14:paraId="30E2EC2C">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_Toc2297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2.6.3 </w:t>
          </w:r>
          <w:r>
            <w:rPr>
              <w:rFonts w:hint="eastAsia"/>
            </w:rPr>
            <w:t>地形地貌</w:t>
          </w:r>
          <w:r>
            <w:tab/>
          </w:r>
          <w:r>
            <w:fldChar w:fldCharType="begin"/>
          </w:r>
          <w:r>
            <w:instrText xml:space="preserve"> PAGEREF _Toc2297 \h </w:instrText>
          </w:r>
          <w:r>
            <w:fldChar w:fldCharType="separate"/>
          </w:r>
          <w:r>
            <w:t>17</w:t>
          </w:r>
          <w:r>
            <w:fldChar w:fldCharType="end"/>
          </w:r>
          <w:r>
            <w:rPr>
              <w:rFonts w:hint="eastAsia" w:ascii="宋体" w:hAnsi="宋体" w:eastAsia="宋体" w:cs="宋体"/>
              <w:szCs w:val="22"/>
            </w:rPr>
            <w:fldChar w:fldCharType="end"/>
          </w:r>
        </w:p>
        <w:p w14:paraId="7ADED98A">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_Toc13186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2.6.4 </w:t>
          </w:r>
          <w:r>
            <w:rPr>
              <w:lang w:val="en-US" w:eastAsia="zh-CN"/>
            </w:rPr>
            <w:t>气象</w:t>
          </w:r>
          <w:r>
            <w:rPr>
              <w:rFonts w:hint="eastAsia"/>
              <w:lang w:val="en-US" w:eastAsia="zh-CN"/>
            </w:rPr>
            <w:t>水文</w:t>
          </w:r>
          <w:r>
            <w:tab/>
          </w:r>
          <w:r>
            <w:fldChar w:fldCharType="begin"/>
          </w:r>
          <w:r>
            <w:instrText xml:space="preserve"> PAGEREF _Toc13186 \h </w:instrText>
          </w:r>
          <w:r>
            <w:fldChar w:fldCharType="separate"/>
          </w:r>
          <w:r>
            <w:t>17</w:t>
          </w:r>
          <w:r>
            <w:fldChar w:fldCharType="end"/>
          </w:r>
          <w:r>
            <w:rPr>
              <w:rFonts w:hint="eastAsia" w:ascii="宋体" w:hAnsi="宋体" w:eastAsia="宋体" w:cs="宋体"/>
              <w:szCs w:val="22"/>
            </w:rPr>
            <w:fldChar w:fldCharType="end"/>
          </w:r>
        </w:p>
        <w:p w14:paraId="5E9D1CD5">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_Toc5291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2.6.5 </w:t>
          </w:r>
          <w:r>
            <w:rPr>
              <w:rFonts w:hint="eastAsia"/>
              <w:lang w:val="en-US" w:eastAsia="zh-CN"/>
            </w:rPr>
            <w:t>地质条件</w:t>
          </w:r>
          <w:r>
            <w:tab/>
          </w:r>
          <w:r>
            <w:fldChar w:fldCharType="begin"/>
          </w:r>
          <w:r>
            <w:instrText xml:space="preserve"> PAGEREF _Toc5291 \h </w:instrText>
          </w:r>
          <w:r>
            <w:fldChar w:fldCharType="separate"/>
          </w:r>
          <w:r>
            <w:t>17</w:t>
          </w:r>
          <w:r>
            <w:fldChar w:fldCharType="end"/>
          </w:r>
          <w:r>
            <w:rPr>
              <w:rFonts w:hint="eastAsia" w:ascii="宋体" w:hAnsi="宋体" w:eastAsia="宋体" w:cs="宋体"/>
              <w:szCs w:val="22"/>
            </w:rPr>
            <w:fldChar w:fldCharType="end"/>
          </w:r>
        </w:p>
        <w:p w14:paraId="46D163BC">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_Toc2900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2.6.6 </w:t>
          </w:r>
          <w:r>
            <w:rPr>
              <w:lang w:val="en-US" w:eastAsia="zh-CN"/>
            </w:rPr>
            <w:t>周边情况</w:t>
          </w:r>
          <w:r>
            <w:tab/>
          </w:r>
          <w:r>
            <w:fldChar w:fldCharType="begin"/>
          </w:r>
          <w:r>
            <w:instrText xml:space="preserve"> PAGEREF _Toc2900 \h </w:instrText>
          </w:r>
          <w:r>
            <w:fldChar w:fldCharType="separate"/>
          </w:r>
          <w:r>
            <w:t>18</w:t>
          </w:r>
          <w:r>
            <w:fldChar w:fldCharType="end"/>
          </w:r>
          <w:r>
            <w:rPr>
              <w:rFonts w:hint="eastAsia" w:ascii="宋体" w:hAnsi="宋体" w:eastAsia="宋体" w:cs="宋体"/>
              <w:szCs w:val="22"/>
            </w:rPr>
            <w:fldChar w:fldCharType="end"/>
          </w:r>
        </w:p>
        <w:p w14:paraId="47690244">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_Toc25503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2.7 </w:t>
          </w:r>
          <w:r>
            <w:rPr>
              <w:rFonts w:hint="eastAsia"/>
              <w:lang w:val="en-US" w:eastAsia="zh-CN"/>
            </w:rPr>
            <w:t>总平面布置</w:t>
          </w:r>
          <w:r>
            <w:tab/>
          </w:r>
          <w:r>
            <w:fldChar w:fldCharType="begin"/>
          </w:r>
          <w:r>
            <w:instrText xml:space="preserve"> PAGEREF _Toc25503 \h </w:instrText>
          </w:r>
          <w:r>
            <w:fldChar w:fldCharType="separate"/>
          </w:r>
          <w:r>
            <w:t>19</w:t>
          </w:r>
          <w:r>
            <w:fldChar w:fldCharType="end"/>
          </w:r>
          <w:r>
            <w:rPr>
              <w:rFonts w:hint="eastAsia" w:ascii="宋体" w:hAnsi="宋体" w:eastAsia="宋体" w:cs="宋体"/>
              <w:szCs w:val="22"/>
            </w:rPr>
            <w:fldChar w:fldCharType="end"/>
          </w:r>
        </w:p>
        <w:p w14:paraId="3BED4F1B">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_Toc17881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2.7.1 </w:t>
          </w:r>
          <w:r>
            <w:rPr>
              <w:rFonts w:hint="eastAsia"/>
              <w:lang w:val="en-US" w:eastAsia="zh-CN"/>
            </w:rPr>
            <w:t>平面布置</w:t>
          </w:r>
          <w:r>
            <w:tab/>
          </w:r>
          <w:r>
            <w:fldChar w:fldCharType="begin"/>
          </w:r>
          <w:r>
            <w:instrText xml:space="preserve"> PAGEREF _Toc17881 \h </w:instrText>
          </w:r>
          <w:r>
            <w:fldChar w:fldCharType="separate"/>
          </w:r>
          <w:r>
            <w:t>19</w:t>
          </w:r>
          <w:r>
            <w:fldChar w:fldCharType="end"/>
          </w:r>
          <w:r>
            <w:rPr>
              <w:rFonts w:hint="eastAsia" w:ascii="宋体" w:hAnsi="宋体" w:eastAsia="宋体" w:cs="宋体"/>
              <w:szCs w:val="22"/>
            </w:rPr>
            <w:fldChar w:fldCharType="end"/>
          </w:r>
        </w:p>
        <w:p w14:paraId="059555A0">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_Toc15882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2.7.2 </w:t>
          </w:r>
          <w:r>
            <w:rPr>
              <w:lang w:val="en-US" w:eastAsia="zh-CN"/>
            </w:rPr>
            <w:t>竖向布置</w:t>
          </w:r>
          <w:r>
            <w:tab/>
          </w:r>
          <w:r>
            <w:fldChar w:fldCharType="begin"/>
          </w:r>
          <w:r>
            <w:instrText xml:space="preserve"> PAGEREF _Toc15882 \h </w:instrText>
          </w:r>
          <w:r>
            <w:fldChar w:fldCharType="separate"/>
          </w:r>
          <w:r>
            <w:t>20</w:t>
          </w:r>
          <w:r>
            <w:fldChar w:fldCharType="end"/>
          </w:r>
          <w:r>
            <w:rPr>
              <w:rFonts w:hint="eastAsia" w:ascii="宋体" w:hAnsi="宋体" w:eastAsia="宋体" w:cs="宋体"/>
              <w:szCs w:val="22"/>
            </w:rPr>
            <w:fldChar w:fldCharType="end"/>
          </w:r>
        </w:p>
        <w:p w14:paraId="19677630">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_Toc6212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2.7.3 </w:t>
          </w:r>
          <w:r>
            <w:rPr>
              <w:rFonts w:hint="eastAsia"/>
              <w:lang w:val="en-US" w:eastAsia="zh-CN"/>
            </w:rPr>
            <w:t>道路及运输</w:t>
          </w:r>
          <w:r>
            <w:tab/>
          </w:r>
          <w:r>
            <w:fldChar w:fldCharType="begin"/>
          </w:r>
          <w:r>
            <w:instrText xml:space="preserve"> PAGEREF _Toc6212 \h </w:instrText>
          </w:r>
          <w:r>
            <w:fldChar w:fldCharType="separate"/>
          </w:r>
          <w:r>
            <w:t>20</w:t>
          </w:r>
          <w:r>
            <w:fldChar w:fldCharType="end"/>
          </w:r>
          <w:r>
            <w:rPr>
              <w:rFonts w:hint="eastAsia" w:ascii="宋体" w:hAnsi="宋体" w:eastAsia="宋体" w:cs="宋体"/>
              <w:szCs w:val="22"/>
            </w:rPr>
            <w:fldChar w:fldCharType="end"/>
          </w:r>
        </w:p>
        <w:p w14:paraId="7D9100C6">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_Toc8930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2.8 </w:t>
          </w:r>
          <w:r>
            <w:rPr>
              <w:rFonts w:hint="eastAsia"/>
              <w:lang w:val="en-US" w:eastAsia="zh-CN"/>
            </w:rPr>
            <w:t>主要建构筑物</w:t>
          </w:r>
          <w:r>
            <w:tab/>
          </w:r>
          <w:r>
            <w:fldChar w:fldCharType="begin"/>
          </w:r>
          <w:r>
            <w:instrText xml:space="preserve"> PAGEREF _Toc8930 \h </w:instrText>
          </w:r>
          <w:r>
            <w:fldChar w:fldCharType="separate"/>
          </w:r>
          <w:r>
            <w:t>21</w:t>
          </w:r>
          <w:r>
            <w:fldChar w:fldCharType="end"/>
          </w:r>
          <w:r>
            <w:rPr>
              <w:rFonts w:hint="eastAsia" w:ascii="宋体" w:hAnsi="宋体" w:eastAsia="宋体" w:cs="宋体"/>
              <w:szCs w:val="22"/>
            </w:rPr>
            <w:fldChar w:fldCharType="end"/>
          </w:r>
        </w:p>
        <w:p w14:paraId="4111855C">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_Toc21019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2.8.1 </w:t>
          </w:r>
          <w:r>
            <w:rPr>
              <w:rFonts w:hint="eastAsia"/>
            </w:rPr>
            <w:t>主要建构筑物一览表</w:t>
          </w:r>
          <w:r>
            <w:tab/>
          </w:r>
          <w:r>
            <w:fldChar w:fldCharType="begin"/>
          </w:r>
          <w:r>
            <w:instrText xml:space="preserve"> PAGEREF _Toc21019 \h </w:instrText>
          </w:r>
          <w:r>
            <w:fldChar w:fldCharType="separate"/>
          </w:r>
          <w:r>
            <w:t>21</w:t>
          </w:r>
          <w:r>
            <w:fldChar w:fldCharType="end"/>
          </w:r>
          <w:r>
            <w:rPr>
              <w:rFonts w:hint="eastAsia" w:ascii="宋体" w:hAnsi="宋体" w:eastAsia="宋体" w:cs="宋体"/>
              <w:szCs w:val="22"/>
            </w:rPr>
            <w:fldChar w:fldCharType="end"/>
          </w:r>
        </w:p>
        <w:p w14:paraId="6417F769">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_Toc18025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2.8.2 </w:t>
          </w:r>
          <w:r>
            <w:rPr>
              <w:rFonts w:hint="eastAsia"/>
              <w:lang w:val="en-US" w:eastAsia="zh-CN"/>
            </w:rPr>
            <w:t>主要建筑物防火分区及安全疏散设置</w:t>
          </w:r>
          <w:r>
            <w:tab/>
          </w:r>
          <w:r>
            <w:fldChar w:fldCharType="begin"/>
          </w:r>
          <w:r>
            <w:instrText xml:space="preserve"> PAGEREF _Toc18025 \h </w:instrText>
          </w:r>
          <w:r>
            <w:fldChar w:fldCharType="separate"/>
          </w:r>
          <w:r>
            <w:t>21</w:t>
          </w:r>
          <w:r>
            <w:fldChar w:fldCharType="end"/>
          </w:r>
          <w:r>
            <w:rPr>
              <w:rFonts w:hint="eastAsia" w:ascii="宋体" w:hAnsi="宋体" w:eastAsia="宋体" w:cs="宋体"/>
              <w:szCs w:val="22"/>
            </w:rPr>
            <w:fldChar w:fldCharType="end"/>
          </w:r>
        </w:p>
        <w:p w14:paraId="1D3489B9">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_Toc22016 </w:instrText>
          </w:r>
          <w:r>
            <w:rPr>
              <w:rFonts w:hint="eastAsia" w:ascii="宋体" w:hAnsi="宋体" w:eastAsia="宋体" w:cs="宋体"/>
              <w:szCs w:val="22"/>
            </w:rPr>
            <w:fldChar w:fldCharType="separate"/>
          </w:r>
          <w:r>
            <w:rPr>
              <w:rFonts w:hint="default" w:ascii="黑体" w:hAnsi="黑体" w:eastAsia="黑体" w:cs="黑体"/>
              <w:bCs w:val="0"/>
              <w:szCs w:val="32"/>
            </w:rPr>
            <w:t xml:space="preserve">2.9 </w:t>
          </w:r>
          <w:r>
            <w:rPr>
              <w:rFonts w:hint="eastAsia"/>
            </w:rPr>
            <w:t>物料供应及动力能源消耗</w:t>
          </w:r>
          <w:r>
            <w:tab/>
          </w:r>
          <w:r>
            <w:fldChar w:fldCharType="begin"/>
          </w:r>
          <w:r>
            <w:instrText xml:space="preserve"> PAGEREF _Toc22016 \h </w:instrText>
          </w:r>
          <w:r>
            <w:fldChar w:fldCharType="separate"/>
          </w:r>
          <w:r>
            <w:t>22</w:t>
          </w:r>
          <w:r>
            <w:fldChar w:fldCharType="end"/>
          </w:r>
          <w:r>
            <w:rPr>
              <w:rFonts w:hint="eastAsia" w:ascii="宋体" w:hAnsi="宋体" w:eastAsia="宋体" w:cs="宋体"/>
              <w:szCs w:val="22"/>
            </w:rPr>
            <w:fldChar w:fldCharType="end"/>
          </w:r>
        </w:p>
        <w:p w14:paraId="55A2D44D">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_Toc19044 </w:instrText>
          </w:r>
          <w:r>
            <w:rPr>
              <w:rFonts w:hint="eastAsia" w:ascii="宋体" w:hAnsi="宋体" w:eastAsia="宋体" w:cs="宋体"/>
              <w:szCs w:val="22"/>
            </w:rPr>
            <w:fldChar w:fldCharType="separate"/>
          </w:r>
          <w:r>
            <w:rPr>
              <w:rFonts w:hint="default" w:ascii="宋体" w:hAnsi="宋体" w:cs="宋体"/>
              <w:bCs/>
              <w:szCs w:val="32"/>
            </w:rPr>
            <w:t xml:space="preserve">2.9.1 </w:t>
          </w:r>
          <w:r>
            <w:rPr>
              <w:rFonts w:hint="eastAsia"/>
              <w:lang w:val="en-US" w:eastAsia="zh-CN"/>
            </w:rPr>
            <w:t>主要原辅料</w:t>
          </w:r>
          <w:r>
            <w:tab/>
          </w:r>
          <w:r>
            <w:fldChar w:fldCharType="begin"/>
          </w:r>
          <w:r>
            <w:instrText xml:space="preserve"> PAGEREF _Toc19044 \h </w:instrText>
          </w:r>
          <w:r>
            <w:fldChar w:fldCharType="separate"/>
          </w:r>
          <w:r>
            <w:t>22</w:t>
          </w:r>
          <w:r>
            <w:fldChar w:fldCharType="end"/>
          </w:r>
          <w:r>
            <w:rPr>
              <w:rFonts w:hint="eastAsia" w:ascii="宋体" w:hAnsi="宋体" w:eastAsia="宋体" w:cs="宋体"/>
              <w:szCs w:val="22"/>
            </w:rPr>
            <w:fldChar w:fldCharType="end"/>
          </w:r>
        </w:p>
        <w:p w14:paraId="3D2A0AE0">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_Toc2478 </w:instrText>
          </w:r>
          <w:r>
            <w:rPr>
              <w:rFonts w:hint="eastAsia" w:ascii="宋体" w:hAnsi="宋体" w:eastAsia="宋体" w:cs="宋体"/>
              <w:szCs w:val="22"/>
            </w:rPr>
            <w:fldChar w:fldCharType="separate"/>
          </w:r>
          <w:r>
            <w:rPr>
              <w:rFonts w:hint="default" w:ascii="宋体" w:hAnsi="宋体" w:cs="宋体"/>
              <w:bCs/>
              <w:szCs w:val="32"/>
            </w:rPr>
            <w:t xml:space="preserve">2.9.2 </w:t>
          </w:r>
          <w:r>
            <w:rPr>
              <w:rFonts w:hint="eastAsia"/>
            </w:rPr>
            <w:t>动力消耗</w:t>
          </w:r>
          <w:r>
            <w:tab/>
          </w:r>
          <w:r>
            <w:fldChar w:fldCharType="begin"/>
          </w:r>
          <w:r>
            <w:instrText xml:space="preserve"> PAGEREF _Toc2478 \h </w:instrText>
          </w:r>
          <w:r>
            <w:fldChar w:fldCharType="separate"/>
          </w:r>
          <w:r>
            <w:t>23</w:t>
          </w:r>
          <w:r>
            <w:fldChar w:fldCharType="end"/>
          </w:r>
          <w:r>
            <w:rPr>
              <w:rFonts w:hint="eastAsia" w:ascii="宋体" w:hAnsi="宋体" w:eastAsia="宋体" w:cs="宋体"/>
              <w:szCs w:val="22"/>
            </w:rPr>
            <w:fldChar w:fldCharType="end"/>
          </w:r>
        </w:p>
        <w:p w14:paraId="1CE0D2F2">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_Toc32460 </w:instrText>
          </w:r>
          <w:r>
            <w:rPr>
              <w:rFonts w:hint="eastAsia" w:ascii="宋体" w:hAnsi="宋体" w:eastAsia="宋体" w:cs="宋体"/>
              <w:szCs w:val="22"/>
            </w:rPr>
            <w:fldChar w:fldCharType="separate"/>
          </w:r>
          <w:r>
            <w:rPr>
              <w:rFonts w:hint="default" w:ascii="宋体" w:hAnsi="宋体" w:cs="宋体"/>
              <w:bCs/>
              <w:szCs w:val="32"/>
            </w:rPr>
            <w:t xml:space="preserve">2.9.3 </w:t>
          </w:r>
          <w:r>
            <w:rPr>
              <w:rFonts w:hint="eastAsia"/>
            </w:rPr>
            <w:t>物料储存、使用情况</w:t>
          </w:r>
          <w:r>
            <w:tab/>
          </w:r>
          <w:r>
            <w:fldChar w:fldCharType="begin"/>
          </w:r>
          <w:r>
            <w:instrText xml:space="preserve"> PAGEREF _Toc32460 \h </w:instrText>
          </w:r>
          <w:r>
            <w:fldChar w:fldCharType="separate"/>
          </w:r>
          <w:r>
            <w:t>23</w:t>
          </w:r>
          <w:r>
            <w:fldChar w:fldCharType="end"/>
          </w:r>
          <w:r>
            <w:rPr>
              <w:rFonts w:hint="eastAsia" w:ascii="宋体" w:hAnsi="宋体" w:eastAsia="宋体" w:cs="宋体"/>
              <w:szCs w:val="22"/>
            </w:rPr>
            <w:fldChar w:fldCharType="end"/>
          </w:r>
        </w:p>
        <w:p w14:paraId="0B60C105">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_Toc3820 </w:instrText>
          </w:r>
          <w:r>
            <w:rPr>
              <w:rFonts w:hint="eastAsia" w:ascii="宋体" w:hAnsi="宋体" w:eastAsia="宋体" w:cs="宋体"/>
              <w:szCs w:val="22"/>
            </w:rPr>
            <w:fldChar w:fldCharType="separate"/>
          </w:r>
          <w:r>
            <w:rPr>
              <w:rFonts w:hint="default" w:ascii="宋体" w:hAnsi="宋体" w:cs="宋体"/>
              <w:bCs/>
              <w:szCs w:val="32"/>
            </w:rPr>
            <w:t xml:space="preserve">2.9.4 </w:t>
          </w:r>
          <w:r>
            <w:rPr>
              <w:rFonts w:hint="eastAsia"/>
            </w:rPr>
            <w:t>物料运输</w:t>
          </w:r>
          <w:r>
            <w:tab/>
          </w:r>
          <w:r>
            <w:fldChar w:fldCharType="begin"/>
          </w:r>
          <w:r>
            <w:instrText xml:space="preserve"> PAGEREF _Toc3820 \h </w:instrText>
          </w:r>
          <w:r>
            <w:fldChar w:fldCharType="separate"/>
          </w:r>
          <w:r>
            <w:t>23</w:t>
          </w:r>
          <w:r>
            <w:fldChar w:fldCharType="end"/>
          </w:r>
          <w:r>
            <w:rPr>
              <w:rFonts w:hint="eastAsia" w:ascii="宋体" w:hAnsi="宋体" w:eastAsia="宋体" w:cs="宋体"/>
              <w:szCs w:val="22"/>
            </w:rPr>
            <w:fldChar w:fldCharType="end"/>
          </w:r>
        </w:p>
        <w:p w14:paraId="1488F9F9">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_Toc25491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2.9.5 </w:t>
          </w:r>
          <w:r>
            <w:rPr>
              <w:rFonts w:hint="eastAsia"/>
              <w:lang w:val="en-US" w:eastAsia="zh-CN"/>
            </w:rPr>
            <w:t>生产工艺</w:t>
          </w:r>
          <w:r>
            <w:tab/>
          </w:r>
          <w:r>
            <w:fldChar w:fldCharType="begin"/>
          </w:r>
          <w:r>
            <w:instrText xml:space="preserve"> PAGEREF _Toc25491 \h </w:instrText>
          </w:r>
          <w:r>
            <w:fldChar w:fldCharType="separate"/>
          </w:r>
          <w:r>
            <w:t>24</w:t>
          </w:r>
          <w:r>
            <w:fldChar w:fldCharType="end"/>
          </w:r>
          <w:r>
            <w:rPr>
              <w:rFonts w:hint="eastAsia" w:ascii="宋体" w:hAnsi="宋体" w:eastAsia="宋体" w:cs="宋体"/>
              <w:szCs w:val="22"/>
            </w:rPr>
            <w:fldChar w:fldCharType="end"/>
          </w:r>
        </w:p>
        <w:p w14:paraId="4C8EF86B">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_Toc29629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2.10 </w:t>
          </w:r>
          <w:r>
            <w:rPr>
              <w:rFonts w:hint="eastAsia"/>
              <w:lang w:val="en-US" w:eastAsia="zh-CN"/>
            </w:rPr>
            <w:t>主要设备设施</w:t>
          </w:r>
          <w:r>
            <w:tab/>
          </w:r>
          <w:r>
            <w:fldChar w:fldCharType="begin"/>
          </w:r>
          <w:r>
            <w:instrText xml:space="preserve"> PAGEREF _Toc29629 \h </w:instrText>
          </w:r>
          <w:r>
            <w:fldChar w:fldCharType="separate"/>
          </w:r>
          <w:r>
            <w:t>28</w:t>
          </w:r>
          <w:r>
            <w:fldChar w:fldCharType="end"/>
          </w:r>
          <w:r>
            <w:rPr>
              <w:rFonts w:hint="eastAsia" w:ascii="宋体" w:hAnsi="宋体" w:eastAsia="宋体" w:cs="宋体"/>
              <w:szCs w:val="22"/>
            </w:rPr>
            <w:fldChar w:fldCharType="end"/>
          </w:r>
        </w:p>
        <w:p w14:paraId="5F48B40A">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_Toc335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2.10.1 </w:t>
          </w:r>
          <w:r>
            <w:rPr>
              <w:rFonts w:hint="eastAsia"/>
              <w:lang w:val="en-US" w:eastAsia="zh-CN"/>
            </w:rPr>
            <w:t>主要设备</w:t>
          </w:r>
          <w:r>
            <w:tab/>
          </w:r>
          <w:r>
            <w:fldChar w:fldCharType="begin"/>
          </w:r>
          <w:r>
            <w:instrText xml:space="preserve"> PAGEREF _Toc335 \h </w:instrText>
          </w:r>
          <w:r>
            <w:fldChar w:fldCharType="separate"/>
          </w:r>
          <w:r>
            <w:t>28</w:t>
          </w:r>
          <w:r>
            <w:fldChar w:fldCharType="end"/>
          </w:r>
          <w:r>
            <w:rPr>
              <w:rFonts w:hint="eastAsia" w:ascii="宋体" w:hAnsi="宋体" w:eastAsia="宋体" w:cs="宋体"/>
              <w:szCs w:val="22"/>
            </w:rPr>
            <w:fldChar w:fldCharType="end"/>
          </w:r>
        </w:p>
        <w:p w14:paraId="04387EB5">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_Toc9492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2.10.2 </w:t>
          </w:r>
          <w:r>
            <w:rPr>
              <w:rFonts w:hint="eastAsia"/>
              <w:lang w:val="en-US" w:eastAsia="zh-CN"/>
            </w:rPr>
            <w:t>特种设备及强制检测设备设施</w:t>
          </w:r>
          <w:r>
            <w:tab/>
          </w:r>
          <w:r>
            <w:fldChar w:fldCharType="begin"/>
          </w:r>
          <w:r>
            <w:instrText xml:space="preserve"> PAGEREF _Toc9492 \h </w:instrText>
          </w:r>
          <w:r>
            <w:fldChar w:fldCharType="separate"/>
          </w:r>
          <w:r>
            <w:t>29</w:t>
          </w:r>
          <w:r>
            <w:fldChar w:fldCharType="end"/>
          </w:r>
          <w:r>
            <w:rPr>
              <w:rFonts w:hint="eastAsia" w:ascii="宋体" w:hAnsi="宋体" w:eastAsia="宋体" w:cs="宋体"/>
              <w:szCs w:val="22"/>
            </w:rPr>
            <w:fldChar w:fldCharType="end"/>
          </w:r>
        </w:p>
        <w:p w14:paraId="2A8E070A">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_Toc72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2.11 </w:t>
          </w:r>
          <w:r>
            <w:rPr>
              <w:rFonts w:hint="eastAsia"/>
              <w:lang w:val="en-US" w:eastAsia="zh-CN"/>
            </w:rPr>
            <w:t>公用工程和辅助设施</w:t>
          </w:r>
          <w:r>
            <w:tab/>
          </w:r>
          <w:r>
            <w:fldChar w:fldCharType="begin"/>
          </w:r>
          <w:r>
            <w:instrText xml:space="preserve"> PAGEREF _Toc72 \h </w:instrText>
          </w:r>
          <w:r>
            <w:fldChar w:fldCharType="separate"/>
          </w:r>
          <w:r>
            <w:t>33</w:t>
          </w:r>
          <w:r>
            <w:fldChar w:fldCharType="end"/>
          </w:r>
          <w:r>
            <w:rPr>
              <w:rFonts w:hint="eastAsia" w:ascii="宋体" w:hAnsi="宋体" w:eastAsia="宋体" w:cs="宋体"/>
              <w:szCs w:val="22"/>
            </w:rPr>
            <w:fldChar w:fldCharType="end"/>
          </w:r>
        </w:p>
        <w:p w14:paraId="384A3B8B">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_Toc22358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2.11.1 </w:t>
          </w:r>
          <w:r>
            <w:rPr>
              <w:rFonts w:hint="eastAsia"/>
              <w:lang w:val="en-US" w:eastAsia="zh-CN"/>
            </w:rPr>
            <w:t>供配电系统</w:t>
          </w:r>
          <w:r>
            <w:tab/>
          </w:r>
          <w:r>
            <w:fldChar w:fldCharType="begin"/>
          </w:r>
          <w:r>
            <w:instrText xml:space="preserve"> PAGEREF _Toc22358 \h </w:instrText>
          </w:r>
          <w:r>
            <w:fldChar w:fldCharType="separate"/>
          </w:r>
          <w:r>
            <w:t>33</w:t>
          </w:r>
          <w:r>
            <w:fldChar w:fldCharType="end"/>
          </w:r>
          <w:r>
            <w:rPr>
              <w:rFonts w:hint="eastAsia" w:ascii="宋体" w:hAnsi="宋体" w:eastAsia="宋体" w:cs="宋体"/>
              <w:szCs w:val="22"/>
            </w:rPr>
            <w:fldChar w:fldCharType="end"/>
          </w:r>
        </w:p>
        <w:p w14:paraId="6E7E3469">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_Toc9111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2.11.2 </w:t>
          </w:r>
          <w:r>
            <w:rPr>
              <w:rFonts w:hint="eastAsia"/>
              <w:lang w:val="en-US" w:eastAsia="zh-CN"/>
            </w:rPr>
            <w:t>给排水系统</w:t>
          </w:r>
          <w:r>
            <w:tab/>
          </w:r>
          <w:r>
            <w:fldChar w:fldCharType="begin"/>
          </w:r>
          <w:r>
            <w:instrText xml:space="preserve"> PAGEREF _Toc9111 \h </w:instrText>
          </w:r>
          <w:r>
            <w:fldChar w:fldCharType="separate"/>
          </w:r>
          <w:r>
            <w:t>34</w:t>
          </w:r>
          <w:r>
            <w:fldChar w:fldCharType="end"/>
          </w:r>
          <w:r>
            <w:rPr>
              <w:rFonts w:hint="eastAsia" w:ascii="宋体" w:hAnsi="宋体" w:eastAsia="宋体" w:cs="宋体"/>
              <w:szCs w:val="22"/>
            </w:rPr>
            <w:fldChar w:fldCharType="end"/>
          </w:r>
        </w:p>
        <w:p w14:paraId="5AC8F41A">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_Toc26689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2.11.3 </w:t>
          </w:r>
          <w:r>
            <w:rPr>
              <w:rFonts w:hint="eastAsia"/>
              <w:lang w:val="en-US" w:eastAsia="zh-CN"/>
            </w:rPr>
            <w:t>消防系统</w:t>
          </w:r>
          <w:r>
            <w:tab/>
          </w:r>
          <w:r>
            <w:fldChar w:fldCharType="begin"/>
          </w:r>
          <w:r>
            <w:instrText xml:space="preserve"> PAGEREF _Toc26689 \h </w:instrText>
          </w:r>
          <w:r>
            <w:fldChar w:fldCharType="separate"/>
          </w:r>
          <w:r>
            <w:t>35</w:t>
          </w:r>
          <w:r>
            <w:fldChar w:fldCharType="end"/>
          </w:r>
          <w:r>
            <w:rPr>
              <w:rFonts w:hint="eastAsia" w:ascii="宋体" w:hAnsi="宋体" w:eastAsia="宋体" w:cs="宋体"/>
              <w:szCs w:val="22"/>
            </w:rPr>
            <w:fldChar w:fldCharType="end"/>
          </w:r>
        </w:p>
        <w:p w14:paraId="50EE383C">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_Toc1261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2.11.4 </w:t>
          </w:r>
          <w:r>
            <w:rPr>
              <w:rFonts w:hint="eastAsia"/>
              <w:lang w:val="en-US" w:eastAsia="zh-CN"/>
            </w:rPr>
            <w:t>采暖通风系统</w:t>
          </w:r>
          <w:r>
            <w:tab/>
          </w:r>
          <w:r>
            <w:fldChar w:fldCharType="begin"/>
          </w:r>
          <w:r>
            <w:instrText xml:space="preserve"> PAGEREF _Toc1261 \h </w:instrText>
          </w:r>
          <w:r>
            <w:fldChar w:fldCharType="separate"/>
          </w:r>
          <w:r>
            <w:t>36</w:t>
          </w:r>
          <w:r>
            <w:fldChar w:fldCharType="end"/>
          </w:r>
          <w:r>
            <w:rPr>
              <w:rFonts w:hint="eastAsia" w:ascii="宋体" w:hAnsi="宋体" w:eastAsia="宋体" w:cs="宋体"/>
              <w:szCs w:val="22"/>
            </w:rPr>
            <w:fldChar w:fldCharType="end"/>
          </w:r>
        </w:p>
        <w:p w14:paraId="00949039">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_Toc31262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2.11.5 </w:t>
          </w:r>
          <w:r>
            <w:rPr>
              <w:rFonts w:hint="eastAsia"/>
              <w:lang w:val="en-US" w:eastAsia="zh-CN"/>
            </w:rPr>
            <w:t>供气系统</w:t>
          </w:r>
          <w:r>
            <w:tab/>
          </w:r>
          <w:r>
            <w:fldChar w:fldCharType="begin"/>
          </w:r>
          <w:r>
            <w:instrText xml:space="preserve"> PAGEREF _Toc31262 \h </w:instrText>
          </w:r>
          <w:r>
            <w:fldChar w:fldCharType="separate"/>
          </w:r>
          <w:r>
            <w:t>36</w:t>
          </w:r>
          <w:r>
            <w:fldChar w:fldCharType="end"/>
          </w:r>
          <w:r>
            <w:rPr>
              <w:rFonts w:hint="eastAsia" w:ascii="宋体" w:hAnsi="宋体" w:eastAsia="宋体" w:cs="宋体"/>
              <w:szCs w:val="22"/>
            </w:rPr>
            <w:fldChar w:fldCharType="end"/>
          </w:r>
        </w:p>
        <w:p w14:paraId="33D0EACB">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_Toc22366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2.11.6 </w:t>
          </w:r>
          <w:r>
            <w:rPr>
              <w:rFonts w:hint="eastAsia"/>
              <w:lang w:val="en-US" w:eastAsia="zh-CN"/>
            </w:rPr>
            <w:t>除尘系统</w:t>
          </w:r>
          <w:r>
            <w:tab/>
          </w:r>
          <w:r>
            <w:fldChar w:fldCharType="begin"/>
          </w:r>
          <w:r>
            <w:instrText xml:space="preserve"> PAGEREF _Toc22366 \h </w:instrText>
          </w:r>
          <w:r>
            <w:fldChar w:fldCharType="separate"/>
          </w:r>
          <w:r>
            <w:t>37</w:t>
          </w:r>
          <w:r>
            <w:fldChar w:fldCharType="end"/>
          </w:r>
          <w:r>
            <w:rPr>
              <w:rFonts w:hint="eastAsia" w:ascii="宋体" w:hAnsi="宋体" w:eastAsia="宋体" w:cs="宋体"/>
              <w:szCs w:val="22"/>
            </w:rPr>
            <w:fldChar w:fldCharType="end"/>
          </w:r>
        </w:p>
        <w:p w14:paraId="31042A7E">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_Toc28120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2.11.7 </w:t>
          </w:r>
          <w:r>
            <w:rPr>
              <w:rFonts w:hint="eastAsia"/>
            </w:rPr>
            <w:t>信息网络及</w:t>
          </w:r>
          <w:r>
            <w:t>自动化控制</w:t>
          </w:r>
          <w:r>
            <w:tab/>
          </w:r>
          <w:r>
            <w:fldChar w:fldCharType="begin"/>
          </w:r>
          <w:r>
            <w:instrText xml:space="preserve"> PAGEREF _Toc28120 \h </w:instrText>
          </w:r>
          <w:r>
            <w:fldChar w:fldCharType="separate"/>
          </w:r>
          <w:r>
            <w:t>37</w:t>
          </w:r>
          <w:r>
            <w:fldChar w:fldCharType="end"/>
          </w:r>
          <w:r>
            <w:rPr>
              <w:rFonts w:hint="eastAsia" w:ascii="宋体" w:hAnsi="宋体" w:eastAsia="宋体" w:cs="宋体"/>
              <w:szCs w:val="22"/>
            </w:rPr>
            <w:fldChar w:fldCharType="end"/>
          </w:r>
        </w:p>
        <w:p w14:paraId="62692C4A">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_Toc12711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2.12 </w:t>
          </w:r>
          <w:r>
            <w:rPr>
              <w:rFonts w:hint="eastAsia"/>
              <w:lang w:val="en-US" w:eastAsia="zh-CN"/>
            </w:rPr>
            <w:t>安全</w:t>
          </w:r>
          <w:r>
            <w:rPr>
              <w:lang w:val="en-US" w:eastAsia="zh-CN"/>
            </w:rPr>
            <w:t>管理</w:t>
          </w:r>
          <w:r>
            <w:tab/>
          </w:r>
          <w:r>
            <w:fldChar w:fldCharType="begin"/>
          </w:r>
          <w:r>
            <w:instrText xml:space="preserve"> PAGEREF _Toc12711 \h </w:instrText>
          </w:r>
          <w:r>
            <w:fldChar w:fldCharType="separate"/>
          </w:r>
          <w:r>
            <w:t>38</w:t>
          </w:r>
          <w:r>
            <w:fldChar w:fldCharType="end"/>
          </w:r>
          <w:r>
            <w:rPr>
              <w:rFonts w:hint="eastAsia" w:ascii="宋体" w:hAnsi="宋体" w:eastAsia="宋体" w:cs="宋体"/>
              <w:szCs w:val="22"/>
            </w:rPr>
            <w:fldChar w:fldCharType="end"/>
          </w:r>
        </w:p>
        <w:p w14:paraId="7E2C1449">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_Toc23221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2.12.1 </w:t>
          </w:r>
          <w:r>
            <w:rPr>
              <w:rFonts w:hint="eastAsia"/>
              <w:lang w:val="en-US" w:eastAsia="zh-CN"/>
            </w:rPr>
            <w:t>管理组织机构</w:t>
          </w:r>
          <w:r>
            <w:tab/>
          </w:r>
          <w:r>
            <w:fldChar w:fldCharType="begin"/>
          </w:r>
          <w:r>
            <w:instrText xml:space="preserve"> PAGEREF _Toc23221 \h </w:instrText>
          </w:r>
          <w:r>
            <w:fldChar w:fldCharType="separate"/>
          </w:r>
          <w:r>
            <w:t>38</w:t>
          </w:r>
          <w:r>
            <w:fldChar w:fldCharType="end"/>
          </w:r>
          <w:r>
            <w:rPr>
              <w:rFonts w:hint="eastAsia" w:ascii="宋体" w:hAnsi="宋体" w:eastAsia="宋体" w:cs="宋体"/>
              <w:szCs w:val="22"/>
            </w:rPr>
            <w:fldChar w:fldCharType="end"/>
          </w:r>
        </w:p>
        <w:p w14:paraId="258A198B">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_Toc9100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2.12.2 </w:t>
          </w:r>
          <w:r>
            <w:rPr>
              <w:rFonts w:hint="eastAsia"/>
              <w:lang w:val="en-US" w:eastAsia="zh-CN"/>
            </w:rPr>
            <w:t>劳动定员及工作制度</w:t>
          </w:r>
          <w:r>
            <w:tab/>
          </w:r>
          <w:r>
            <w:fldChar w:fldCharType="begin"/>
          </w:r>
          <w:r>
            <w:instrText xml:space="preserve"> PAGEREF _Toc9100 \h </w:instrText>
          </w:r>
          <w:r>
            <w:fldChar w:fldCharType="separate"/>
          </w:r>
          <w:r>
            <w:t>38</w:t>
          </w:r>
          <w:r>
            <w:fldChar w:fldCharType="end"/>
          </w:r>
          <w:r>
            <w:rPr>
              <w:rFonts w:hint="eastAsia" w:ascii="宋体" w:hAnsi="宋体" w:eastAsia="宋体" w:cs="宋体"/>
              <w:szCs w:val="22"/>
            </w:rPr>
            <w:fldChar w:fldCharType="end"/>
          </w:r>
        </w:p>
        <w:p w14:paraId="6FA0DFFF">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_Toc22703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2.12.3 </w:t>
          </w:r>
          <w:r>
            <w:rPr>
              <w:rFonts w:hint="eastAsia"/>
              <w:lang w:val="en-US" w:eastAsia="zh-CN"/>
            </w:rPr>
            <w:t>人员持证情况</w:t>
          </w:r>
          <w:r>
            <w:tab/>
          </w:r>
          <w:r>
            <w:fldChar w:fldCharType="begin"/>
          </w:r>
          <w:r>
            <w:instrText xml:space="preserve"> PAGEREF _Toc22703 \h </w:instrText>
          </w:r>
          <w:r>
            <w:fldChar w:fldCharType="separate"/>
          </w:r>
          <w:r>
            <w:t>38</w:t>
          </w:r>
          <w:r>
            <w:fldChar w:fldCharType="end"/>
          </w:r>
          <w:r>
            <w:rPr>
              <w:rFonts w:hint="eastAsia" w:ascii="宋体" w:hAnsi="宋体" w:eastAsia="宋体" w:cs="宋体"/>
              <w:szCs w:val="22"/>
            </w:rPr>
            <w:fldChar w:fldCharType="end"/>
          </w:r>
        </w:p>
        <w:p w14:paraId="1BC26379">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_Toc14146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2.12.4 </w:t>
          </w:r>
          <w:r>
            <w:rPr>
              <w:rFonts w:hint="eastAsia"/>
              <w:lang w:val="en-US" w:eastAsia="zh-CN"/>
            </w:rPr>
            <w:t>安全生产责任制</w:t>
          </w:r>
          <w:r>
            <w:tab/>
          </w:r>
          <w:r>
            <w:fldChar w:fldCharType="begin"/>
          </w:r>
          <w:r>
            <w:instrText xml:space="preserve"> PAGEREF _Toc14146 \h </w:instrText>
          </w:r>
          <w:r>
            <w:fldChar w:fldCharType="separate"/>
          </w:r>
          <w:r>
            <w:t>42</w:t>
          </w:r>
          <w:r>
            <w:fldChar w:fldCharType="end"/>
          </w:r>
          <w:r>
            <w:rPr>
              <w:rFonts w:hint="eastAsia" w:ascii="宋体" w:hAnsi="宋体" w:eastAsia="宋体" w:cs="宋体"/>
              <w:szCs w:val="22"/>
            </w:rPr>
            <w:fldChar w:fldCharType="end"/>
          </w:r>
        </w:p>
        <w:p w14:paraId="519C2CCE">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_Toc23237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2.12.5 </w:t>
          </w:r>
          <w:r>
            <w:rPr>
              <w:lang w:val="en-US" w:eastAsia="zh-CN"/>
            </w:rPr>
            <w:t>人员培训</w:t>
          </w:r>
          <w:r>
            <w:tab/>
          </w:r>
          <w:r>
            <w:fldChar w:fldCharType="begin"/>
          </w:r>
          <w:r>
            <w:instrText xml:space="preserve"> PAGEREF _Toc23237 \h </w:instrText>
          </w:r>
          <w:r>
            <w:fldChar w:fldCharType="separate"/>
          </w:r>
          <w:r>
            <w:t>42</w:t>
          </w:r>
          <w:r>
            <w:fldChar w:fldCharType="end"/>
          </w:r>
          <w:r>
            <w:rPr>
              <w:rFonts w:hint="eastAsia" w:ascii="宋体" w:hAnsi="宋体" w:eastAsia="宋体" w:cs="宋体"/>
              <w:szCs w:val="22"/>
            </w:rPr>
            <w:fldChar w:fldCharType="end"/>
          </w:r>
        </w:p>
        <w:p w14:paraId="6F928F51">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_Toc18173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2.12.6 </w:t>
          </w:r>
          <w:r>
            <w:rPr>
              <w:lang w:val="en-US" w:eastAsia="zh-CN"/>
            </w:rPr>
            <w:t>安全生产管理制度</w:t>
          </w:r>
          <w:r>
            <w:tab/>
          </w:r>
          <w:r>
            <w:fldChar w:fldCharType="begin"/>
          </w:r>
          <w:r>
            <w:instrText xml:space="preserve"> PAGEREF _Toc18173 \h </w:instrText>
          </w:r>
          <w:r>
            <w:fldChar w:fldCharType="separate"/>
          </w:r>
          <w:r>
            <w:t>42</w:t>
          </w:r>
          <w:r>
            <w:fldChar w:fldCharType="end"/>
          </w:r>
          <w:r>
            <w:rPr>
              <w:rFonts w:hint="eastAsia" w:ascii="宋体" w:hAnsi="宋体" w:eastAsia="宋体" w:cs="宋体"/>
              <w:szCs w:val="22"/>
            </w:rPr>
            <w:fldChar w:fldCharType="end"/>
          </w:r>
        </w:p>
        <w:p w14:paraId="42D97BB3">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_Toc194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2.12.7 </w:t>
          </w:r>
          <w:r>
            <w:rPr>
              <w:lang w:val="en-US" w:eastAsia="zh-CN"/>
            </w:rPr>
            <w:t>应急</w:t>
          </w:r>
          <w:r>
            <w:rPr>
              <w:rFonts w:hint="eastAsia"/>
              <w:lang w:val="en-US" w:eastAsia="zh-CN"/>
            </w:rPr>
            <w:t>管理</w:t>
          </w:r>
          <w:r>
            <w:tab/>
          </w:r>
          <w:r>
            <w:fldChar w:fldCharType="begin"/>
          </w:r>
          <w:r>
            <w:instrText xml:space="preserve"> PAGEREF _Toc194 \h </w:instrText>
          </w:r>
          <w:r>
            <w:fldChar w:fldCharType="separate"/>
          </w:r>
          <w:r>
            <w:t>43</w:t>
          </w:r>
          <w:r>
            <w:fldChar w:fldCharType="end"/>
          </w:r>
          <w:r>
            <w:rPr>
              <w:rFonts w:hint="eastAsia" w:ascii="宋体" w:hAnsi="宋体" w:eastAsia="宋体" w:cs="宋体"/>
              <w:szCs w:val="22"/>
            </w:rPr>
            <w:fldChar w:fldCharType="end"/>
          </w:r>
        </w:p>
        <w:p w14:paraId="0D8DFE11">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_Toc4122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2.12.8 </w:t>
          </w:r>
          <w:r>
            <w:rPr>
              <w:lang w:val="en-US" w:eastAsia="zh-CN"/>
            </w:rPr>
            <w:t>工伤保险与劳动防护</w:t>
          </w:r>
          <w:r>
            <w:tab/>
          </w:r>
          <w:r>
            <w:fldChar w:fldCharType="begin"/>
          </w:r>
          <w:r>
            <w:instrText xml:space="preserve"> PAGEREF _Toc4122 \h </w:instrText>
          </w:r>
          <w:r>
            <w:fldChar w:fldCharType="separate"/>
          </w:r>
          <w:r>
            <w:t>44</w:t>
          </w:r>
          <w:r>
            <w:fldChar w:fldCharType="end"/>
          </w:r>
          <w:r>
            <w:rPr>
              <w:rFonts w:hint="eastAsia" w:ascii="宋体" w:hAnsi="宋体" w:eastAsia="宋体" w:cs="宋体"/>
              <w:szCs w:val="22"/>
            </w:rPr>
            <w:fldChar w:fldCharType="end"/>
          </w:r>
        </w:p>
        <w:p w14:paraId="59473808">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_Toc17482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2.12.9 </w:t>
          </w:r>
          <w:r>
            <w:rPr>
              <w:rFonts w:hint="eastAsia"/>
              <w:lang w:val="en-US" w:eastAsia="zh-CN"/>
            </w:rPr>
            <w:t>安全投入</w:t>
          </w:r>
          <w:r>
            <w:tab/>
          </w:r>
          <w:r>
            <w:fldChar w:fldCharType="begin"/>
          </w:r>
          <w:r>
            <w:instrText xml:space="preserve"> PAGEREF _Toc17482 \h </w:instrText>
          </w:r>
          <w:r>
            <w:fldChar w:fldCharType="separate"/>
          </w:r>
          <w:r>
            <w:t>44</w:t>
          </w:r>
          <w:r>
            <w:fldChar w:fldCharType="end"/>
          </w:r>
          <w:r>
            <w:rPr>
              <w:rFonts w:hint="eastAsia" w:ascii="宋体" w:hAnsi="宋体" w:eastAsia="宋体" w:cs="宋体"/>
              <w:szCs w:val="22"/>
            </w:rPr>
            <w:fldChar w:fldCharType="end"/>
          </w:r>
        </w:p>
        <w:p w14:paraId="0A930FFA">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_Toc30851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2.13 </w:t>
          </w:r>
          <w:r>
            <w:rPr>
              <w:rFonts w:hint="eastAsia"/>
              <w:lang w:val="en-US" w:eastAsia="zh-CN"/>
            </w:rPr>
            <w:t>设计变更</w:t>
          </w:r>
          <w:r>
            <w:tab/>
          </w:r>
          <w:r>
            <w:fldChar w:fldCharType="begin"/>
          </w:r>
          <w:r>
            <w:instrText xml:space="preserve"> PAGEREF _Toc30851 \h </w:instrText>
          </w:r>
          <w:r>
            <w:fldChar w:fldCharType="separate"/>
          </w:r>
          <w:r>
            <w:t>45</w:t>
          </w:r>
          <w:r>
            <w:fldChar w:fldCharType="end"/>
          </w:r>
          <w:r>
            <w:rPr>
              <w:rFonts w:hint="eastAsia" w:ascii="宋体" w:hAnsi="宋体" w:eastAsia="宋体" w:cs="宋体"/>
              <w:szCs w:val="22"/>
            </w:rPr>
            <w:fldChar w:fldCharType="end"/>
          </w:r>
        </w:p>
        <w:p w14:paraId="4E8A8CCC">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_Toc17192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2.14 </w:t>
          </w:r>
          <w:r>
            <w:rPr>
              <w:rFonts w:hint="eastAsia"/>
              <w:lang w:val="en-US" w:eastAsia="zh-CN"/>
            </w:rPr>
            <w:t>施工、监理单位资质</w:t>
          </w:r>
          <w:r>
            <w:tab/>
          </w:r>
          <w:r>
            <w:fldChar w:fldCharType="begin"/>
          </w:r>
          <w:r>
            <w:instrText xml:space="preserve"> PAGEREF _Toc17192 \h </w:instrText>
          </w:r>
          <w:r>
            <w:fldChar w:fldCharType="separate"/>
          </w:r>
          <w:r>
            <w:t>45</w:t>
          </w:r>
          <w:r>
            <w:fldChar w:fldCharType="end"/>
          </w:r>
          <w:r>
            <w:rPr>
              <w:rFonts w:hint="eastAsia" w:ascii="宋体" w:hAnsi="宋体" w:eastAsia="宋体" w:cs="宋体"/>
              <w:szCs w:val="22"/>
            </w:rPr>
            <w:fldChar w:fldCharType="end"/>
          </w:r>
        </w:p>
        <w:p w14:paraId="606D2D16">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_Toc24635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2.15 </w:t>
          </w:r>
          <w:r>
            <w:rPr>
              <w:rFonts w:hint="eastAsia"/>
              <w:lang w:val="en-US" w:eastAsia="zh-CN"/>
            </w:rPr>
            <w:t>项目试生产情况</w:t>
          </w:r>
          <w:r>
            <w:tab/>
          </w:r>
          <w:r>
            <w:fldChar w:fldCharType="begin"/>
          </w:r>
          <w:r>
            <w:instrText xml:space="preserve"> PAGEREF _Toc24635 \h </w:instrText>
          </w:r>
          <w:r>
            <w:fldChar w:fldCharType="separate"/>
          </w:r>
          <w:r>
            <w:t>46</w:t>
          </w:r>
          <w:r>
            <w:fldChar w:fldCharType="end"/>
          </w:r>
          <w:r>
            <w:rPr>
              <w:rFonts w:hint="eastAsia" w:ascii="宋体" w:hAnsi="宋体" w:eastAsia="宋体" w:cs="宋体"/>
              <w:szCs w:val="22"/>
            </w:rPr>
            <w:fldChar w:fldCharType="end"/>
          </w:r>
        </w:p>
        <w:p w14:paraId="7CE3A4D0">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_Toc14641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2.15.1 </w:t>
          </w:r>
          <w:r>
            <w:rPr>
              <w:rFonts w:hint="eastAsia"/>
              <w:lang w:val="en-US" w:eastAsia="zh-CN"/>
            </w:rPr>
            <w:t>试运行前准备</w:t>
          </w:r>
          <w:r>
            <w:tab/>
          </w:r>
          <w:r>
            <w:fldChar w:fldCharType="begin"/>
          </w:r>
          <w:r>
            <w:instrText xml:space="preserve"> PAGEREF _Toc14641 \h </w:instrText>
          </w:r>
          <w:r>
            <w:fldChar w:fldCharType="separate"/>
          </w:r>
          <w:r>
            <w:t>46</w:t>
          </w:r>
          <w:r>
            <w:fldChar w:fldCharType="end"/>
          </w:r>
          <w:r>
            <w:rPr>
              <w:rFonts w:hint="eastAsia" w:ascii="宋体" w:hAnsi="宋体" w:eastAsia="宋体" w:cs="宋体"/>
              <w:szCs w:val="22"/>
            </w:rPr>
            <w:fldChar w:fldCharType="end"/>
          </w:r>
        </w:p>
        <w:p w14:paraId="37E54C5C">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_Toc26671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2.15.2 </w:t>
          </w:r>
          <w:r>
            <w:rPr>
              <w:rFonts w:hint="eastAsia"/>
              <w:lang w:val="en-US" w:eastAsia="zh-CN"/>
            </w:rPr>
            <w:t>试运行情况</w:t>
          </w:r>
          <w:r>
            <w:tab/>
          </w:r>
          <w:r>
            <w:fldChar w:fldCharType="begin"/>
          </w:r>
          <w:r>
            <w:instrText xml:space="preserve"> PAGEREF _Toc26671 \h </w:instrText>
          </w:r>
          <w:r>
            <w:fldChar w:fldCharType="separate"/>
          </w:r>
          <w:r>
            <w:t>46</w:t>
          </w:r>
          <w:r>
            <w:fldChar w:fldCharType="end"/>
          </w:r>
          <w:r>
            <w:rPr>
              <w:rFonts w:hint="eastAsia" w:ascii="宋体" w:hAnsi="宋体" w:eastAsia="宋体" w:cs="宋体"/>
              <w:szCs w:val="22"/>
            </w:rPr>
            <w:fldChar w:fldCharType="end"/>
          </w:r>
        </w:p>
        <w:p w14:paraId="5B55685A">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_Toc3653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2.15.3 </w:t>
          </w:r>
          <w:r>
            <w:rPr>
              <w:rFonts w:hint="eastAsia"/>
              <w:lang w:val="en-US" w:eastAsia="zh-CN"/>
            </w:rPr>
            <w:t>试运行结论</w:t>
          </w:r>
          <w:r>
            <w:tab/>
          </w:r>
          <w:r>
            <w:fldChar w:fldCharType="begin"/>
          </w:r>
          <w:r>
            <w:instrText xml:space="preserve"> PAGEREF _Toc3653 \h </w:instrText>
          </w:r>
          <w:r>
            <w:fldChar w:fldCharType="separate"/>
          </w:r>
          <w:r>
            <w:t>47</w:t>
          </w:r>
          <w:r>
            <w:fldChar w:fldCharType="end"/>
          </w:r>
          <w:r>
            <w:rPr>
              <w:rFonts w:hint="eastAsia" w:ascii="宋体" w:hAnsi="宋体" w:eastAsia="宋体" w:cs="宋体"/>
              <w:szCs w:val="22"/>
            </w:rPr>
            <w:fldChar w:fldCharType="end"/>
          </w:r>
        </w:p>
        <w:p w14:paraId="2D8FA204">
          <w:pPr>
            <w:pStyle w:val="22"/>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_Toc8391 </w:instrText>
          </w:r>
          <w:r>
            <w:rPr>
              <w:rFonts w:hint="eastAsia" w:ascii="宋体" w:hAnsi="宋体" w:eastAsia="宋体" w:cs="宋体"/>
              <w:szCs w:val="22"/>
            </w:rPr>
            <w:fldChar w:fldCharType="separate"/>
          </w:r>
          <w:r>
            <w:rPr>
              <w:rFonts w:hint="default" w:ascii="黑体" w:hAnsi="黑体" w:eastAsia="黑体" w:cs="黑体"/>
              <w:bCs/>
              <w:szCs w:val="36"/>
            </w:rPr>
            <w:t xml:space="preserve">第3章 </w:t>
          </w:r>
          <w:r>
            <w:rPr>
              <w:rFonts w:hint="eastAsia"/>
            </w:rPr>
            <w:t>危险有害因素辨识与分析</w:t>
          </w:r>
          <w:r>
            <w:tab/>
          </w:r>
          <w:r>
            <w:fldChar w:fldCharType="begin"/>
          </w:r>
          <w:r>
            <w:instrText xml:space="preserve"> PAGEREF _Toc8391 \h </w:instrText>
          </w:r>
          <w:r>
            <w:fldChar w:fldCharType="separate"/>
          </w:r>
          <w:r>
            <w:t>48</w:t>
          </w:r>
          <w:r>
            <w:fldChar w:fldCharType="end"/>
          </w:r>
          <w:r>
            <w:rPr>
              <w:rFonts w:hint="eastAsia" w:ascii="宋体" w:hAnsi="宋体" w:eastAsia="宋体" w:cs="宋体"/>
              <w:szCs w:val="22"/>
            </w:rPr>
            <w:fldChar w:fldCharType="end"/>
          </w:r>
        </w:p>
        <w:p w14:paraId="7B2EBDD5">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_Toc16677 </w:instrText>
          </w:r>
          <w:r>
            <w:rPr>
              <w:rFonts w:hint="eastAsia" w:ascii="宋体" w:hAnsi="宋体" w:eastAsia="宋体" w:cs="宋体"/>
              <w:szCs w:val="22"/>
            </w:rPr>
            <w:fldChar w:fldCharType="separate"/>
          </w:r>
          <w:r>
            <w:rPr>
              <w:rFonts w:hint="default" w:ascii="黑体" w:hAnsi="黑体" w:eastAsia="黑体" w:cs="黑体"/>
              <w:bCs w:val="0"/>
              <w:szCs w:val="32"/>
            </w:rPr>
            <w:t xml:space="preserve">3.1 </w:t>
          </w:r>
          <w:r>
            <w:rPr>
              <w:rFonts w:hint="eastAsia"/>
            </w:rPr>
            <w:t>危险有害因素分类依据</w:t>
          </w:r>
          <w:r>
            <w:tab/>
          </w:r>
          <w:r>
            <w:fldChar w:fldCharType="begin"/>
          </w:r>
          <w:r>
            <w:instrText xml:space="preserve"> PAGEREF _Toc16677 \h </w:instrText>
          </w:r>
          <w:r>
            <w:fldChar w:fldCharType="separate"/>
          </w:r>
          <w:r>
            <w:t>48</w:t>
          </w:r>
          <w:r>
            <w:fldChar w:fldCharType="end"/>
          </w:r>
          <w:r>
            <w:rPr>
              <w:rFonts w:hint="eastAsia" w:ascii="宋体" w:hAnsi="宋体" w:eastAsia="宋体" w:cs="宋体"/>
              <w:szCs w:val="22"/>
            </w:rPr>
            <w:fldChar w:fldCharType="end"/>
          </w:r>
        </w:p>
        <w:p w14:paraId="4D50DA6E">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_Toc26060 </w:instrText>
          </w:r>
          <w:r>
            <w:rPr>
              <w:rFonts w:hint="eastAsia" w:ascii="宋体" w:hAnsi="宋体" w:eastAsia="宋体" w:cs="宋体"/>
              <w:szCs w:val="22"/>
            </w:rPr>
            <w:fldChar w:fldCharType="separate"/>
          </w:r>
          <w:r>
            <w:rPr>
              <w:rFonts w:hint="default" w:ascii="黑体" w:hAnsi="黑体" w:eastAsia="黑体" w:cs="黑体"/>
              <w:bCs w:val="0"/>
              <w:szCs w:val="32"/>
            </w:rPr>
            <w:t xml:space="preserve">3.2 </w:t>
          </w:r>
          <w:r>
            <w:rPr>
              <w:rFonts w:hint="eastAsia"/>
            </w:rPr>
            <w:t>主要物料危险有害因素辨识与分析</w:t>
          </w:r>
          <w:r>
            <w:tab/>
          </w:r>
          <w:r>
            <w:fldChar w:fldCharType="begin"/>
          </w:r>
          <w:r>
            <w:instrText xml:space="preserve"> PAGEREF _Toc26060 \h </w:instrText>
          </w:r>
          <w:r>
            <w:fldChar w:fldCharType="separate"/>
          </w:r>
          <w:r>
            <w:t>49</w:t>
          </w:r>
          <w:r>
            <w:fldChar w:fldCharType="end"/>
          </w:r>
          <w:r>
            <w:rPr>
              <w:rFonts w:hint="eastAsia" w:ascii="宋体" w:hAnsi="宋体" w:eastAsia="宋体" w:cs="宋体"/>
              <w:szCs w:val="22"/>
            </w:rPr>
            <w:fldChar w:fldCharType="end"/>
          </w:r>
        </w:p>
        <w:p w14:paraId="557BA9CC">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_Toc32320 </w:instrText>
          </w:r>
          <w:r>
            <w:rPr>
              <w:rFonts w:hint="eastAsia" w:ascii="宋体" w:hAnsi="宋体" w:eastAsia="宋体" w:cs="宋体"/>
              <w:szCs w:val="22"/>
            </w:rPr>
            <w:fldChar w:fldCharType="separate"/>
          </w:r>
          <w:r>
            <w:rPr>
              <w:rFonts w:hint="default" w:ascii="宋体" w:hAnsi="宋体" w:cs="宋体"/>
              <w:bCs/>
              <w:szCs w:val="32"/>
            </w:rPr>
            <w:t xml:space="preserve">3.2.1 </w:t>
          </w:r>
          <w:r>
            <w:rPr>
              <w:rFonts w:hint="eastAsia"/>
            </w:rPr>
            <w:t>主要危险、有害物质辨识</w:t>
          </w:r>
          <w:r>
            <w:tab/>
          </w:r>
          <w:r>
            <w:fldChar w:fldCharType="begin"/>
          </w:r>
          <w:r>
            <w:instrText xml:space="preserve"> PAGEREF _Toc32320 \h </w:instrText>
          </w:r>
          <w:r>
            <w:fldChar w:fldCharType="separate"/>
          </w:r>
          <w:r>
            <w:t>49</w:t>
          </w:r>
          <w:r>
            <w:fldChar w:fldCharType="end"/>
          </w:r>
          <w:r>
            <w:rPr>
              <w:rFonts w:hint="eastAsia" w:ascii="宋体" w:hAnsi="宋体" w:eastAsia="宋体" w:cs="宋体"/>
              <w:szCs w:val="22"/>
            </w:rPr>
            <w:fldChar w:fldCharType="end"/>
          </w:r>
        </w:p>
        <w:p w14:paraId="022FE73C">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_Toc6808 </w:instrText>
          </w:r>
          <w:r>
            <w:rPr>
              <w:rFonts w:hint="eastAsia" w:ascii="宋体" w:hAnsi="宋体" w:eastAsia="宋体" w:cs="宋体"/>
              <w:szCs w:val="22"/>
            </w:rPr>
            <w:fldChar w:fldCharType="separate"/>
          </w:r>
          <w:r>
            <w:rPr>
              <w:rFonts w:hint="default" w:ascii="宋体" w:hAnsi="宋体" w:cs="宋体"/>
              <w:bCs/>
              <w:szCs w:val="32"/>
            </w:rPr>
            <w:t xml:space="preserve">3.2.2 </w:t>
          </w:r>
          <w:r>
            <w:rPr>
              <w:rFonts w:hint="eastAsia"/>
            </w:rPr>
            <w:t>危险化学品辨识</w:t>
          </w:r>
          <w:r>
            <w:tab/>
          </w:r>
          <w:r>
            <w:fldChar w:fldCharType="begin"/>
          </w:r>
          <w:r>
            <w:instrText xml:space="preserve"> PAGEREF _Toc6808 \h </w:instrText>
          </w:r>
          <w:r>
            <w:fldChar w:fldCharType="separate"/>
          </w:r>
          <w:r>
            <w:t>51</w:t>
          </w:r>
          <w:r>
            <w:fldChar w:fldCharType="end"/>
          </w:r>
          <w:r>
            <w:rPr>
              <w:rFonts w:hint="eastAsia" w:ascii="宋体" w:hAnsi="宋体" w:eastAsia="宋体" w:cs="宋体"/>
              <w:szCs w:val="22"/>
            </w:rPr>
            <w:fldChar w:fldCharType="end"/>
          </w:r>
        </w:p>
        <w:p w14:paraId="20C6316C">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_Toc27046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3.2.3 </w:t>
          </w:r>
          <w:r>
            <w:rPr>
              <w:rFonts w:hint="eastAsia"/>
              <w:lang w:val="en-US" w:eastAsia="zh-CN"/>
            </w:rPr>
            <w:t>重点监管的危险化学品辨识</w:t>
          </w:r>
          <w:r>
            <w:tab/>
          </w:r>
          <w:r>
            <w:fldChar w:fldCharType="begin"/>
          </w:r>
          <w:r>
            <w:instrText xml:space="preserve"> PAGEREF _Toc27046 \h </w:instrText>
          </w:r>
          <w:r>
            <w:fldChar w:fldCharType="separate"/>
          </w:r>
          <w:r>
            <w:t>57</w:t>
          </w:r>
          <w:r>
            <w:fldChar w:fldCharType="end"/>
          </w:r>
          <w:r>
            <w:rPr>
              <w:rFonts w:hint="eastAsia" w:ascii="宋体" w:hAnsi="宋体" w:eastAsia="宋体" w:cs="宋体"/>
              <w:szCs w:val="22"/>
            </w:rPr>
            <w:fldChar w:fldCharType="end"/>
          </w:r>
        </w:p>
        <w:p w14:paraId="6BEF0E6F">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_Toc20653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3.2.4 </w:t>
          </w:r>
          <w:r>
            <w:rPr>
              <w:rFonts w:hint="eastAsia"/>
              <w:lang w:val="en-US" w:eastAsia="zh-CN"/>
            </w:rPr>
            <w:t>制毒化学品辨识</w:t>
          </w:r>
          <w:r>
            <w:tab/>
          </w:r>
          <w:r>
            <w:fldChar w:fldCharType="begin"/>
          </w:r>
          <w:r>
            <w:instrText xml:space="preserve"> PAGEREF _Toc20653 \h </w:instrText>
          </w:r>
          <w:r>
            <w:fldChar w:fldCharType="separate"/>
          </w:r>
          <w:r>
            <w:t>57</w:t>
          </w:r>
          <w:r>
            <w:fldChar w:fldCharType="end"/>
          </w:r>
          <w:r>
            <w:rPr>
              <w:rFonts w:hint="eastAsia" w:ascii="宋体" w:hAnsi="宋体" w:eastAsia="宋体" w:cs="宋体"/>
              <w:szCs w:val="22"/>
            </w:rPr>
            <w:fldChar w:fldCharType="end"/>
          </w:r>
        </w:p>
        <w:p w14:paraId="53CA7C7C">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_Toc7607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3.2.5 </w:t>
          </w:r>
          <w:r>
            <w:rPr>
              <w:rFonts w:hint="default"/>
              <w:lang w:val="en-US" w:eastAsia="zh-CN"/>
            </w:rPr>
            <w:t>剧毒化学品辨识</w:t>
          </w:r>
          <w:r>
            <w:tab/>
          </w:r>
          <w:r>
            <w:fldChar w:fldCharType="begin"/>
          </w:r>
          <w:r>
            <w:instrText xml:space="preserve"> PAGEREF _Toc7607 \h </w:instrText>
          </w:r>
          <w:r>
            <w:fldChar w:fldCharType="separate"/>
          </w:r>
          <w:r>
            <w:t>57</w:t>
          </w:r>
          <w:r>
            <w:fldChar w:fldCharType="end"/>
          </w:r>
          <w:r>
            <w:rPr>
              <w:rFonts w:hint="eastAsia" w:ascii="宋体" w:hAnsi="宋体" w:eastAsia="宋体" w:cs="宋体"/>
              <w:szCs w:val="22"/>
            </w:rPr>
            <w:fldChar w:fldCharType="end"/>
          </w:r>
        </w:p>
        <w:p w14:paraId="54675AA4">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_Toc29735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3.2.6 </w:t>
          </w:r>
          <w:r>
            <w:rPr>
              <w:rFonts w:hint="default"/>
              <w:lang w:val="en-US" w:eastAsia="zh-CN"/>
            </w:rPr>
            <w:t>易制爆化学品辨识</w:t>
          </w:r>
          <w:r>
            <w:tab/>
          </w:r>
          <w:r>
            <w:fldChar w:fldCharType="begin"/>
          </w:r>
          <w:r>
            <w:instrText xml:space="preserve"> PAGEREF _Toc29735 \h </w:instrText>
          </w:r>
          <w:r>
            <w:fldChar w:fldCharType="separate"/>
          </w:r>
          <w:r>
            <w:t>57</w:t>
          </w:r>
          <w:r>
            <w:fldChar w:fldCharType="end"/>
          </w:r>
          <w:r>
            <w:rPr>
              <w:rFonts w:hint="eastAsia" w:ascii="宋体" w:hAnsi="宋体" w:eastAsia="宋体" w:cs="宋体"/>
              <w:szCs w:val="22"/>
            </w:rPr>
            <w:fldChar w:fldCharType="end"/>
          </w:r>
        </w:p>
        <w:p w14:paraId="310C996D">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_Toc11355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3.2.7 </w:t>
          </w:r>
          <w:r>
            <w:rPr>
              <w:rFonts w:hint="eastAsia"/>
              <w:lang w:val="en-US" w:eastAsia="zh-CN"/>
            </w:rPr>
            <w:t>监控化学品辨识</w:t>
          </w:r>
          <w:r>
            <w:tab/>
          </w:r>
          <w:r>
            <w:fldChar w:fldCharType="begin"/>
          </w:r>
          <w:r>
            <w:instrText xml:space="preserve"> PAGEREF _Toc11355 \h </w:instrText>
          </w:r>
          <w:r>
            <w:fldChar w:fldCharType="separate"/>
          </w:r>
          <w:r>
            <w:t>57</w:t>
          </w:r>
          <w:r>
            <w:fldChar w:fldCharType="end"/>
          </w:r>
          <w:r>
            <w:rPr>
              <w:rFonts w:hint="eastAsia" w:ascii="宋体" w:hAnsi="宋体" w:eastAsia="宋体" w:cs="宋体"/>
              <w:szCs w:val="22"/>
            </w:rPr>
            <w:fldChar w:fldCharType="end"/>
          </w:r>
        </w:p>
        <w:p w14:paraId="648A1866">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_Toc13481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3.2.8 </w:t>
          </w:r>
          <w:r>
            <w:rPr>
              <w:lang w:val="en-US" w:eastAsia="zh-CN"/>
            </w:rPr>
            <w:t>危险化学品重大危险源</w:t>
          </w:r>
          <w:r>
            <w:rPr>
              <w:rFonts w:hint="eastAsia"/>
              <w:lang w:val="en-US" w:eastAsia="zh-CN"/>
            </w:rPr>
            <w:t>辨识</w:t>
          </w:r>
          <w:r>
            <w:tab/>
          </w:r>
          <w:r>
            <w:fldChar w:fldCharType="begin"/>
          </w:r>
          <w:r>
            <w:instrText xml:space="preserve"> PAGEREF _Toc13481 \h </w:instrText>
          </w:r>
          <w:r>
            <w:fldChar w:fldCharType="separate"/>
          </w:r>
          <w:r>
            <w:t>57</w:t>
          </w:r>
          <w:r>
            <w:fldChar w:fldCharType="end"/>
          </w:r>
          <w:r>
            <w:rPr>
              <w:rFonts w:hint="eastAsia" w:ascii="宋体" w:hAnsi="宋体" w:eastAsia="宋体" w:cs="宋体"/>
              <w:szCs w:val="22"/>
            </w:rPr>
            <w:fldChar w:fldCharType="end"/>
          </w:r>
        </w:p>
        <w:p w14:paraId="02ED02AC">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_Toc7858 </w:instrText>
          </w:r>
          <w:r>
            <w:rPr>
              <w:rFonts w:hint="eastAsia" w:ascii="宋体" w:hAnsi="宋体" w:eastAsia="宋体" w:cs="宋体"/>
              <w:szCs w:val="22"/>
            </w:rPr>
            <w:fldChar w:fldCharType="separate"/>
          </w:r>
          <w:r>
            <w:rPr>
              <w:rFonts w:hint="default" w:ascii="黑体" w:hAnsi="黑体" w:eastAsia="黑体" w:cs="黑体"/>
              <w:bCs w:val="0"/>
              <w:szCs w:val="32"/>
            </w:rPr>
            <w:t xml:space="preserve">3.3 </w:t>
          </w:r>
          <w:r>
            <w:rPr>
              <w:rFonts w:hint="eastAsia"/>
              <w:lang w:val="en-US" w:eastAsia="zh-CN"/>
            </w:rPr>
            <w:t>项目固有</w:t>
          </w:r>
          <w:r>
            <w:rPr>
              <w:rFonts w:hint="eastAsia"/>
            </w:rPr>
            <w:t>危险有害因素辨识与分析</w:t>
          </w:r>
          <w:r>
            <w:tab/>
          </w:r>
          <w:r>
            <w:fldChar w:fldCharType="begin"/>
          </w:r>
          <w:r>
            <w:instrText xml:space="preserve"> PAGEREF _Toc7858 \h </w:instrText>
          </w:r>
          <w:r>
            <w:fldChar w:fldCharType="separate"/>
          </w:r>
          <w:r>
            <w:t>59</w:t>
          </w:r>
          <w:r>
            <w:fldChar w:fldCharType="end"/>
          </w:r>
          <w:r>
            <w:rPr>
              <w:rFonts w:hint="eastAsia" w:ascii="宋体" w:hAnsi="宋体" w:eastAsia="宋体" w:cs="宋体"/>
              <w:szCs w:val="22"/>
            </w:rPr>
            <w:fldChar w:fldCharType="end"/>
          </w:r>
        </w:p>
        <w:p w14:paraId="6A5A28A7">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_Toc22188 </w:instrText>
          </w:r>
          <w:r>
            <w:rPr>
              <w:rFonts w:hint="eastAsia" w:ascii="宋体" w:hAnsi="宋体" w:eastAsia="宋体" w:cs="宋体"/>
              <w:szCs w:val="22"/>
            </w:rPr>
            <w:fldChar w:fldCharType="separate"/>
          </w:r>
          <w:r>
            <w:rPr>
              <w:rFonts w:hint="default" w:ascii="宋体" w:hAnsi="宋体" w:cs="宋体"/>
              <w:bCs/>
              <w:szCs w:val="32"/>
            </w:rPr>
            <w:t xml:space="preserve">3.3.1 </w:t>
          </w:r>
          <w:r>
            <w:rPr>
              <w:rFonts w:hint="eastAsia"/>
            </w:rPr>
            <w:t>物体打击</w:t>
          </w:r>
          <w:r>
            <w:tab/>
          </w:r>
          <w:r>
            <w:fldChar w:fldCharType="begin"/>
          </w:r>
          <w:r>
            <w:instrText xml:space="preserve"> PAGEREF _Toc22188 \h </w:instrText>
          </w:r>
          <w:r>
            <w:fldChar w:fldCharType="separate"/>
          </w:r>
          <w:r>
            <w:t>60</w:t>
          </w:r>
          <w:r>
            <w:fldChar w:fldCharType="end"/>
          </w:r>
          <w:r>
            <w:rPr>
              <w:rFonts w:hint="eastAsia" w:ascii="宋体" w:hAnsi="宋体" w:eastAsia="宋体" w:cs="宋体"/>
              <w:szCs w:val="22"/>
            </w:rPr>
            <w:fldChar w:fldCharType="end"/>
          </w:r>
        </w:p>
        <w:p w14:paraId="009506DF">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_Toc4009 </w:instrText>
          </w:r>
          <w:r>
            <w:rPr>
              <w:rFonts w:hint="eastAsia" w:ascii="宋体" w:hAnsi="宋体" w:eastAsia="宋体" w:cs="宋体"/>
              <w:szCs w:val="22"/>
            </w:rPr>
            <w:fldChar w:fldCharType="separate"/>
          </w:r>
          <w:r>
            <w:rPr>
              <w:rFonts w:hint="default" w:ascii="宋体" w:hAnsi="宋体" w:cs="宋体"/>
              <w:bCs/>
              <w:szCs w:val="32"/>
            </w:rPr>
            <w:t xml:space="preserve">3.3.2 </w:t>
          </w:r>
          <w:r>
            <w:rPr>
              <w:rFonts w:hint="eastAsia"/>
            </w:rPr>
            <w:t>车辆伤害</w:t>
          </w:r>
          <w:r>
            <w:tab/>
          </w:r>
          <w:r>
            <w:fldChar w:fldCharType="begin"/>
          </w:r>
          <w:r>
            <w:instrText xml:space="preserve"> PAGEREF _Toc4009 \h </w:instrText>
          </w:r>
          <w:r>
            <w:fldChar w:fldCharType="separate"/>
          </w:r>
          <w:r>
            <w:t>60</w:t>
          </w:r>
          <w:r>
            <w:fldChar w:fldCharType="end"/>
          </w:r>
          <w:r>
            <w:rPr>
              <w:rFonts w:hint="eastAsia" w:ascii="宋体" w:hAnsi="宋体" w:eastAsia="宋体" w:cs="宋体"/>
              <w:szCs w:val="22"/>
            </w:rPr>
            <w:fldChar w:fldCharType="end"/>
          </w:r>
        </w:p>
        <w:p w14:paraId="7A18C758">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_Toc14435 </w:instrText>
          </w:r>
          <w:r>
            <w:rPr>
              <w:rFonts w:hint="eastAsia" w:ascii="宋体" w:hAnsi="宋体" w:eastAsia="宋体" w:cs="宋体"/>
              <w:szCs w:val="22"/>
            </w:rPr>
            <w:fldChar w:fldCharType="separate"/>
          </w:r>
          <w:r>
            <w:rPr>
              <w:rFonts w:hint="default" w:ascii="宋体" w:hAnsi="宋体" w:cs="宋体"/>
              <w:bCs/>
              <w:szCs w:val="32"/>
            </w:rPr>
            <w:t xml:space="preserve">3.3.3 </w:t>
          </w:r>
          <w:r>
            <w:rPr>
              <w:rFonts w:hint="eastAsia"/>
            </w:rPr>
            <w:t>机械伤害</w:t>
          </w:r>
          <w:r>
            <w:tab/>
          </w:r>
          <w:r>
            <w:fldChar w:fldCharType="begin"/>
          </w:r>
          <w:r>
            <w:instrText xml:space="preserve"> PAGEREF _Toc14435 \h </w:instrText>
          </w:r>
          <w:r>
            <w:fldChar w:fldCharType="separate"/>
          </w:r>
          <w:r>
            <w:t>61</w:t>
          </w:r>
          <w:r>
            <w:fldChar w:fldCharType="end"/>
          </w:r>
          <w:r>
            <w:rPr>
              <w:rFonts w:hint="eastAsia" w:ascii="宋体" w:hAnsi="宋体" w:eastAsia="宋体" w:cs="宋体"/>
              <w:szCs w:val="22"/>
            </w:rPr>
            <w:fldChar w:fldCharType="end"/>
          </w:r>
        </w:p>
        <w:p w14:paraId="5B5D3704">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_Toc8150 </w:instrText>
          </w:r>
          <w:r>
            <w:rPr>
              <w:rFonts w:hint="eastAsia" w:ascii="宋体" w:hAnsi="宋体" w:eastAsia="宋体" w:cs="宋体"/>
              <w:szCs w:val="22"/>
            </w:rPr>
            <w:fldChar w:fldCharType="separate"/>
          </w:r>
          <w:r>
            <w:rPr>
              <w:rFonts w:hint="default" w:ascii="宋体" w:hAnsi="宋体" w:cs="宋体"/>
              <w:bCs/>
              <w:szCs w:val="32"/>
            </w:rPr>
            <w:t xml:space="preserve">3.3.4 </w:t>
          </w:r>
          <w:r>
            <w:rPr>
              <w:rFonts w:hint="eastAsia"/>
              <w:lang w:val="en-US" w:eastAsia="zh-CN"/>
            </w:rPr>
            <w:t>起重伤害</w:t>
          </w:r>
          <w:r>
            <w:tab/>
          </w:r>
          <w:r>
            <w:fldChar w:fldCharType="begin"/>
          </w:r>
          <w:r>
            <w:instrText xml:space="preserve"> PAGEREF _Toc8150 \h </w:instrText>
          </w:r>
          <w:r>
            <w:fldChar w:fldCharType="separate"/>
          </w:r>
          <w:r>
            <w:t>61</w:t>
          </w:r>
          <w:r>
            <w:fldChar w:fldCharType="end"/>
          </w:r>
          <w:r>
            <w:rPr>
              <w:rFonts w:hint="eastAsia" w:ascii="宋体" w:hAnsi="宋体" w:eastAsia="宋体" w:cs="宋体"/>
              <w:szCs w:val="22"/>
            </w:rPr>
            <w:fldChar w:fldCharType="end"/>
          </w:r>
        </w:p>
        <w:p w14:paraId="11D89934">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_Toc28295 </w:instrText>
          </w:r>
          <w:r>
            <w:rPr>
              <w:rFonts w:hint="eastAsia" w:ascii="宋体" w:hAnsi="宋体" w:eastAsia="宋体" w:cs="宋体"/>
              <w:szCs w:val="22"/>
            </w:rPr>
            <w:fldChar w:fldCharType="separate"/>
          </w:r>
          <w:r>
            <w:rPr>
              <w:rFonts w:hint="default" w:ascii="宋体" w:hAnsi="宋体" w:cs="宋体"/>
              <w:bCs/>
              <w:szCs w:val="32"/>
            </w:rPr>
            <w:t xml:space="preserve">3.3.5 </w:t>
          </w:r>
          <w:r>
            <w:rPr>
              <w:rFonts w:hint="eastAsia"/>
            </w:rPr>
            <w:t>触电</w:t>
          </w:r>
          <w:r>
            <w:tab/>
          </w:r>
          <w:r>
            <w:fldChar w:fldCharType="begin"/>
          </w:r>
          <w:r>
            <w:instrText xml:space="preserve"> PAGEREF _Toc28295 \h </w:instrText>
          </w:r>
          <w:r>
            <w:fldChar w:fldCharType="separate"/>
          </w:r>
          <w:r>
            <w:t>64</w:t>
          </w:r>
          <w:r>
            <w:fldChar w:fldCharType="end"/>
          </w:r>
          <w:r>
            <w:rPr>
              <w:rFonts w:hint="eastAsia" w:ascii="宋体" w:hAnsi="宋体" w:eastAsia="宋体" w:cs="宋体"/>
              <w:szCs w:val="22"/>
            </w:rPr>
            <w:fldChar w:fldCharType="end"/>
          </w:r>
        </w:p>
        <w:p w14:paraId="1BD20EAE">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_Toc13700 </w:instrText>
          </w:r>
          <w:r>
            <w:rPr>
              <w:rFonts w:hint="eastAsia" w:ascii="宋体" w:hAnsi="宋体" w:eastAsia="宋体" w:cs="宋体"/>
              <w:szCs w:val="22"/>
            </w:rPr>
            <w:fldChar w:fldCharType="separate"/>
          </w:r>
          <w:r>
            <w:rPr>
              <w:rFonts w:hint="default" w:ascii="宋体" w:hAnsi="宋体" w:cs="宋体"/>
              <w:bCs/>
              <w:szCs w:val="32"/>
            </w:rPr>
            <w:t xml:space="preserve">3.3.6 </w:t>
          </w:r>
          <w:r>
            <w:rPr>
              <w:rFonts w:hint="eastAsia"/>
            </w:rPr>
            <w:t>淹溺</w:t>
          </w:r>
          <w:r>
            <w:tab/>
          </w:r>
          <w:r>
            <w:fldChar w:fldCharType="begin"/>
          </w:r>
          <w:r>
            <w:instrText xml:space="preserve"> PAGEREF _Toc13700 \h </w:instrText>
          </w:r>
          <w:r>
            <w:fldChar w:fldCharType="separate"/>
          </w:r>
          <w:r>
            <w:t>65</w:t>
          </w:r>
          <w:r>
            <w:fldChar w:fldCharType="end"/>
          </w:r>
          <w:r>
            <w:rPr>
              <w:rFonts w:hint="eastAsia" w:ascii="宋体" w:hAnsi="宋体" w:eastAsia="宋体" w:cs="宋体"/>
              <w:szCs w:val="22"/>
            </w:rPr>
            <w:fldChar w:fldCharType="end"/>
          </w:r>
        </w:p>
        <w:p w14:paraId="3E36D472">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_Toc16591 </w:instrText>
          </w:r>
          <w:r>
            <w:rPr>
              <w:rFonts w:hint="eastAsia" w:ascii="宋体" w:hAnsi="宋体" w:eastAsia="宋体" w:cs="宋体"/>
              <w:szCs w:val="22"/>
            </w:rPr>
            <w:fldChar w:fldCharType="separate"/>
          </w:r>
          <w:r>
            <w:rPr>
              <w:rFonts w:hint="default" w:ascii="宋体" w:hAnsi="宋体" w:cs="宋体"/>
              <w:bCs/>
              <w:szCs w:val="32"/>
            </w:rPr>
            <w:t xml:space="preserve">3.3.7 </w:t>
          </w:r>
          <w:r>
            <w:rPr>
              <w:rFonts w:hint="eastAsia"/>
            </w:rPr>
            <w:t>灼烫</w:t>
          </w:r>
          <w:r>
            <w:tab/>
          </w:r>
          <w:r>
            <w:fldChar w:fldCharType="begin"/>
          </w:r>
          <w:r>
            <w:instrText xml:space="preserve"> PAGEREF _Toc16591 \h </w:instrText>
          </w:r>
          <w:r>
            <w:fldChar w:fldCharType="separate"/>
          </w:r>
          <w:r>
            <w:t>66</w:t>
          </w:r>
          <w:r>
            <w:fldChar w:fldCharType="end"/>
          </w:r>
          <w:r>
            <w:rPr>
              <w:rFonts w:hint="eastAsia" w:ascii="宋体" w:hAnsi="宋体" w:eastAsia="宋体" w:cs="宋体"/>
              <w:szCs w:val="22"/>
            </w:rPr>
            <w:fldChar w:fldCharType="end"/>
          </w:r>
        </w:p>
        <w:p w14:paraId="09A63EE1">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_Toc20956 </w:instrText>
          </w:r>
          <w:r>
            <w:rPr>
              <w:rFonts w:hint="eastAsia" w:ascii="宋体" w:hAnsi="宋体" w:eastAsia="宋体" w:cs="宋体"/>
              <w:szCs w:val="22"/>
            </w:rPr>
            <w:fldChar w:fldCharType="separate"/>
          </w:r>
          <w:r>
            <w:rPr>
              <w:rFonts w:hint="default" w:ascii="宋体" w:hAnsi="宋体" w:cs="宋体"/>
              <w:bCs/>
              <w:szCs w:val="32"/>
            </w:rPr>
            <w:t xml:space="preserve">3.3.8 </w:t>
          </w:r>
          <w:r>
            <w:rPr>
              <w:rFonts w:hint="eastAsia"/>
            </w:rPr>
            <w:t>火灾</w:t>
          </w:r>
          <w:r>
            <w:tab/>
          </w:r>
          <w:r>
            <w:fldChar w:fldCharType="begin"/>
          </w:r>
          <w:r>
            <w:instrText xml:space="preserve"> PAGEREF _Toc20956 \h </w:instrText>
          </w:r>
          <w:r>
            <w:fldChar w:fldCharType="separate"/>
          </w:r>
          <w:r>
            <w:t>66</w:t>
          </w:r>
          <w:r>
            <w:fldChar w:fldCharType="end"/>
          </w:r>
          <w:r>
            <w:rPr>
              <w:rFonts w:hint="eastAsia" w:ascii="宋体" w:hAnsi="宋体" w:eastAsia="宋体" w:cs="宋体"/>
              <w:szCs w:val="22"/>
            </w:rPr>
            <w:fldChar w:fldCharType="end"/>
          </w:r>
        </w:p>
        <w:p w14:paraId="0607406E">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_Toc19167 </w:instrText>
          </w:r>
          <w:r>
            <w:rPr>
              <w:rFonts w:hint="eastAsia" w:ascii="宋体" w:hAnsi="宋体" w:eastAsia="宋体" w:cs="宋体"/>
              <w:szCs w:val="22"/>
            </w:rPr>
            <w:fldChar w:fldCharType="separate"/>
          </w:r>
          <w:r>
            <w:rPr>
              <w:rFonts w:hint="default" w:ascii="宋体" w:hAnsi="宋体" w:cs="宋体"/>
              <w:bCs/>
              <w:szCs w:val="32"/>
            </w:rPr>
            <w:t xml:space="preserve">3.3.9 </w:t>
          </w:r>
          <w:r>
            <w:rPr>
              <w:rFonts w:hint="eastAsia"/>
            </w:rPr>
            <w:t>高处坠落</w:t>
          </w:r>
          <w:r>
            <w:tab/>
          </w:r>
          <w:r>
            <w:fldChar w:fldCharType="begin"/>
          </w:r>
          <w:r>
            <w:instrText xml:space="preserve"> PAGEREF _Toc19167 \h </w:instrText>
          </w:r>
          <w:r>
            <w:fldChar w:fldCharType="separate"/>
          </w:r>
          <w:r>
            <w:t>69</w:t>
          </w:r>
          <w:r>
            <w:fldChar w:fldCharType="end"/>
          </w:r>
          <w:r>
            <w:rPr>
              <w:rFonts w:hint="eastAsia" w:ascii="宋体" w:hAnsi="宋体" w:eastAsia="宋体" w:cs="宋体"/>
              <w:szCs w:val="22"/>
            </w:rPr>
            <w:fldChar w:fldCharType="end"/>
          </w:r>
        </w:p>
        <w:p w14:paraId="357A042B">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_Toc19589 </w:instrText>
          </w:r>
          <w:r>
            <w:rPr>
              <w:rFonts w:hint="eastAsia" w:ascii="宋体" w:hAnsi="宋体" w:eastAsia="宋体" w:cs="宋体"/>
              <w:szCs w:val="22"/>
            </w:rPr>
            <w:fldChar w:fldCharType="separate"/>
          </w:r>
          <w:r>
            <w:rPr>
              <w:rFonts w:hint="default" w:ascii="宋体" w:hAnsi="宋体" w:cs="宋体"/>
              <w:bCs/>
              <w:szCs w:val="32"/>
            </w:rPr>
            <w:t xml:space="preserve">3.3.10 </w:t>
          </w:r>
          <w:r>
            <w:rPr>
              <w:rFonts w:hint="eastAsia"/>
              <w:lang w:val="en-US" w:eastAsia="zh-CN"/>
            </w:rPr>
            <w:t>坍塌</w:t>
          </w:r>
          <w:r>
            <w:tab/>
          </w:r>
          <w:r>
            <w:fldChar w:fldCharType="begin"/>
          </w:r>
          <w:r>
            <w:instrText xml:space="preserve"> PAGEREF _Toc19589 \h </w:instrText>
          </w:r>
          <w:r>
            <w:fldChar w:fldCharType="separate"/>
          </w:r>
          <w:r>
            <w:t>70</w:t>
          </w:r>
          <w:r>
            <w:fldChar w:fldCharType="end"/>
          </w:r>
          <w:r>
            <w:rPr>
              <w:rFonts w:hint="eastAsia" w:ascii="宋体" w:hAnsi="宋体" w:eastAsia="宋体" w:cs="宋体"/>
              <w:szCs w:val="22"/>
            </w:rPr>
            <w:fldChar w:fldCharType="end"/>
          </w:r>
        </w:p>
        <w:p w14:paraId="4AE0C062">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_Toc28145 </w:instrText>
          </w:r>
          <w:r>
            <w:rPr>
              <w:rFonts w:hint="eastAsia" w:ascii="宋体" w:hAnsi="宋体" w:eastAsia="宋体" w:cs="宋体"/>
              <w:szCs w:val="22"/>
            </w:rPr>
            <w:fldChar w:fldCharType="separate"/>
          </w:r>
          <w:r>
            <w:rPr>
              <w:rFonts w:hint="default" w:ascii="宋体" w:hAnsi="宋体" w:cs="宋体"/>
              <w:bCs/>
              <w:szCs w:val="32"/>
            </w:rPr>
            <w:t xml:space="preserve">3.3.11 </w:t>
          </w:r>
          <w:r>
            <w:rPr>
              <w:rFonts w:hint="eastAsia"/>
            </w:rPr>
            <w:t>容器爆炸</w:t>
          </w:r>
          <w:r>
            <w:tab/>
          </w:r>
          <w:r>
            <w:fldChar w:fldCharType="begin"/>
          </w:r>
          <w:r>
            <w:instrText xml:space="preserve"> PAGEREF _Toc28145 \h </w:instrText>
          </w:r>
          <w:r>
            <w:fldChar w:fldCharType="separate"/>
          </w:r>
          <w:r>
            <w:t>70</w:t>
          </w:r>
          <w:r>
            <w:fldChar w:fldCharType="end"/>
          </w:r>
          <w:r>
            <w:rPr>
              <w:rFonts w:hint="eastAsia" w:ascii="宋体" w:hAnsi="宋体" w:eastAsia="宋体" w:cs="宋体"/>
              <w:szCs w:val="22"/>
            </w:rPr>
            <w:fldChar w:fldCharType="end"/>
          </w:r>
        </w:p>
        <w:p w14:paraId="673BEFD8">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_Toc4417 </w:instrText>
          </w:r>
          <w:r>
            <w:rPr>
              <w:rFonts w:hint="eastAsia" w:ascii="宋体" w:hAnsi="宋体" w:eastAsia="宋体" w:cs="宋体"/>
              <w:szCs w:val="22"/>
            </w:rPr>
            <w:fldChar w:fldCharType="separate"/>
          </w:r>
          <w:r>
            <w:rPr>
              <w:rFonts w:hint="default" w:ascii="宋体" w:hAnsi="宋体" w:cs="宋体"/>
              <w:bCs/>
              <w:szCs w:val="32"/>
            </w:rPr>
            <w:t xml:space="preserve">3.3.12 </w:t>
          </w:r>
          <w:r>
            <w:rPr>
              <w:rFonts w:hint="eastAsia"/>
              <w:lang w:val="en-US" w:eastAsia="zh-CN"/>
            </w:rPr>
            <w:t>其他爆炸</w:t>
          </w:r>
          <w:r>
            <w:tab/>
          </w:r>
          <w:r>
            <w:fldChar w:fldCharType="begin"/>
          </w:r>
          <w:r>
            <w:instrText xml:space="preserve"> PAGEREF _Toc4417 \h </w:instrText>
          </w:r>
          <w:r>
            <w:fldChar w:fldCharType="separate"/>
          </w:r>
          <w:r>
            <w:t>71</w:t>
          </w:r>
          <w:r>
            <w:fldChar w:fldCharType="end"/>
          </w:r>
          <w:r>
            <w:rPr>
              <w:rFonts w:hint="eastAsia" w:ascii="宋体" w:hAnsi="宋体" w:eastAsia="宋体" w:cs="宋体"/>
              <w:szCs w:val="22"/>
            </w:rPr>
            <w:fldChar w:fldCharType="end"/>
          </w:r>
        </w:p>
        <w:p w14:paraId="70259060">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_Toc24713 </w:instrText>
          </w:r>
          <w:r>
            <w:rPr>
              <w:rFonts w:hint="eastAsia" w:ascii="宋体" w:hAnsi="宋体" w:eastAsia="宋体" w:cs="宋体"/>
              <w:szCs w:val="22"/>
            </w:rPr>
            <w:fldChar w:fldCharType="separate"/>
          </w:r>
          <w:r>
            <w:rPr>
              <w:rFonts w:hint="default" w:ascii="宋体" w:hAnsi="宋体" w:cs="宋体"/>
              <w:bCs/>
              <w:szCs w:val="32"/>
            </w:rPr>
            <w:t xml:space="preserve">3.3.13 </w:t>
          </w:r>
          <w:r>
            <w:rPr>
              <w:rFonts w:hint="eastAsia"/>
            </w:rPr>
            <w:t>中毒</w:t>
          </w:r>
          <w:r>
            <w:rPr>
              <w:rFonts w:hint="eastAsia"/>
              <w:lang w:val="en-US" w:eastAsia="zh-CN"/>
            </w:rPr>
            <w:t>和</w:t>
          </w:r>
          <w:r>
            <w:rPr>
              <w:rFonts w:hint="eastAsia"/>
            </w:rPr>
            <w:t>窒息</w:t>
          </w:r>
          <w:r>
            <w:tab/>
          </w:r>
          <w:r>
            <w:fldChar w:fldCharType="begin"/>
          </w:r>
          <w:r>
            <w:instrText xml:space="preserve"> PAGEREF _Toc24713 \h </w:instrText>
          </w:r>
          <w:r>
            <w:fldChar w:fldCharType="separate"/>
          </w:r>
          <w:r>
            <w:t>72</w:t>
          </w:r>
          <w:r>
            <w:fldChar w:fldCharType="end"/>
          </w:r>
          <w:r>
            <w:rPr>
              <w:rFonts w:hint="eastAsia" w:ascii="宋体" w:hAnsi="宋体" w:eastAsia="宋体" w:cs="宋体"/>
              <w:szCs w:val="22"/>
            </w:rPr>
            <w:fldChar w:fldCharType="end"/>
          </w:r>
        </w:p>
        <w:p w14:paraId="71F2DEE8">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_Toc5949 </w:instrText>
          </w:r>
          <w:r>
            <w:rPr>
              <w:rFonts w:hint="eastAsia" w:ascii="宋体" w:hAnsi="宋体" w:eastAsia="宋体" w:cs="宋体"/>
              <w:szCs w:val="22"/>
            </w:rPr>
            <w:fldChar w:fldCharType="separate"/>
          </w:r>
          <w:r>
            <w:rPr>
              <w:rFonts w:hint="default" w:ascii="宋体" w:hAnsi="宋体" w:cs="宋体"/>
              <w:bCs/>
              <w:szCs w:val="32"/>
            </w:rPr>
            <w:t xml:space="preserve">3.3.14 </w:t>
          </w:r>
          <w:r>
            <w:rPr>
              <w:rFonts w:hint="eastAsia"/>
              <w:lang w:val="en-US" w:eastAsia="zh-CN"/>
            </w:rPr>
            <w:t>其他伤害</w:t>
          </w:r>
          <w:r>
            <w:tab/>
          </w:r>
          <w:r>
            <w:fldChar w:fldCharType="begin"/>
          </w:r>
          <w:r>
            <w:instrText xml:space="preserve"> PAGEREF _Toc5949 \h </w:instrText>
          </w:r>
          <w:r>
            <w:fldChar w:fldCharType="separate"/>
          </w:r>
          <w:r>
            <w:t>73</w:t>
          </w:r>
          <w:r>
            <w:fldChar w:fldCharType="end"/>
          </w:r>
          <w:r>
            <w:rPr>
              <w:rFonts w:hint="eastAsia" w:ascii="宋体" w:hAnsi="宋体" w:eastAsia="宋体" w:cs="宋体"/>
              <w:szCs w:val="22"/>
            </w:rPr>
            <w:fldChar w:fldCharType="end"/>
          </w:r>
        </w:p>
        <w:p w14:paraId="2386D8D5">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_Toc21736 </w:instrText>
          </w:r>
          <w:r>
            <w:rPr>
              <w:rFonts w:hint="eastAsia" w:ascii="宋体" w:hAnsi="宋体" w:eastAsia="宋体" w:cs="宋体"/>
              <w:szCs w:val="22"/>
            </w:rPr>
            <w:fldChar w:fldCharType="separate"/>
          </w:r>
          <w:r>
            <w:rPr>
              <w:rFonts w:hint="default" w:ascii="黑体" w:hAnsi="黑体" w:eastAsia="黑体" w:cs="黑体"/>
              <w:bCs w:val="0"/>
              <w:kern w:val="2"/>
              <w:szCs w:val="32"/>
              <w:lang w:val="en-US" w:eastAsia="zh-CN" w:bidi="ar-SA"/>
            </w:rPr>
            <w:t xml:space="preserve">3.4 </w:t>
          </w:r>
          <w:r>
            <w:rPr>
              <w:rFonts w:hint="eastAsia"/>
            </w:rPr>
            <w:t>生产工艺系统、设备设施危险有害因素辨识与分析</w:t>
          </w:r>
          <w:r>
            <w:tab/>
          </w:r>
          <w:r>
            <w:fldChar w:fldCharType="begin"/>
          </w:r>
          <w:r>
            <w:instrText xml:space="preserve"> PAGEREF _Toc21736 \h </w:instrText>
          </w:r>
          <w:r>
            <w:fldChar w:fldCharType="separate"/>
          </w:r>
          <w:r>
            <w:t>74</w:t>
          </w:r>
          <w:r>
            <w:fldChar w:fldCharType="end"/>
          </w:r>
          <w:r>
            <w:rPr>
              <w:rFonts w:hint="eastAsia" w:ascii="宋体" w:hAnsi="宋体" w:eastAsia="宋体" w:cs="宋体"/>
              <w:szCs w:val="22"/>
            </w:rPr>
            <w:fldChar w:fldCharType="end"/>
          </w:r>
        </w:p>
        <w:p w14:paraId="03ECE13B">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_Toc18494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3.4.1 </w:t>
          </w:r>
          <w:r>
            <w:rPr>
              <w:rFonts w:hint="eastAsia"/>
            </w:rPr>
            <w:t>备料</w:t>
          </w:r>
          <w:r>
            <w:rPr>
              <w:rFonts w:hint="eastAsia"/>
              <w:lang w:val="en-US" w:eastAsia="zh-CN"/>
            </w:rPr>
            <w:t>工序</w:t>
          </w:r>
          <w:r>
            <w:rPr>
              <w:rFonts w:hint="eastAsia"/>
            </w:rPr>
            <w:t>危险性分析</w:t>
          </w:r>
          <w:r>
            <w:tab/>
          </w:r>
          <w:r>
            <w:fldChar w:fldCharType="begin"/>
          </w:r>
          <w:r>
            <w:instrText xml:space="preserve"> PAGEREF _Toc18494 \h </w:instrText>
          </w:r>
          <w:r>
            <w:fldChar w:fldCharType="separate"/>
          </w:r>
          <w:r>
            <w:t>75</w:t>
          </w:r>
          <w:r>
            <w:fldChar w:fldCharType="end"/>
          </w:r>
          <w:r>
            <w:rPr>
              <w:rFonts w:hint="eastAsia" w:ascii="宋体" w:hAnsi="宋体" w:eastAsia="宋体" w:cs="宋体"/>
              <w:szCs w:val="22"/>
            </w:rPr>
            <w:fldChar w:fldCharType="end"/>
          </w:r>
        </w:p>
        <w:p w14:paraId="5132FDBC">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_Toc13355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3.4.2 </w:t>
          </w:r>
          <w:r>
            <w:rPr>
              <w:rFonts w:hint="eastAsia"/>
            </w:rPr>
            <w:t>电弧炉熔炼</w:t>
          </w:r>
          <w:r>
            <w:rPr>
              <w:rFonts w:hint="eastAsia"/>
              <w:lang w:val="en-US" w:eastAsia="zh-CN"/>
            </w:rPr>
            <w:t>危险性分析</w:t>
          </w:r>
          <w:r>
            <w:tab/>
          </w:r>
          <w:r>
            <w:fldChar w:fldCharType="begin"/>
          </w:r>
          <w:r>
            <w:instrText xml:space="preserve"> PAGEREF _Toc13355 \h </w:instrText>
          </w:r>
          <w:r>
            <w:fldChar w:fldCharType="separate"/>
          </w:r>
          <w:r>
            <w:t>75</w:t>
          </w:r>
          <w:r>
            <w:fldChar w:fldCharType="end"/>
          </w:r>
          <w:r>
            <w:rPr>
              <w:rFonts w:hint="eastAsia" w:ascii="宋体" w:hAnsi="宋体" w:eastAsia="宋体" w:cs="宋体"/>
              <w:szCs w:val="22"/>
            </w:rPr>
            <w:fldChar w:fldCharType="end"/>
          </w:r>
        </w:p>
        <w:p w14:paraId="46DEE575">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_Toc32202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3.4.3 </w:t>
          </w:r>
          <w:r>
            <w:rPr>
              <w:rFonts w:hint="eastAsia"/>
              <w:lang w:val="en-US" w:eastAsia="zh-CN"/>
            </w:rPr>
            <w:t>其他危险性分析</w:t>
          </w:r>
          <w:r>
            <w:tab/>
          </w:r>
          <w:r>
            <w:fldChar w:fldCharType="begin"/>
          </w:r>
          <w:r>
            <w:instrText xml:space="preserve"> PAGEREF _Toc32202 \h </w:instrText>
          </w:r>
          <w:r>
            <w:fldChar w:fldCharType="separate"/>
          </w:r>
          <w:r>
            <w:t>80</w:t>
          </w:r>
          <w:r>
            <w:fldChar w:fldCharType="end"/>
          </w:r>
          <w:r>
            <w:rPr>
              <w:rFonts w:hint="eastAsia" w:ascii="宋体" w:hAnsi="宋体" w:eastAsia="宋体" w:cs="宋体"/>
              <w:szCs w:val="22"/>
            </w:rPr>
            <w:fldChar w:fldCharType="end"/>
          </w:r>
        </w:p>
        <w:p w14:paraId="70304F96">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_Toc6956 </w:instrText>
          </w:r>
          <w:r>
            <w:rPr>
              <w:rFonts w:hint="eastAsia" w:ascii="宋体" w:hAnsi="宋体" w:eastAsia="宋体" w:cs="宋体"/>
              <w:szCs w:val="22"/>
            </w:rPr>
            <w:fldChar w:fldCharType="separate"/>
          </w:r>
          <w:r>
            <w:rPr>
              <w:rFonts w:hint="default" w:ascii="黑体" w:hAnsi="黑体" w:eastAsia="黑体" w:cs="黑体"/>
              <w:bCs w:val="0"/>
              <w:szCs w:val="32"/>
            </w:rPr>
            <w:t xml:space="preserve">3.5 </w:t>
          </w:r>
          <w:r>
            <w:rPr>
              <w:rFonts w:hint="eastAsia"/>
            </w:rPr>
            <w:t>自然条件及环境危险、有害因素分析</w:t>
          </w:r>
          <w:r>
            <w:tab/>
          </w:r>
          <w:r>
            <w:fldChar w:fldCharType="begin"/>
          </w:r>
          <w:r>
            <w:instrText xml:space="preserve"> PAGEREF _Toc6956 \h </w:instrText>
          </w:r>
          <w:r>
            <w:fldChar w:fldCharType="separate"/>
          </w:r>
          <w:r>
            <w:t>80</w:t>
          </w:r>
          <w:r>
            <w:fldChar w:fldCharType="end"/>
          </w:r>
          <w:r>
            <w:rPr>
              <w:rFonts w:hint="eastAsia" w:ascii="宋体" w:hAnsi="宋体" w:eastAsia="宋体" w:cs="宋体"/>
              <w:szCs w:val="22"/>
            </w:rPr>
            <w:fldChar w:fldCharType="end"/>
          </w:r>
        </w:p>
        <w:p w14:paraId="54B96606">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_Toc11514 </w:instrText>
          </w:r>
          <w:r>
            <w:rPr>
              <w:rFonts w:hint="eastAsia" w:ascii="宋体" w:hAnsi="宋体" w:eastAsia="宋体" w:cs="宋体"/>
              <w:szCs w:val="22"/>
            </w:rPr>
            <w:fldChar w:fldCharType="separate"/>
          </w:r>
          <w:r>
            <w:rPr>
              <w:rFonts w:hint="default" w:ascii="宋体" w:hAnsi="宋体" w:cs="宋体"/>
              <w:bCs/>
              <w:szCs w:val="32"/>
            </w:rPr>
            <w:t xml:space="preserve">3.5.1 </w:t>
          </w:r>
          <w:r>
            <w:rPr>
              <w:rFonts w:hint="eastAsia"/>
            </w:rPr>
            <w:t>地质灾害危险、有害因素分析</w:t>
          </w:r>
          <w:r>
            <w:tab/>
          </w:r>
          <w:r>
            <w:fldChar w:fldCharType="begin"/>
          </w:r>
          <w:r>
            <w:instrText xml:space="preserve"> PAGEREF _Toc11514 \h </w:instrText>
          </w:r>
          <w:r>
            <w:fldChar w:fldCharType="separate"/>
          </w:r>
          <w:r>
            <w:t>80</w:t>
          </w:r>
          <w:r>
            <w:fldChar w:fldCharType="end"/>
          </w:r>
          <w:r>
            <w:rPr>
              <w:rFonts w:hint="eastAsia" w:ascii="宋体" w:hAnsi="宋体" w:eastAsia="宋体" w:cs="宋体"/>
              <w:szCs w:val="22"/>
            </w:rPr>
            <w:fldChar w:fldCharType="end"/>
          </w:r>
        </w:p>
        <w:p w14:paraId="1C673CD7">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_Toc28577 </w:instrText>
          </w:r>
          <w:r>
            <w:rPr>
              <w:rFonts w:hint="eastAsia" w:ascii="宋体" w:hAnsi="宋体" w:eastAsia="宋体" w:cs="宋体"/>
              <w:szCs w:val="22"/>
            </w:rPr>
            <w:fldChar w:fldCharType="separate"/>
          </w:r>
          <w:r>
            <w:rPr>
              <w:rFonts w:hint="default" w:ascii="宋体" w:hAnsi="宋体" w:cs="宋体"/>
              <w:bCs/>
              <w:szCs w:val="32"/>
            </w:rPr>
            <w:t xml:space="preserve">3.5.2 </w:t>
          </w:r>
          <w:r>
            <w:rPr>
              <w:rFonts w:hint="eastAsia"/>
            </w:rPr>
            <w:t>气象条件危险、有害因素分析</w:t>
          </w:r>
          <w:r>
            <w:tab/>
          </w:r>
          <w:r>
            <w:fldChar w:fldCharType="begin"/>
          </w:r>
          <w:r>
            <w:instrText xml:space="preserve"> PAGEREF _Toc28577 \h </w:instrText>
          </w:r>
          <w:r>
            <w:fldChar w:fldCharType="separate"/>
          </w:r>
          <w:r>
            <w:t>81</w:t>
          </w:r>
          <w:r>
            <w:fldChar w:fldCharType="end"/>
          </w:r>
          <w:r>
            <w:rPr>
              <w:rFonts w:hint="eastAsia" w:ascii="宋体" w:hAnsi="宋体" w:eastAsia="宋体" w:cs="宋体"/>
              <w:szCs w:val="22"/>
            </w:rPr>
            <w:fldChar w:fldCharType="end"/>
          </w:r>
        </w:p>
        <w:p w14:paraId="54F1CACF">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_Toc23975 </w:instrText>
          </w:r>
          <w:r>
            <w:rPr>
              <w:rFonts w:hint="eastAsia" w:ascii="宋体" w:hAnsi="宋体" w:eastAsia="宋体" w:cs="宋体"/>
              <w:szCs w:val="22"/>
            </w:rPr>
            <w:fldChar w:fldCharType="separate"/>
          </w:r>
          <w:r>
            <w:rPr>
              <w:rFonts w:hint="default" w:ascii="黑体" w:hAnsi="黑体" w:eastAsia="黑体" w:cs="黑体"/>
              <w:bCs w:val="0"/>
              <w:szCs w:val="32"/>
            </w:rPr>
            <w:t xml:space="preserve">3.6 </w:t>
          </w:r>
          <w:r>
            <w:rPr>
              <w:rFonts w:hint="eastAsia"/>
            </w:rPr>
            <w:t>周边环境危险有害因素分析</w:t>
          </w:r>
          <w:r>
            <w:tab/>
          </w:r>
          <w:r>
            <w:fldChar w:fldCharType="begin"/>
          </w:r>
          <w:r>
            <w:instrText xml:space="preserve"> PAGEREF _Toc23975 \h </w:instrText>
          </w:r>
          <w:r>
            <w:fldChar w:fldCharType="separate"/>
          </w:r>
          <w:r>
            <w:t>82</w:t>
          </w:r>
          <w:r>
            <w:fldChar w:fldCharType="end"/>
          </w:r>
          <w:r>
            <w:rPr>
              <w:rFonts w:hint="eastAsia" w:ascii="宋体" w:hAnsi="宋体" w:eastAsia="宋体" w:cs="宋体"/>
              <w:szCs w:val="22"/>
            </w:rPr>
            <w:fldChar w:fldCharType="end"/>
          </w:r>
        </w:p>
        <w:p w14:paraId="06F008AE">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_Toc22292 </w:instrText>
          </w:r>
          <w:r>
            <w:rPr>
              <w:rFonts w:hint="eastAsia" w:ascii="宋体" w:hAnsi="宋体" w:eastAsia="宋体" w:cs="宋体"/>
              <w:szCs w:val="22"/>
            </w:rPr>
            <w:fldChar w:fldCharType="separate"/>
          </w:r>
          <w:r>
            <w:rPr>
              <w:rFonts w:hint="default" w:ascii="黑体" w:hAnsi="黑体" w:eastAsia="黑体" w:cs="黑体"/>
              <w:bCs w:val="0"/>
              <w:szCs w:val="32"/>
            </w:rPr>
            <w:t xml:space="preserve">3.7 </w:t>
          </w:r>
          <w:r>
            <w:rPr>
              <w:rFonts w:hint="eastAsia"/>
            </w:rPr>
            <w:t>总平面布置危险有害因素分析</w:t>
          </w:r>
          <w:r>
            <w:tab/>
          </w:r>
          <w:r>
            <w:fldChar w:fldCharType="begin"/>
          </w:r>
          <w:r>
            <w:instrText xml:space="preserve"> PAGEREF _Toc22292 \h </w:instrText>
          </w:r>
          <w:r>
            <w:fldChar w:fldCharType="separate"/>
          </w:r>
          <w:r>
            <w:t>82</w:t>
          </w:r>
          <w:r>
            <w:fldChar w:fldCharType="end"/>
          </w:r>
          <w:r>
            <w:rPr>
              <w:rFonts w:hint="eastAsia" w:ascii="宋体" w:hAnsi="宋体" w:eastAsia="宋体" w:cs="宋体"/>
              <w:szCs w:val="22"/>
            </w:rPr>
            <w:fldChar w:fldCharType="end"/>
          </w:r>
        </w:p>
        <w:p w14:paraId="690DD0DC">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_Toc12287 </w:instrText>
          </w:r>
          <w:r>
            <w:rPr>
              <w:rFonts w:hint="eastAsia" w:ascii="宋体" w:hAnsi="宋体" w:eastAsia="宋体" w:cs="宋体"/>
              <w:szCs w:val="22"/>
            </w:rPr>
            <w:fldChar w:fldCharType="separate"/>
          </w:r>
          <w:r>
            <w:rPr>
              <w:rFonts w:hint="default" w:ascii="黑体" w:hAnsi="黑体" w:eastAsia="黑体" w:cs="黑体"/>
              <w:bCs w:val="0"/>
              <w:szCs w:val="32"/>
            </w:rPr>
            <w:t xml:space="preserve">3.8 </w:t>
          </w:r>
          <w:r>
            <w:rPr>
              <w:rFonts w:hint="eastAsia"/>
            </w:rPr>
            <w:t>建构筑物危险性分析</w:t>
          </w:r>
          <w:r>
            <w:tab/>
          </w:r>
          <w:r>
            <w:fldChar w:fldCharType="begin"/>
          </w:r>
          <w:r>
            <w:instrText xml:space="preserve"> PAGEREF _Toc12287 \h </w:instrText>
          </w:r>
          <w:r>
            <w:fldChar w:fldCharType="separate"/>
          </w:r>
          <w:r>
            <w:t>83</w:t>
          </w:r>
          <w:r>
            <w:fldChar w:fldCharType="end"/>
          </w:r>
          <w:r>
            <w:rPr>
              <w:rFonts w:hint="eastAsia" w:ascii="宋体" w:hAnsi="宋体" w:eastAsia="宋体" w:cs="宋体"/>
              <w:szCs w:val="22"/>
            </w:rPr>
            <w:fldChar w:fldCharType="end"/>
          </w:r>
        </w:p>
        <w:p w14:paraId="62EF4307">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_Toc26271 </w:instrText>
          </w:r>
          <w:r>
            <w:rPr>
              <w:rFonts w:hint="eastAsia" w:ascii="宋体" w:hAnsi="宋体" w:eastAsia="宋体" w:cs="宋体"/>
              <w:szCs w:val="22"/>
            </w:rPr>
            <w:fldChar w:fldCharType="separate"/>
          </w:r>
          <w:r>
            <w:rPr>
              <w:rFonts w:hint="default" w:ascii="黑体" w:hAnsi="黑体" w:eastAsia="黑体" w:cs="黑体"/>
              <w:bCs w:val="0"/>
              <w:szCs w:val="32"/>
            </w:rPr>
            <w:t xml:space="preserve">3.9 </w:t>
          </w:r>
          <w:r>
            <w:rPr>
              <w:rFonts w:hint="eastAsia"/>
            </w:rPr>
            <w:t>公用和辅助设备设施危险有害因素辨识与分析</w:t>
          </w:r>
          <w:r>
            <w:tab/>
          </w:r>
          <w:r>
            <w:fldChar w:fldCharType="begin"/>
          </w:r>
          <w:r>
            <w:instrText xml:space="preserve"> PAGEREF _Toc26271 \h </w:instrText>
          </w:r>
          <w:r>
            <w:fldChar w:fldCharType="separate"/>
          </w:r>
          <w:r>
            <w:t>83</w:t>
          </w:r>
          <w:r>
            <w:fldChar w:fldCharType="end"/>
          </w:r>
          <w:r>
            <w:rPr>
              <w:rFonts w:hint="eastAsia" w:ascii="宋体" w:hAnsi="宋体" w:eastAsia="宋体" w:cs="宋体"/>
              <w:szCs w:val="22"/>
            </w:rPr>
            <w:fldChar w:fldCharType="end"/>
          </w:r>
        </w:p>
        <w:p w14:paraId="1C2704DA">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_Toc3017 </w:instrText>
          </w:r>
          <w:r>
            <w:rPr>
              <w:rFonts w:hint="eastAsia" w:ascii="宋体" w:hAnsi="宋体" w:eastAsia="宋体" w:cs="宋体"/>
              <w:szCs w:val="22"/>
            </w:rPr>
            <w:fldChar w:fldCharType="separate"/>
          </w:r>
          <w:r>
            <w:rPr>
              <w:rFonts w:hint="default" w:ascii="宋体" w:hAnsi="宋体" w:cs="宋体"/>
              <w:bCs/>
              <w:szCs w:val="32"/>
            </w:rPr>
            <w:t xml:space="preserve">3.9.1 </w:t>
          </w:r>
          <w:r>
            <w:rPr>
              <w:rFonts w:hint="eastAsia"/>
            </w:rPr>
            <w:t>供配电系统</w:t>
          </w:r>
          <w:r>
            <w:tab/>
          </w:r>
          <w:r>
            <w:fldChar w:fldCharType="begin"/>
          </w:r>
          <w:r>
            <w:instrText xml:space="preserve"> PAGEREF _Toc3017 \h </w:instrText>
          </w:r>
          <w:r>
            <w:fldChar w:fldCharType="separate"/>
          </w:r>
          <w:r>
            <w:t>84</w:t>
          </w:r>
          <w:r>
            <w:fldChar w:fldCharType="end"/>
          </w:r>
          <w:r>
            <w:rPr>
              <w:rFonts w:hint="eastAsia" w:ascii="宋体" w:hAnsi="宋体" w:eastAsia="宋体" w:cs="宋体"/>
              <w:szCs w:val="22"/>
            </w:rPr>
            <w:fldChar w:fldCharType="end"/>
          </w:r>
        </w:p>
        <w:p w14:paraId="01CADB82">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_Toc22939 </w:instrText>
          </w:r>
          <w:r>
            <w:rPr>
              <w:rFonts w:hint="eastAsia" w:ascii="宋体" w:hAnsi="宋体" w:eastAsia="宋体" w:cs="宋体"/>
              <w:szCs w:val="22"/>
            </w:rPr>
            <w:fldChar w:fldCharType="separate"/>
          </w:r>
          <w:r>
            <w:rPr>
              <w:rFonts w:hint="default" w:ascii="宋体" w:hAnsi="宋体" w:cs="宋体"/>
              <w:bCs/>
              <w:szCs w:val="32"/>
            </w:rPr>
            <w:t xml:space="preserve">3.9.2 </w:t>
          </w:r>
          <w:r>
            <w:rPr>
              <w:rFonts w:hint="eastAsia"/>
            </w:rPr>
            <w:t>给排水系统</w:t>
          </w:r>
          <w:r>
            <w:tab/>
          </w:r>
          <w:r>
            <w:fldChar w:fldCharType="begin"/>
          </w:r>
          <w:r>
            <w:instrText xml:space="preserve"> PAGEREF _Toc22939 \h </w:instrText>
          </w:r>
          <w:r>
            <w:fldChar w:fldCharType="separate"/>
          </w:r>
          <w:r>
            <w:t>85</w:t>
          </w:r>
          <w:r>
            <w:fldChar w:fldCharType="end"/>
          </w:r>
          <w:r>
            <w:rPr>
              <w:rFonts w:hint="eastAsia" w:ascii="宋体" w:hAnsi="宋体" w:eastAsia="宋体" w:cs="宋体"/>
              <w:szCs w:val="22"/>
            </w:rPr>
            <w:fldChar w:fldCharType="end"/>
          </w:r>
        </w:p>
        <w:p w14:paraId="67564E06">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_Toc12010 </w:instrText>
          </w:r>
          <w:r>
            <w:rPr>
              <w:rFonts w:hint="eastAsia" w:ascii="宋体" w:hAnsi="宋体" w:eastAsia="宋体" w:cs="宋体"/>
              <w:szCs w:val="22"/>
            </w:rPr>
            <w:fldChar w:fldCharType="separate"/>
          </w:r>
          <w:r>
            <w:rPr>
              <w:rFonts w:hint="default" w:ascii="宋体" w:hAnsi="宋体" w:cs="宋体"/>
              <w:bCs/>
              <w:szCs w:val="32"/>
            </w:rPr>
            <w:t xml:space="preserve">3.9.3 </w:t>
          </w:r>
          <w:r>
            <w:rPr>
              <w:rFonts w:hint="eastAsia"/>
            </w:rPr>
            <w:t>消防系统</w:t>
          </w:r>
          <w:r>
            <w:tab/>
          </w:r>
          <w:r>
            <w:fldChar w:fldCharType="begin"/>
          </w:r>
          <w:r>
            <w:instrText xml:space="preserve"> PAGEREF _Toc12010 \h </w:instrText>
          </w:r>
          <w:r>
            <w:fldChar w:fldCharType="separate"/>
          </w:r>
          <w:r>
            <w:t>86</w:t>
          </w:r>
          <w:r>
            <w:fldChar w:fldCharType="end"/>
          </w:r>
          <w:r>
            <w:rPr>
              <w:rFonts w:hint="eastAsia" w:ascii="宋体" w:hAnsi="宋体" w:eastAsia="宋体" w:cs="宋体"/>
              <w:szCs w:val="22"/>
            </w:rPr>
            <w:fldChar w:fldCharType="end"/>
          </w:r>
        </w:p>
        <w:p w14:paraId="6B90BE31">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_Toc20120 </w:instrText>
          </w:r>
          <w:r>
            <w:rPr>
              <w:rFonts w:hint="eastAsia" w:ascii="宋体" w:hAnsi="宋体" w:eastAsia="宋体" w:cs="宋体"/>
              <w:szCs w:val="22"/>
            </w:rPr>
            <w:fldChar w:fldCharType="separate"/>
          </w:r>
          <w:r>
            <w:rPr>
              <w:rFonts w:hint="default" w:ascii="宋体" w:hAnsi="宋体" w:cs="宋体"/>
              <w:bCs/>
              <w:szCs w:val="32"/>
            </w:rPr>
            <w:t xml:space="preserve">3.9.4 </w:t>
          </w:r>
          <w:r>
            <w:rPr>
              <w:rFonts w:hint="eastAsia"/>
            </w:rPr>
            <w:t>供气系统</w:t>
          </w:r>
          <w:r>
            <w:tab/>
          </w:r>
          <w:r>
            <w:fldChar w:fldCharType="begin"/>
          </w:r>
          <w:r>
            <w:instrText xml:space="preserve"> PAGEREF _Toc20120 \h </w:instrText>
          </w:r>
          <w:r>
            <w:fldChar w:fldCharType="separate"/>
          </w:r>
          <w:r>
            <w:t>87</w:t>
          </w:r>
          <w:r>
            <w:fldChar w:fldCharType="end"/>
          </w:r>
          <w:r>
            <w:rPr>
              <w:rFonts w:hint="eastAsia" w:ascii="宋体" w:hAnsi="宋体" w:eastAsia="宋体" w:cs="宋体"/>
              <w:szCs w:val="22"/>
            </w:rPr>
            <w:fldChar w:fldCharType="end"/>
          </w:r>
        </w:p>
        <w:p w14:paraId="5477AB8B">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_Toc15591 </w:instrText>
          </w:r>
          <w:r>
            <w:rPr>
              <w:rFonts w:hint="eastAsia" w:ascii="宋体" w:hAnsi="宋体" w:eastAsia="宋体" w:cs="宋体"/>
              <w:szCs w:val="22"/>
            </w:rPr>
            <w:fldChar w:fldCharType="separate"/>
          </w:r>
          <w:r>
            <w:rPr>
              <w:rFonts w:hint="default" w:ascii="宋体" w:hAnsi="宋体" w:cs="宋体"/>
              <w:bCs/>
              <w:szCs w:val="32"/>
            </w:rPr>
            <w:t xml:space="preserve">3.9.5 </w:t>
          </w:r>
          <w:r>
            <w:rPr>
              <w:rFonts w:hint="eastAsia"/>
            </w:rPr>
            <w:t>自控系统</w:t>
          </w:r>
          <w:r>
            <w:tab/>
          </w:r>
          <w:r>
            <w:fldChar w:fldCharType="begin"/>
          </w:r>
          <w:r>
            <w:instrText xml:space="preserve"> PAGEREF _Toc15591 \h </w:instrText>
          </w:r>
          <w:r>
            <w:fldChar w:fldCharType="separate"/>
          </w:r>
          <w:r>
            <w:t>88</w:t>
          </w:r>
          <w:r>
            <w:fldChar w:fldCharType="end"/>
          </w:r>
          <w:r>
            <w:rPr>
              <w:rFonts w:hint="eastAsia" w:ascii="宋体" w:hAnsi="宋体" w:eastAsia="宋体" w:cs="宋体"/>
              <w:szCs w:val="22"/>
            </w:rPr>
            <w:fldChar w:fldCharType="end"/>
          </w:r>
        </w:p>
        <w:p w14:paraId="0717F1A9">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_Toc17763 </w:instrText>
          </w:r>
          <w:r>
            <w:rPr>
              <w:rFonts w:hint="eastAsia" w:ascii="宋体" w:hAnsi="宋体" w:eastAsia="宋体" w:cs="宋体"/>
              <w:szCs w:val="22"/>
            </w:rPr>
            <w:fldChar w:fldCharType="separate"/>
          </w:r>
          <w:r>
            <w:rPr>
              <w:rFonts w:hint="default" w:ascii="黑体" w:hAnsi="黑体" w:eastAsia="黑体" w:cs="黑体"/>
              <w:bCs w:val="0"/>
              <w:szCs w:val="32"/>
            </w:rPr>
            <w:t xml:space="preserve">3.10 </w:t>
          </w:r>
          <w:r>
            <w:rPr>
              <w:rFonts w:hint="eastAsia"/>
            </w:rPr>
            <w:t>物料储运过程危险性分析</w:t>
          </w:r>
          <w:r>
            <w:tab/>
          </w:r>
          <w:r>
            <w:fldChar w:fldCharType="begin"/>
          </w:r>
          <w:r>
            <w:instrText xml:space="preserve"> PAGEREF _Toc17763 \h </w:instrText>
          </w:r>
          <w:r>
            <w:fldChar w:fldCharType="separate"/>
          </w:r>
          <w:r>
            <w:t>88</w:t>
          </w:r>
          <w:r>
            <w:fldChar w:fldCharType="end"/>
          </w:r>
          <w:r>
            <w:rPr>
              <w:rFonts w:hint="eastAsia" w:ascii="宋体" w:hAnsi="宋体" w:eastAsia="宋体" w:cs="宋体"/>
              <w:szCs w:val="22"/>
            </w:rPr>
            <w:fldChar w:fldCharType="end"/>
          </w:r>
        </w:p>
        <w:p w14:paraId="157A44C3">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_Toc16231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3.10.1 </w:t>
          </w:r>
          <w:r>
            <w:rPr>
              <w:rFonts w:hint="eastAsia"/>
              <w:lang w:val="en-US" w:eastAsia="zh-CN"/>
            </w:rPr>
            <w:t>危险化学品</w:t>
          </w:r>
          <w:r>
            <w:rPr>
              <w:rFonts w:hint="eastAsia" w:ascii="宋体" w:hAnsi="宋体" w:eastAsia="宋体" w:cs="Times New Roman"/>
              <w:lang w:val="en-US" w:eastAsia="zh-CN"/>
            </w:rPr>
            <w:t>储存、装卸、搬运</w:t>
          </w:r>
          <w:r>
            <w:rPr>
              <w:rFonts w:hint="eastAsia" w:cs="Times New Roman"/>
              <w:lang w:val="en-US" w:eastAsia="zh-CN"/>
            </w:rPr>
            <w:t>作业过程的危险性</w:t>
          </w:r>
          <w:r>
            <w:tab/>
          </w:r>
          <w:r>
            <w:fldChar w:fldCharType="begin"/>
          </w:r>
          <w:r>
            <w:instrText xml:space="preserve"> PAGEREF _Toc16231 \h </w:instrText>
          </w:r>
          <w:r>
            <w:fldChar w:fldCharType="separate"/>
          </w:r>
          <w:r>
            <w:t>88</w:t>
          </w:r>
          <w:r>
            <w:fldChar w:fldCharType="end"/>
          </w:r>
          <w:r>
            <w:rPr>
              <w:rFonts w:hint="eastAsia" w:ascii="宋体" w:hAnsi="宋体" w:eastAsia="宋体" w:cs="宋体"/>
              <w:szCs w:val="22"/>
            </w:rPr>
            <w:fldChar w:fldCharType="end"/>
          </w:r>
        </w:p>
        <w:p w14:paraId="7BDB4635">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_Toc11743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3.10.2 </w:t>
          </w:r>
          <w:r>
            <w:rPr>
              <w:rFonts w:hint="eastAsia" w:ascii="宋体" w:hAnsi="宋体" w:eastAsia="宋体" w:cs="Times New Roman"/>
              <w:lang w:val="en-US" w:eastAsia="zh-CN"/>
            </w:rPr>
            <w:t>一般物料储存</w:t>
          </w:r>
          <w:r>
            <w:rPr>
              <w:rFonts w:hint="eastAsia"/>
              <w:lang w:val="en-US" w:eastAsia="zh-CN"/>
            </w:rPr>
            <w:t>过程的危险性</w:t>
          </w:r>
          <w:r>
            <w:tab/>
          </w:r>
          <w:r>
            <w:fldChar w:fldCharType="begin"/>
          </w:r>
          <w:r>
            <w:instrText xml:space="preserve"> PAGEREF _Toc11743 \h </w:instrText>
          </w:r>
          <w:r>
            <w:fldChar w:fldCharType="separate"/>
          </w:r>
          <w:r>
            <w:t>89</w:t>
          </w:r>
          <w:r>
            <w:fldChar w:fldCharType="end"/>
          </w:r>
          <w:r>
            <w:rPr>
              <w:rFonts w:hint="eastAsia" w:ascii="宋体" w:hAnsi="宋体" w:eastAsia="宋体" w:cs="宋体"/>
              <w:szCs w:val="22"/>
            </w:rPr>
            <w:fldChar w:fldCharType="end"/>
          </w:r>
        </w:p>
        <w:p w14:paraId="3FBE1C18">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_Toc18457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3.10.3 </w:t>
          </w:r>
          <w:r>
            <w:rPr>
              <w:rFonts w:hint="eastAsia"/>
              <w:lang w:val="en-US" w:eastAsia="zh-CN"/>
            </w:rPr>
            <w:t>物料装卸、转运作业过程的危险性</w:t>
          </w:r>
          <w:r>
            <w:tab/>
          </w:r>
          <w:r>
            <w:fldChar w:fldCharType="begin"/>
          </w:r>
          <w:r>
            <w:instrText xml:space="preserve"> PAGEREF _Toc18457 \h </w:instrText>
          </w:r>
          <w:r>
            <w:fldChar w:fldCharType="separate"/>
          </w:r>
          <w:r>
            <w:t>89</w:t>
          </w:r>
          <w:r>
            <w:fldChar w:fldCharType="end"/>
          </w:r>
          <w:r>
            <w:rPr>
              <w:rFonts w:hint="eastAsia" w:ascii="宋体" w:hAnsi="宋体" w:eastAsia="宋体" w:cs="宋体"/>
              <w:szCs w:val="22"/>
            </w:rPr>
            <w:fldChar w:fldCharType="end"/>
          </w:r>
        </w:p>
        <w:p w14:paraId="191A2EEE">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_Toc5882 </w:instrText>
          </w:r>
          <w:r>
            <w:rPr>
              <w:rFonts w:hint="eastAsia" w:ascii="宋体" w:hAnsi="宋体" w:eastAsia="宋体" w:cs="宋体"/>
              <w:szCs w:val="22"/>
            </w:rPr>
            <w:fldChar w:fldCharType="separate"/>
          </w:r>
          <w:r>
            <w:rPr>
              <w:rFonts w:hint="default" w:ascii="黑体" w:hAnsi="黑体" w:eastAsia="黑体" w:cs="黑体"/>
              <w:bCs w:val="0"/>
              <w:szCs w:val="32"/>
            </w:rPr>
            <w:t xml:space="preserve">3.11 </w:t>
          </w:r>
          <w:r>
            <w:rPr>
              <w:rFonts w:hint="eastAsia"/>
            </w:rPr>
            <w:t>检修过程危险性分析</w:t>
          </w:r>
          <w:r>
            <w:tab/>
          </w:r>
          <w:r>
            <w:fldChar w:fldCharType="begin"/>
          </w:r>
          <w:r>
            <w:instrText xml:space="preserve"> PAGEREF _Toc5882 \h </w:instrText>
          </w:r>
          <w:r>
            <w:fldChar w:fldCharType="separate"/>
          </w:r>
          <w:r>
            <w:t>90</w:t>
          </w:r>
          <w:r>
            <w:fldChar w:fldCharType="end"/>
          </w:r>
          <w:r>
            <w:rPr>
              <w:rFonts w:hint="eastAsia" w:ascii="宋体" w:hAnsi="宋体" w:eastAsia="宋体" w:cs="宋体"/>
              <w:szCs w:val="22"/>
            </w:rPr>
            <w:fldChar w:fldCharType="end"/>
          </w:r>
        </w:p>
        <w:p w14:paraId="48A38F0C">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_Toc9821 </w:instrText>
          </w:r>
          <w:r>
            <w:rPr>
              <w:rFonts w:hint="eastAsia" w:ascii="宋体" w:hAnsi="宋体" w:eastAsia="宋体" w:cs="宋体"/>
              <w:szCs w:val="22"/>
            </w:rPr>
            <w:fldChar w:fldCharType="separate"/>
          </w:r>
          <w:r>
            <w:rPr>
              <w:rFonts w:hint="default" w:ascii="宋体" w:hAnsi="宋体" w:cs="宋体"/>
              <w:bCs/>
              <w:szCs w:val="32"/>
            </w:rPr>
            <w:t xml:space="preserve">3.11.1 </w:t>
          </w:r>
          <w:r>
            <w:rPr>
              <w:rFonts w:hint="eastAsia"/>
            </w:rPr>
            <w:t>设备设施检修危险性分析</w:t>
          </w:r>
          <w:r>
            <w:tab/>
          </w:r>
          <w:r>
            <w:fldChar w:fldCharType="begin"/>
          </w:r>
          <w:r>
            <w:instrText xml:space="preserve"> PAGEREF _Toc9821 \h </w:instrText>
          </w:r>
          <w:r>
            <w:fldChar w:fldCharType="separate"/>
          </w:r>
          <w:r>
            <w:t>90</w:t>
          </w:r>
          <w:r>
            <w:fldChar w:fldCharType="end"/>
          </w:r>
          <w:r>
            <w:rPr>
              <w:rFonts w:hint="eastAsia" w:ascii="宋体" w:hAnsi="宋体" w:eastAsia="宋体" w:cs="宋体"/>
              <w:szCs w:val="22"/>
            </w:rPr>
            <w:fldChar w:fldCharType="end"/>
          </w:r>
        </w:p>
        <w:p w14:paraId="32E45C15">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_Toc17933 </w:instrText>
          </w:r>
          <w:r>
            <w:rPr>
              <w:rFonts w:hint="eastAsia" w:ascii="宋体" w:hAnsi="宋体" w:eastAsia="宋体" w:cs="宋体"/>
              <w:szCs w:val="22"/>
            </w:rPr>
            <w:fldChar w:fldCharType="separate"/>
          </w:r>
          <w:r>
            <w:rPr>
              <w:rFonts w:hint="default" w:ascii="宋体" w:hAnsi="宋体" w:cs="宋体"/>
              <w:bCs/>
              <w:szCs w:val="32"/>
            </w:rPr>
            <w:t xml:space="preserve">3.11.2 </w:t>
          </w:r>
          <w:r>
            <w:rPr>
              <w:rFonts w:hint="eastAsia"/>
            </w:rPr>
            <w:t>电气设施检修危险性分析</w:t>
          </w:r>
          <w:r>
            <w:tab/>
          </w:r>
          <w:r>
            <w:fldChar w:fldCharType="begin"/>
          </w:r>
          <w:r>
            <w:instrText xml:space="preserve"> PAGEREF _Toc17933 \h </w:instrText>
          </w:r>
          <w:r>
            <w:fldChar w:fldCharType="separate"/>
          </w:r>
          <w:r>
            <w:t>90</w:t>
          </w:r>
          <w:r>
            <w:fldChar w:fldCharType="end"/>
          </w:r>
          <w:r>
            <w:rPr>
              <w:rFonts w:hint="eastAsia" w:ascii="宋体" w:hAnsi="宋体" w:eastAsia="宋体" w:cs="宋体"/>
              <w:szCs w:val="22"/>
            </w:rPr>
            <w:fldChar w:fldCharType="end"/>
          </w:r>
        </w:p>
        <w:p w14:paraId="29C242E0">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_Toc30628 </w:instrText>
          </w:r>
          <w:r>
            <w:rPr>
              <w:rFonts w:hint="eastAsia" w:ascii="宋体" w:hAnsi="宋体" w:eastAsia="宋体" w:cs="宋体"/>
              <w:szCs w:val="22"/>
            </w:rPr>
            <w:fldChar w:fldCharType="separate"/>
          </w:r>
          <w:r>
            <w:rPr>
              <w:rFonts w:hint="default" w:ascii="黑体" w:hAnsi="黑体" w:eastAsia="黑体" w:cs="黑体"/>
              <w:bCs w:val="0"/>
              <w:szCs w:val="32"/>
            </w:rPr>
            <w:t xml:space="preserve">3.12 </w:t>
          </w:r>
          <w:r>
            <w:rPr>
              <w:rFonts w:hint="eastAsia"/>
            </w:rPr>
            <w:t>安全管理影响辨识与分析</w:t>
          </w:r>
          <w:r>
            <w:tab/>
          </w:r>
          <w:r>
            <w:fldChar w:fldCharType="begin"/>
          </w:r>
          <w:r>
            <w:instrText xml:space="preserve"> PAGEREF _Toc30628 \h </w:instrText>
          </w:r>
          <w:r>
            <w:fldChar w:fldCharType="separate"/>
          </w:r>
          <w:r>
            <w:t>91</w:t>
          </w:r>
          <w:r>
            <w:fldChar w:fldCharType="end"/>
          </w:r>
          <w:r>
            <w:rPr>
              <w:rFonts w:hint="eastAsia" w:ascii="宋体" w:hAnsi="宋体" w:eastAsia="宋体" w:cs="宋体"/>
              <w:szCs w:val="22"/>
            </w:rPr>
            <w:fldChar w:fldCharType="end"/>
          </w:r>
        </w:p>
        <w:p w14:paraId="2A1EC498">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_Toc605 </w:instrText>
          </w:r>
          <w:r>
            <w:rPr>
              <w:rFonts w:hint="eastAsia" w:ascii="宋体" w:hAnsi="宋体" w:eastAsia="宋体" w:cs="宋体"/>
              <w:szCs w:val="22"/>
            </w:rPr>
            <w:fldChar w:fldCharType="separate"/>
          </w:r>
          <w:r>
            <w:rPr>
              <w:rFonts w:hint="default" w:ascii="黑体" w:hAnsi="黑体" w:eastAsia="黑体" w:cs="黑体"/>
              <w:bCs w:val="0"/>
              <w:szCs w:val="32"/>
            </w:rPr>
            <w:t xml:space="preserve">3.13 </w:t>
          </w:r>
          <w:r>
            <w:rPr>
              <w:rFonts w:hint="eastAsia"/>
            </w:rPr>
            <w:t>其他危险有害因素危险性分析</w:t>
          </w:r>
          <w:r>
            <w:tab/>
          </w:r>
          <w:r>
            <w:fldChar w:fldCharType="begin"/>
          </w:r>
          <w:r>
            <w:instrText xml:space="preserve"> PAGEREF _Toc605 \h </w:instrText>
          </w:r>
          <w:r>
            <w:fldChar w:fldCharType="separate"/>
          </w:r>
          <w:r>
            <w:t>92</w:t>
          </w:r>
          <w:r>
            <w:fldChar w:fldCharType="end"/>
          </w:r>
          <w:r>
            <w:rPr>
              <w:rFonts w:hint="eastAsia" w:ascii="宋体" w:hAnsi="宋体" w:eastAsia="宋体" w:cs="宋体"/>
              <w:szCs w:val="22"/>
            </w:rPr>
            <w:fldChar w:fldCharType="end"/>
          </w:r>
        </w:p>
        <w:p w14:paraId="65BE18CB">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_Toc20326 </w:instrText>
          </w:r>
          <w:r>
            <w:rPr>
              <w:rFonts w:hint="eastAsia" w:ascii="宋体" w:hAnsi="宋体" w:eastAsia="宋体" w:cs="宋体"/>
              <w:szCs w:val="22"/>
            </w:rPr>
            <w:fldChar w:fldCharType="separate"/>
          </w:r>
          <w:r>
            <w:rPr>
              <w:rFonts w:hint="default" w:ascii="宋体" w:hAnsi="宋体" w:cs="宋体"/>
              <w:bCs/>
              <w:szCs w:val="32"/>
            </w:rPr>
            <w:t xml:space="preserve">3.13.1 </w:t>
          </w:r>
          <w:r>
            <w:rPr>
              <w:rFonts w:hint="eastAsia"/>
            </w:rPr>
            <w:t>空气质量、温度、湿度</w:t>
          </w:r>
          <w:r>
            <w:tab/>
          </w:r>
          <w:r>
            <w:fldChar w:fldCharType="begin"/>
          </w:r>
          <w:r>
            <w:instrText xml:space="preserve"> PAGEREF _Toc20326 \h </w:instrText>
          </w:r>
          <w:r>
            <w:fldChar w:fldCharType="separate"/>
          </w:r>
          <w:r>
            <w:t>92</w:t>
          </w:r>
          <w:r>
            <w:fldChar w:fldCharType="end"/>
          </w:r>
          <w:r>
            <w:rPr>
              <w:rFonts w:hint="eastAsia" w:ascii="宋体" w:hAnsi="宋体" w:eastAsia="宋体" w:cs="宋体"/>
              <w:szCs w:val="22"/>
            </w:rPr>
            <w:fldChar w:fldCharType="end"/>
          </w:r>
        </w:p>
        <w:p w14:paraId="35C81FD2">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_Toc32162 </w:instrText>
          </w:r>
          <w:r>
            <w:rPr>
              <w:rFonts w:hint="eastAsia" w:ascii="宋体" w:hAnsi="宋体" w:eastAsia="宋体" w:cs="宋体"/>
              <w:szCs w:val="22"/>
            </w:rPr>
            <w:fldChar w:fldCharType="separate"/>
          </w:r>
          <w:r>
            <w:rPr>
              <w:rFonts w:hint="default" w:ascii="宋体" w:hAnsi="宋体" w:cs="宋体"/>
              <w:bCs/>
              <w:szCs w:val="32"/>
            </w:rPr>
            <w:t xml:space="preserve">3.13.2 </w:t>
          </w:r>
          <w:r>
            <w:rPr>
              <w:rFonts w:hint="eastAsia"/>
            </w:rPr>
            <w:t>采光、照明</w:t>
          </w:r>
          <w:r>
            <w:tab/>
          </w:r>
          <w:r>
            <w:fldChar w:fldCharType="begin"/>
          </w:r>
          <w:r>
            <w:instrText xml:space="preserve"> PAGEREF _Toc32162 \h </w:instrText>
          </w:r>
          <w:r>
            <w:fldChar w:fldCharType="separate"/>
          </w:r>
          <w:r>
            <w:t>93</w:t>
          </w:r>
          <w:r>
            <w:fldChar w:fldCharType="end"/>
          </w:r>
          <w:r>
            <w:rPr>
              <w:rFonts w:hint="eastAsia" w:ascii="宋体" w:hAnsi="宋体" w:eastAsia="宋体" w:cs="宋体"/>
              <w:szCs w:val="22"/>
            </w:rPr>
            <w:fldChar w:fldCharType="end"/>
          </w:r>
        </w:p>
        <w:p w14:paraId="0F33817C">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_Toc23572 </w:instrText>
          </w:r>
          <w:r>
            <w:rPr>
              <w:rFonts w:hint="eastAsia" w:ascii="宋体" w:hAnsi="宋体" w:eastAsia="宋体" w:cs="宋体"/>
              <w:szCs w:val="22"/>
            </w:rPr>
            <w:fldChar w:fldCharType="separate"/>
          </w:r>
          <w:r>
            <w:rPr>
              <w:rFonts w:hint="default" w:ascii="黑体" w:hAnsi="黑体" w:eastAsia="黑体" w:cs="黑体"/>
              <w:bCs w:val="0"/>
              <w:szCs w:val="32"/>
            </w:rPr>
            <w:t xml:space="preserve">3.14 </w:t>
          </w:r>
          <w:r>
            <w:rPr>
              <w:rFonts w:hint="eastAsia"/>
            </w:rPr>
            <w:t>危险、危害因素辨识结果</w:t>
          </w:r>
          <w:r>
            <w:tab/>
          </w:r>
          <w:r>
            <w:fldChar w:fldCharType="begin"/>
          </w:r>
          <w:r>
            <w:instrText xml:space="preserve"> PAGEREF _Toc23572 \h </w:instrText>
          </w:r>
          <w:r>
            <w:fldChar w:fldCharType="separate"/>
          </w:r>
          <w:r>
            <w:t>93</w:t>
          </w:r>
          <w:r>
            <w:fldChar w:fldCharType="end"/>
          </w:r>
          <w:r>
            <w:rPr>
              <w:rFonts w:hint="eastAsia" w:ascii="宋体" w:hAnsi="宋体" w:eastAsia="宋体" w:cs="宋体"/>
              <w:szCs w:val="22"/>
            </w:rPr>
            <w:fldChar w:fldCharType="end"/>
          </w:r>
        </w:p>
        <w:p w14:paraId="6F8396B2">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_Toc18874 </w:instrText>
          </w:r>
          <w:r>
            <w:rPr>
              <w:rFonts w:hint="eastAsia" w:ascii="宋体" w:hAnsi="宋体" w:eastAsia="宋体" w:cs="宋体"/>
              <w:szCs w:val="22"/>
            </w:rPr>
            <w:fldChar w:fldCharType="separate"/>
          </w:r>
          <w:r>
            <w:rPr>
              <w:rFonts w:hint="default" w:ascii="黑体" w:hAnsi="黑体" w:eastAsia="黑体" w:cs="黑体"/>
              <w:bCs w:val="0"/>
              <w:szCs w:val="32"/>
            </w:rPr>
            <w:t xml:space="preserve">3.15 </w:t>
          </w:r>
          <w:r>
            <w:rPr>
              <w:rFonts w:hint="eastAsia"/>
            </w:rPr>
            <w:t>事故案例</w:t>
          </w:r>
          <w:r>
            <w:tab/>
          </w:r>
          <w:r>
            <w:fldChar w:fldCharType="begin"/>
          </w:r>
          <w:r>
            <w:instrText xml:space="preserve"> PAGEREF _Toc18874 \h </w:instrText>
          </w:r>
          <w:r>
            <w:fldChar w:fldCharType="separate"/>
          </w:r>
          <w:r>
            <w:t>94</w:t>
          </w:r>
          <w:r>
            <w:fldChar w:fldCharType="end"/>
          </w:r>
          <w:r>
            <w:rPr>
              <w:rFonts w:hint="eastAsia" w:ascii="宋体" w:hAnsi="宋体" w:eastAsia="宋体" w:cs="宋体"/>
              <w:szCs w:val="22"/>
            </w:rPr>
            <w:fldChar w:fldCharType="end"/>
          </w:r>
        </w:p>
        <w:p w14:paraId="6B8FD3E0">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_Toc22658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3.15.1 </w:t>
          </w:r>
          <w:r>
            <w:rPr>
              <w:rFonts w:hint="eastAsia"/>
              <w:lang w:val="en-US" w:eastAsia="zh-CN"/>
            </w:rPr>
            <w:t>惠东县华业铸造厂“2·18”电弧炉爆炸较大事故</w:t>
          </w:r>
          <w:r>
            <w:tab/>
          </w:r>
          <w:r>
            <w:fldChar w:fldCharType="begin"/>
          </w:r>
          <w:r>
            <w:instrText xml:space="preserve"> PAGEREF _Toc22658 \h </w:instrText>
          </w:r>
          <w:r>
            <w:fldChar w:fldCharType="separate"/>
          </w:r>
          <w:r>
            <w:t>94</w:t>
          </w:r>
          <w:r>
            <w:fldChar w:fldCharType="end"/>
          </w:r>
          <w:r>
            <w:rPr>
              <w:rFonts w:hint="eastAsia" w:ascii="宋体" w:hAnsi="宋体" w:eastAsia="宋体" w:cs="宋体"/>
              <w:szCs w:val="22"/>
            </w:rPr>
            <w:fldChar w:fldCharType="end"/>
          </w:r>
        </w:p>
        <w:p w14:paraId="76151E35">
          <w:pPr>
            <w:pStyle w:val="22"/>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_Toc3311 </w:instrText>
          </w:r>
          <w:r>
            <w:rPr>
              <w:rFonts w:hint="eastAsia" w:ascii="宋体" w:hAnsi="宋体" w:eastAsia="宋体" w:cs="宋体"/>
              <w:szCs w:val="22"/>
            </w:rPr>
            <w:fldChar w:fldCharType="separate"/>
          </w:r>
          <w:r>
            <w:rPr>
              <w:rFonts w:hint="default" w:ascii="黑体" w:hAnsi="黑体" w:eastAsia="黑体" w:cs="黑体"/>
              <w:bCs/>
              <w:szCs w:val="36"/>
            </w:rPr>
            <w:t xml:space="preserve">第4章 </w:t>
          </w:r>
          <w:r>
            <w:rPr>
              <w:rFonts w:hint="eastAsia"/>
              <w:lang w:val="en-US" w:eastAsia="zh-CN"/>
            </w:rPr>
            <w:t>评价</w:t>
          </w:r>
          <w:r>
            <w:rPr>
              <w:rFonts w:hint="eastAsia"/>
            </w:rPr>
            <w:t>单元划分及</w:t>
          </w:r>
          <w:r>
            <w:rPr>
              <w:rFonts w:hint="eastAsia"/>
              <w:lang w:val="en-US" w:eastAsia="zh-CN"/>
            </w:rPr>
            <w:t>评价</w:t>
          </w:r>
          <w:r>
            <w:rPr>
              <w:rFonts w:hint="eastAsia"/>
            </w:rPr>
            <w:t>方法选择</w:t>
          </w:r>
          <w:r>
            <w:tab/>
          </w:r>
          <w:r>
            <w:fldChar w:fldCharType="begin"/>
          </w:r>
          <w:r>
            <w:instrText xml:space="preserve"> PAGEREF _Toc3311 \h </w:instrText>
          </w:r>
          <w:r>
            <w:fldChar w:fldCharType="separate"/>
          </w:r>
          <w:r>
            <w:t>104</w:t>
          </w:r>
          <w:r>
            <w:fldChar w:fldCharType="end"/>
          </w:r>
          <w:r>
            <w:rPr>
              <w:rFonts w:hint="eastAsia" w:ascii="宋体" w:hAnsi="宋体" w:eastAsia="宋体" w:cs="宋体"/>
              <w:szCs w:val="22"/>
            </w:rPr>
            <w:fldChar w:fldCharType="end"/>
          </w:r>
        </w:p>
        <w:p w14:paraId="6D4BF691">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_Toc21900 </w:instrText>
          </w:r>
          <w:r>
            <w:rPr>
              <w:rFonts w:hint="eastAsia" w:ascii="宋体" w:hAnsi="宋体" w:eastAsia="宋体" w:cs="宋体"/>
              <w:szCs w:val="22"/>
            </w:rPr>
            <w:fldChar w:fldCharType="separate"/>
          </w:r>
          <w:r>
            <w:rPr>
              <w:rFonts w:hint="default" w:ascii="黑体" w:hAnsi="黑体" w:eastAsia="黑体" w:cs="黑体"/>
              <w:bCs w:val="0"/>
              <w:szCs w:val="32"/>
              <w:lang w:eastAsia="zh-CN"/>
            </w:rPr>
            <w:t xml:space="preserve">4.1 </w:t>
          </w:r>
          <w:r>
            <w:rPr>
              <w:rFonts w:hint="eastAsia"/>
              <w:lang w:eastAsia="zh-CN"/>
            </w:rPr>
            <w:t>评价单元划分</w:t>
          </w:r>
          <w:r>
            <w:tab/>
          </w:r>
          <w:r>
            <w:fldChar w:fldCharType="begin"/>
          </w:r>
          <w:r>
            <w:instrText xml:space="preserve"> PAGEREF _Toc21900 \h </w:instrText>
          </w:r>
          <w:r>
            <w:fldChar w:fldCharType="separate"/>
          </w:r>
          <w:r>
            <w:t>104</w:t>
          </w:r>
          <w:r>
            <w:fldChar w:fldCharType="end"/>
          </w:r>
          <w:r>
            <w:rPr>
              <w:rFonts w:hint="eastAsia" w:ascii="宋体" w:hAnsi="宋体" w:eastAsia="宋体" w:cs="宋体"/>
              <w:szCs w:val="22"/>
            </w:rPr>
            <w:fldChar w:fldCharType="end"/>
          </w:r>
        </w:p>
        <w:p w14:paraId="27B6FB7E">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_Toc29050 </w:instrText>
          </w:r>
          <w:r>
            <w:rPr>
              <w:rFonts w:hint="eastAsia" w:ascii="宋体" w:hAnsi="宋体" w:eastAsia="宋体" w:cs="宋体"/>
              <w:szCs w:val="22"/>
            </w:rPr>
            <w:fldChar w:fldCharType="separate"/>
          </w:r>
          <w:r>
            <w:rPr>
              <w:rFonts w:hint="default" w:ascii="宋体" w:hAnsi="宋体" w:cs="宋体"/>
              <w:bCs/>
              <w:szCs w:val="32"/>
            </w:rPr>
            <w:t xml:space="preserve">4.1.1 </w:t>
          </w:r>
          <w:r>
            <w:rPr>
              <w:rFonts w:hint="eastAsia"/>
              <w:lang w:eastAsia="zh-CN"/>
            </w:rPr>
            <w:t>评价单元划分</w:t>
          </w:r>
          <w:r>
            <w:rPr>
              <w:rFonts w:hint="eastAsia"/>
            </w:rPr>
            <w:t>原则</w:t>
          </w:r>
          <w:r>
            <w:tab/>
          </w:r>
          <w:r>
            <w:fldChar w:fldCharType="begin"/>
          </w:r>
          <w:r>
            <w:instrText xml:space="preserve"> PAGEREF _Toc29050 \h </w:instrText>
          </w:r>
          <w:r>
            <w:fldChar w:fldCharType="separate"/>
          </w:r>
          <w:r>
            <w:t>104</w:t>
          </w:r>
          <w:r>
            <w:fldChar w:fldCharType="end"/>
          </w:r>
          <w:r>
            <w:rPr>
              <w:rFonts w:hint="eastAsia" w:ascii="宋体" w:hAnsi="宋体" w:eastAsia="宋体" w:cs="宋体"/>
              <w:szCs w:val="22"/>
            </w:rPr>
            <w:fldChar w:fldCharType="end"/>
          </w:r>
        </w:p>
        <w:p w14:paraId="339E5D3B">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_Toc1548 </w:instrText>
          </w:r>
          <w:r>
            <w:rPr>
              <w:rFonts w:hint="eastAsia" w:ascii="宋体" w:hAnsi="宋体" w:eastAsia="宋体" w:cs="宋体"/>
              <w:szCs w:val="22"/>
            </w:rPr>
            <w:fldChar w:fldCharType="separate"/>
          </w:r>
          <w:r>
            <w:rPr>
              <w:rFonts w:hint="default" w:ascii="宋体" w:hAnsi="宋体" w:cs="宋体"/>
              <w:bCs/>
              <w:szCs w:val="32"/>
            </w:rPr>
            <w:t xml:space="preserve">4.1.2 </w:t>
          </w:r>
          <w:r>
            <w:rPr>
              <w:rFonts w:hint="eastAsia"/>
              <w:lang w:eastAsia="zh-CN"/>
            </w:rPr>
            <w:t>评价单元划分</w:t>
          </w:r>
          <w:r>
            <w:rPr>
              <w:rFonts w:hint="eastAsia"/>
            </w:rPr>
            <w:t>过程与结果</w:t>
          </w:r>
          <w:r>
            <w:tab/>
          </w:r>
          <w:r>
            <w:fldChar w:fldCharType="begin"/>
          </w:r>
          <w:r>
            <w:instrText xml:space="preserve"> PAGEREF _Toc1548 \h </w:instrText>
          </w:r>
          <w:r>
            <w:fldChar w:fldCharType="separate"/>
          </w:r>
          <w:r>
            <w:t>104</w:t>
          </w:r>
          <w:r>
            <w:fldChar w:fldCharType="end"/>
          </w:r>
          <w:r>
            <w:rPr>
              <w:rFonts w:hint="eastAsia" w:ascii="宋体" w:hAnsi="宋体" w:eastAsia="宋体" w:cs="宋体"/>
              <w:szCs w:val="22"/>
            </w:rPr>
            <w:fldChar w:fldCharType="end"/>
          </w:r>
        </w:p>
        <w:p w14:paraId="559A36AE">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_Toc29235 </w:instrText>
          </w:r>
          <w:r>
            <w:rPr>
              <w:rFonts w:hint="eastAsia" w:ascii="宋体" w:hAnsi="宋体" w:eastAsia="宋体" w:cs="宋体"/>
              <w:szCs w:val="22"/>
            </w:rPr>
            <w:fldChar w:fldCharType="separate"/>
          </w:r>
          <w:r>
            <w:rPr>
              <w:rFonts w:hint="default" w:ascii="黑体" w:hAnsi="黑体" w:eastAsia="黑体" w:cs="黑体"/>
              <w:bCs w:val="0"/>
              <w:szCs w:val="32"/>
            </w:rPr>
            <w:t xml:space="preserve">4.2 </w:t>
          </w:r>
          <w:r>
            <w:rPr>
              <w:rFonts w:hint="eastAsia"/>
              <w:lang w:eastAsia="zh-CN"/>
            </w:rPr>
            <w:t>评价方法</w:t>
          </w:r>
          <w:r>
            <w:rPr>
              <w:rFonts w:hint="eastAsia"/>
            </w:rPr>
            <w:t>简介</w:t>
          </w:r>
          <w:r>
            <w:tab/>
          </w:r>
          <w:r>
            <w:fldChar w:fldCharType="begin"/>
          </w:r>
          <w:r>
            <w:instrText xml:space="preserve"> PAGEREF _Toc29235 \h </w:instrText>
          </w:r>
          <w:r>
            <w:fldChar w:fldCharType="separate"/>
          </w:r>
          <w:r>
            <w:t>105</w:t>
          </w:r>
          <w:r>
            <w:fldChar w:fldCharType="end"/>
          </w:r>
          <w:r>
            <w:rPr>
              <w:rFonts w:hint="eastAsia" w:ascii="宋体" w:hAnsi="宋体" w:eastAsia="宋体" w:cs="宋体"/>
              <w:szCs w:val="22"/>
            </w:rPr>
            <w:fldChar w:fldCharType="end"/>
          </w:r>
        </w:p>
        <w:p w14:paraId="2C0C820A">
          <w:pPr>
            <w:pStyle w:val="22"/>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_Toc18267 </w:instrText>
          </w:r>
          <w:r>
            <w:rPr>
              <w:rFonts w:hint="eastAsia" w:ascii="宋体" w:hAnsi="宋体" w:eastAsia="宋体" w:cs="宋体"/>
              <w:szCs w:val="22"/>
            </w:rPr>
            <w:fldChar w:fldCharType="separate"/>
          </w:r>
          <w:r>
            <w:rPr>
              <w:rFonts w:hint="default" w:ascii="黑体" w:hAnsi="黑体" w:eastAsia="黑体" w:cs="黑体"/>
              <w:bCs/>
              <w:szCs w:val="36"/>
            </w:rPr>
            <w:t xml:space="preserve">第5章 </w:t>
          </w:r>
          <w:r>
            <w:rPr>
              <w:rFonts w:hint="eastAsia"/>
            </w:rPr>
            <w:t>定性定量分析</w:t>
          </w:r>
          <w:r>
            <w:tab/>
          </w:r>
          <w:r>
            <w:fldChar w:fldCharType="begin"/>
          </w:r>
          <w:r>
            <w:instrText xml:space="preserve"> PAGEREF _Toc18267 \h </w:instrText>
          </w:r>
          <w:r>
            <w:fldChar w:fldCharType="separate"/>
          </w:r>
          <w:r>
            <w:t>108</w:t>
          </w:r>
          <w:r>
            <w:fldChar w:fldCharType="end"/>
          </w:r>
          <w:r>
            <w:rPr>
              <w:rFonts w:hint="eastAsia" w:ascii="宋体" w:hAnsi="宋体" w:eastAsia="宋体" w:cs="宋体"/>
              <w:szCs w:val="22"/>
            </w:rPr>
            <w:fldChar w:fldCharType="end"/>
          </w:r>
        </w:p>
        <w:p w14:paraId="44438A2F">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_Toc30079 </w:instrText>
          </w:r>
          <w:r>
            <w:rPr>
              <w:rFonts w:hint="eastAsia" w:ascii="宋体" w:hAnsi="宋体" w:eastAsia="宋体" w:cs="宋体"/>
              <w:szCs w:val="22"/>
            </w:rPr>
            <w:fldChar w:fldCharType="separate"/>
          </w:r>
          <w:r>
            <w:rPr>
              <w:rFonts w:hint="default" w:ascii="黑体" w:hAnsi="黑体" w:eastAsia="黑体" w:cs="黑体"/>
              <w:bCs w:val="0"/>
              <w:szCs w:val="32"/>
            </w:rPr>
            <w:t xml:space="preserve">5.1 </w:t>
          </w:r>
          <w:r>
            <w:rPr>
              <w:rFonts w:hint="eastAsia"/>
            </w:rPr>
            <w:t>法律法规符合性</w:t>
          </w:r>
          <w:r>
            <w:tab/>
          </w:r>
          <w:r>
            <w:fldChar w:fldCharType="begin"/>
          </w:r>
          <w:r>
            <w:instrText xml:space="preserve"> PAGEREF _Toc30079 \h </w:instrText>
          </w:r>
          <w:r>
            <w:fldChar w:fldCharType="separate"/>
          </w:r>
          <w:r>
            <w:t>108</w:t>
          </w:r>
          <w:r>
            <w:fldChar w:fldCharType="end"/>
          </w:r>
          <w:r>
            <w:rPr>
              <w:rFonts w:hint="eastAsia" w:ascii="宋体" w:hAnsi="宋体" w:eastAsia="宋体" w:cs="宋体"/>
              <w:szCs w:val="22"/>
            </w:rPr>
            <w:fldChar w:fldCharType="end"/>
          </w:r>
        </w:p>
        <w:p w14:paraId="367AE054">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_Toc13037 </w:instrText>
          </w:r>
          <w:r>
            <w:rPr>
              <w:rFonts w:hint="eastAsia" w:ascii="宋体" w:hAnsi="宋体" w:eastAsia="宋体" w:cs="宋体"/>
              <w:szCs w:val="22"/>
            </w:rPr>
            <w:fldChar w:fldCharType="separate"/>
          </w:r>
          <w:r>
            <w:rPr>
              <w:rFonts w:hint="default" w:ascii="宋体" w:hAnsi="宋体" w:cs="宋体"/>
              <w:bCs/>
              <w:szCs w:val="32"/>
            </w:rPr>
            <w:t xml:space="preserve">5.1.1 </w:t>
          </w:r>
          <w:r>
            <w:rPr>
              <w:rFonts w:hint="eastAsia"/>
              <w:lang w:val="en-US" w:eastAsia="zh-CN"/>
            </w:rPr>
            <w:t>法律法规符合性检查</w:t>
          </w:r>
          <w:r>
            <w:tab/>
          </w:r>
          <w:r>
            <w:fldChar w:fldCharType="begin"/>
          </w:r>
          <w:r>
            <w:instrText xml:space="preserve"> PAGEREF _Toc13037 \h </w:instrText>
          </w:r>
          <w:r>
            <w:fldChar w:fldCharType="separate"/>
          </w:r>
          <w:r>
            <w:t>108</w:t>
          </w:r>
          <w:r>
            <w:fldChar w:fldCharType="end"/>
          </w:r>
          <w:r>
            <w:rPr>
              <w:rFonts w:hint="eastAsia" w:ascii="宋体" w:hAnsi="宋体" w:eastAsia="宋体" w:cs="宋体"/>
              <w:szCs w:val="22"/>
            </w:rPr>
            <w:fldChar w:fldCharType="end"/>
          </w:r>
        </w:p>
        <w:p w14:paraId="669E2E28">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_Toc28932 </w:instrText>
          </w:r>
          <w:r>
            <w:rPr>
              <w:rFonts w:hint="eastAsia" w:ascii="宋体" w:hAnsi="宋体" w:eastAsia="宋体" w:cs="宋体"/>
              <w:szCs w:val="22"/>
            </w:rPr>
            <w:fldChar w:fldCharType="separate"/>
          </w:r>
          <w:r>
            <w:rPr>
              <w:rFonts w:hint="default" w:ascii="宋体" w:hAnsi="宋体" w:cs="宋体"/>
              <w:bCs/>
              <w:szCs w:val="32"/>
            </w:rPr>
            <w:t xml:space="preserve">5.1.2 </w:t>
          </w:r>
          <w:r>
            <w:rPr>
              <w:rFonts w:hint="eastAsia"/>
            </w:rPr>
            <w:t>法律法规符合性评价结果</w:t>
          </w:r>
          <w:r>
            <w:tab/>
          </w:r>
          <w:r>
            <w:fldChar w:fldCharType="begin"/>
          </w:r>
          <w:r>
            <w:instrText xml:space="preserve"> PAGEREF _Toc28932 \h </w:instrText>
          </w:r>
          <w:r>
            <w:fldChar w:fldCharType="separate"/>
          </w:r>
          <w:r>
            <w:t>109</w:t>
          </w:r>
          <w:r>
            <w:fldChar w:fldCharType="end"/>
          </w:r>
          <w:r>
            <w:rPr>
              <w:rFonts w:hint="eastAsia" w:ascii="宋体" w:hAnsi="宋体" w:eastAsia="宋体" w:cs="宋体"/>
              <w:szCs w:val="22"/>
            </w:rPr>
            <w:fldChar w:fldCharType="end"/>
          </w:r>
        </w:p>
        <w:p w14:paraId="2BECFCB9">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_Toc10703 </w:instrText>
          </w:r>
          <w:r>
            <w:rPr>
              <w:rFonts w:hint="eastAsia" w:ascii="宋体" w:hAnsi="宋体" w:eastAsia="宋体" w:cs="宋体"/>
              <w:szCs w:val="22"/>
            </w:rPr>
            <w:fldChar w:fldCharType="separate"/>
          </w:r>
          <w:r>
            <w:rPr>
              <w:rFonts w:hint="default" w:ascii="黑体" w:hAnsi="黑体" w:eastAsia="黑体" w:cs="黑体"/>
              <w:bCs w:val="0"/>
              <w:szCs w:val="32"/>
            </w:rPr>
            <w:t xml:space="preserve">5.2 </w:t>
          </w:r>
          <w:r>
            <w:rPr>
              <w:rFonts w:hint="eastAsia"/>
            </w:rPr>
            <w:t>选址、总平面布置及建构筑物单元评价</w:t>
          </w:r>
          <w:r>
            <w:tab/>
          </w:r>
          <w:r>
            <w:fldChar w:fldCharType="begin"/>
          </w:r>
          <w:r>
            <w:instrText xml:space="preserve"> PAGEREF _Toc10703 \h </w:instrText>
          </w:r>
          <w:r>
            <w:fldChar w:fldCharType="separate"/>
          </w:r>
          <w:r>
            <w:t>109</w:t>
          </w:r>
          <w:r>
            <w:fldChar w:fldCharType="end"/>
          </w:r>
          <w:r>
            <w:rPr>
              <w:rFonts w:hint="eastAsia" w:ascii="宋体" w:hAnsi="宋体" w:eastAsia="宋体" w:cs="宋体"/>
              <w:szCs w:val="22"/>
            </w:rPr>
            <w:fldChar w:fldCharType="end"/>
          </w:r>
        </w:p>
        <w:p w14:paraId="1F45D2C5">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_Toc25514 </w:instrText>
          </w:r>
          <w:r>
            <w:rPr>
              <w:rFonts w:hint="eastAsia" w:ascii="宋体" w:hAnsi="宋体" w:eastAsia="宋体" w:cs="宋体"/>
              <w:szCs w:val="22"/>
            </w:rPr>
            <w:fldChar w:fldCharType="separate"/>
          </w:r>
          <w:r>
            <w:rPr>
              <w:rFonts w:hint="default" w:ascii="宋体" w:hAnsi="宋体" w:cs="宋体"/>
              <w:bCs/>
              <w:szCs w:val="32"/>
            </w:rPr>
            <w:t xml:space="preserve">5.2.1 </w:t>
          </w:r>
          <w:r>
            <w:rPr>
              <w:rFonts w:hint="eastAsia"/>
            </w:rPr>
            <w:t>选址、总平面布置及建构筑物单元</w:t>
          </w:r>
          <w:r>
            <w:rPr>
              <w:rFonts w:hint="eastAsia"/>
              <w:lang w:val="en-US" w:eastAsia="zh-CN"/>
            </w:rPr>
            <w:t>符合性检查</w:t>
          </w:r>
          <w:r>
            <w:tab/>
          </w:r>
          <w:r>
            <w:fldChar w:fldCharType="begin"/>
          </w:r>
          <w:r>
            <w:instrText xml:space="preserve"> PAGEREF _Toc25514 \h </w:instrText>
          </w:r>
          <w:r>
            <w:fldChar w:fldCharType="separate"/>
          </w:r>
          <w:r>
            <w:t>109</w:t>
          </w:r>
          <w:r>
            <w:fldChar w:fldCharType="end"/>
          </w:r>
          <w:r>
            <w:rPr>
              <w:rFonts w:hint="eastAsia" w:ascii="宋体" w:hAnsi="宋体" w:eastAsia="宋体" w:cs="宋体"/>
              <w:szCs w:val="22"/>
            </w:rPr>
            <w:fldChar w:fldCharType="end"/>
          </w:r>
        </w:p>
        <w:p w14:paraId="5CD7C623">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_Toc4367 </w:instrText>
          </w:r>
          <w:r>
            <w:rPr>
              <w:rFonts w:hint="eastAsia" w:ascii="宋体" w:hAnsi="宋体" w:eastAsia="宋体" w:cs="宋体"/>
              <w:szCs w:val="22"/>
            </w:rPr>
            <w:fldChar w:fldCharType="separate"/>
          </w:r>
          <w:r>
            <w:rPr>
              <w:rFonts w:hint="default" w:ascii="宋体" w:hAnsi="宋体" w:cs="宋体"/>
              <w:bCs/>
              <w:szCs w:val="32"/>
            </w:rPr>
            <w:t xml:space="preserve">5.2.2 </w:t>
          </w:r>
          <w:r>
            <w:rPr>
              <w:rFonts w:hint="eastAsia"/>
            </w:rPr>
            <w:t>选址、总平面布置及建构筑物单元符合性评价结果</w:t>
          </w:r>
          <w:r>
            <w:tab/>
          </w:r>
          <w:r>
            <w:fldChar w:fldCharType="begin"/>
          </w:r>
          <w:r>
            <w:instrText xml:space="preserve"> PAGEREF _Toc4367 \h </w:instrText>
          </w:r>
          <w:r>
            <w:fldChar w:fldCharType="separate"/>
          </w:r>
          <w:r>
            <w:t>113</w:t>
          </w:r>
          <w:r>
            <w:fldChar w:fldCharType="end"/>
          </w:r>
          <w:r>
            <w:rPr>
              <w:rFonts w:hint="eastAsia" w:ascii="宋体" w:hAnsi="宋体" w:eastAsia="宋体" w:cs="宋体"/>
              <w:szCs w:val="22"/>
            </w:rPr>
            <w:fldChar w:fldCharType="end"/>
          </w:r>
        </w:p>
        <w:p w14:paraId="0B4A5447">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_Toc8432 </w:instrText>
          </w:r>
          <w:r>
            <w:rPr>
              <w:rFonts w:hint="eastAsia" w:ascii="宋体" w:hAnsi="宋体" w:eastAsia="宋体" w:cs="宋体"/>
              <w:szCs w:val="22"/>
            </w:rPr>
            <w:fldChar w:fldCharType="separate"/>
          </w:r>
          <w:r>
            <w:rPr>
              <w:rFonts w:hint="default" w:ascii="黑体" w:hAnsi="黑体" w:eastAsia="黑体" w:cs="黑体"/>
              <w:bCs w:val="0"/>
              <w:szCs w:val="32"/>
              <w:lang w:val="en-US" w:eastAsia="zh-CN"/>
            </w:rPr>
            <w:t xml:space="preserve">5.3 </w:t>
          </w:r>
          <w:r>
            <w:rPr>
              <w:rFonts w:hint="eastAsia"/>
              <w:lang w:val="en-US" w:eastAsia="zh-CN"/>
            </w:rPr>
            <w:t>物料、产品安全性评价单元</w:t>
          </w:r>
          <w:r>
            <w:tab/>
          </w:r>
          <w:r>
            <w:fldChar w:fldCharType="begin"/>
          </w:r>
          <w:r>
            <w:instrText xml:space="preserve"> PAGEREF _Toc8432 \h </w:instrText>
          </w:r>
          <w:r>
            <w:fldChar w:fldCharType="separate"/>
          </w:r>
          <w:r>
            <w:t>113</w:t>
          </w:r>
          <w:r>
            <w:fldChar w:fldCharType="end"/>
          </w:r>
          <w:r>
            <w:rPr>
              <w:rFonts w:hint="eastAsia" w:ascii="宋体" w:hAnsi="宋体" w:eastAsia="宋体" w:cs="宋体"/>
              <w:szCs w:val="22"/>
            </w:rPr>
            <w:fldChar w:fldCharType="end"/>
          </w:r>
        </w:p>
        <w:p w14:paraId="06408FA3">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_Toc28238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5.3.1 </w:t>
          </w:r>
          <w:r>
            <w:rPr>
              <w:rFonts w:hint="eastAsia"/>
              <w:lang w:val="en-US" w:eastAsia="zh-CN"/>
            </w:rPr>
            <w:t>物料、产品安全性评价单元符合性检查</w:t>
          </w:r>
          <w:r>
            <w:tab/>
          </w:r>
          <w:r>
            <w:fldChar w:fldCharType="begin"/>
          </w:r>
          <w:r>
            <w:instrText xml:space="preserve"> PAGEREF _Toc28238 \h </w:instrText>
          </w:r>
          <w:r>
            <w:fldChar w:fldCharType="separate"/>
          </w:r>
          <w:r>
            <w:t>113</w:t>
          </w:r>
          <w:r>
            <w:fldChar w:fldCharType="end"/>
          </w:r>
          <w:r>
            <w:rPr>
              <w:rFonts w:hint="eastAsia" w:ascii="宋体" w:hAnsi="宋体" w:eastAsia="宋体" w:cs="宋体"/>
              <w:szCs w:val="22"/>
            </w:rPr>
            <w:fldChar w:fldCharType="end"/>
          </w:r>
        </w:p>
        <w:p w14:paraId="245983FA">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_Toc32673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5.3.2 </w:t>
          </w:r>
          <w:r>
            <w:rPr>
              <w:rFonts w:hint="eastAsia"/>
              <w:lang w:val="en-US" w:eastAsia="zh-CN"/>
            </w:rPr>
            <w:t>物料、产品安全性评价单元符合性评价结果</w:t>
          </w:r>
          <w:r>
            <w:tab/>
          </w:r>
          <w:r>
            <w:fldChar w:fldCharType="begin"/>
          </w:r>
          <w:r>
            <w:instrText xml:space="preserve"> PAGEREF _Toc32673 \h </w:instrText>
          </w:r>
          <w:r>
            <w:fldChar w:fldCharType="separate"/>
          </w:r>
          <w:r>
            <w:t>115</w:t>
          </w:r>
          <w:r>
            <w:fldChar w:fldCharType="end"/>
          </w:r>
          <w:r>
            <w:rPr>
              <w:rFonts w:hint="eastAsia" w:ascii="宋体" w:hAnsi="宋体" w:eastAsia="宋体" w:cs="宋体"/>
              <w:szCs w:val="22"/>
            </w:rPr>
            <w:fldChar w:fldCharType="end"/>
          </w:r>
        </w:p>
        <w:p w14:paraId="26822277">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_Toc19989 </w:instrText>
          </w:r>
          <w:r>
            <w:rPr>
              <w:rFonts w:hint="eastAsia" w:ascii="宋体" w:hAnsi="宋体" w:eastAsia="宋体" w:cs="宋体"/>
              <w:szCs w:val="22"/>
            </w:rPr>
            <w:fldChar w:fldCharType="separate"/>
          </w:r>
          <w:r>
            <w:rPr>
              <w:rFonts w:hint="default" w:ascii="黑体" w:hAnsi="黑体" w:eastAsia="黑体" w:cs="黑体"/>
              <w:bCs w:val="0"/>
              <w:szCs w:val="32"/>
            </w:rPr>
            <w:t xml:space="preserve">5.4 </w:t>
          </w:r>
          <w:r>
            <w:rPr>
              <w:rFonts w:hint="eastAsia"/>
            </w:rPr>
            <w:t>生产工艺系统、装置、设施、设备单元</w:t>
          </w:r>
          <w:r>
            <w:tab/>
          </w:r>
          <w:r>
            <w:fldChar w:fldCharType="begin"/>
          </w:r>
          <w:r>
            <w:instrText xml:space="preserve"> PAGEREF _Toc19989 \h </w:instrText>
          </w:r>
          <w:r>
            <w:fldChar w:fldCharType="separate"/>
          </w:r>
          <w:r>
            <w:t>115</w:t>
          </w:r>
          <w:r>
            <w:fldChar w:fldCharType="end"/>
          </w:r>
          <w:r>
            <w:rPr>
              <w:rFonts w:hint="eastAsia" w:ascii="宋体" w:hAnsi="宋体" w:eastAsia="宋体" w:cs="宋体"/>
              <w:szCs w:val="22"/>
            </w:rPr>
            <w:fldChar w:fldCharType="end"/>
          </w:r>
        </w:p>
        <w:p w14:paraId="45CDA8E3">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_Toc20325 </w:instrText>
          </w:r>
          <w:r>
            <w:rPr>
              <w:rFonts w:hint="eastAsia" w:ascii="宋体" w:hAnsi="宋体" w:eastAsia="宋体" w:cs="宋体"/>
              <w:szCs w:val="22"/>
            </w:rPr>
            <w:fldChar w:fldCharType="separate"/>
          </w:r>
          <w:r>
            <w:rPr>
              <w:rFonts w:hint="default" w:ascii="宋体" w:hAnsi="宋体" w:cs="宋体"/>
              <w:bCs/>
              <w:szCs w:val="32"/>
            </w:rPr>
            <w:t xml:space="preserve">5.4.1 </w:t>
          </w:r>
          <w:r>
            <w:rPr>
              <w:rFonts w:hint="eastAsia"/>
              <w:lang w:val="en-US" w:eastAsia="zh-CN"/>
            </w:rPr>
            <w:t>生产工艺系统、装置、设施、设备单元符合性检查</w:t>
          </w:r>
          <w:r>
            <w:tab/>
          </w:r>
          <w:r>
            <w:fldChar w:fldCharType="begin"/>
          </w:r>
          <w:r>
            <w:instrText xml:space="preserve"> PAGEREF _Toc20325 \h </w:instrText>
          </w:r>
          <w:r>
            <w:fldChar w:fldCharType="separate"/>
          </w:r>
          <w:r>
            <w:t>115</w:t>
          </w:r>
          <w:r>
            <w:fldChar w:fldCharType="end"/>
          </w:r>
          <w:r>
            <w:rPr>
              <w:rFonts w:hint="eastAsia" w:ascii="宋体" w:hAnsi="宋体" w:eastAsia="宋体" w:cs="宋体"/>
              <w:szCs w:val="22"/>
            </w:rPr>
            <w:fldChar w:fldCharType="end"/>
          </w:r>
        </w:p>
        <w:p w14:paraId="0657B7B1">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_Toc27042 </w:instrText>
          </w:r>
          <w:r>
            <w:rPr>
              <w:rFonts w:hint="eastAsia" w:ascii="宋体" w:hAnsi="宋体" w:eastAsia="宋体" w:cs="宋体"/>
              <w:szCs w:val="22"/>
            </w:rPr>
            <w:fldChar w:fldCharType="separate"/>
          </w:r>
          <w:r>
            <w:rPr>
              <w:rFonts w:hint="default" w:ascii="宋体" w:hAnsi="宋体" w:cs="宋体"/>
              <w:bCs/>
              <w:szCs w:val="32"/>
            </w:rPr>
            <w:t xml:space="preserve">5.4.2 </w:t>
          </w:r>
          <w:r>
            <w:rPr>
              <w:rFonts w:hint="eastAsia"/>
              <w:lang w:val="en-US" w:eastAsia="zh-CN"/>
            </w:rPr>
            <w:t>生产工艺系统、装置、设施、设备单元符合性检查结果</w:t>
          </w:r>
          <w:r>
            <w:tab/>
          </w:r>
          <w:r>
            <w:fldChar w:fldCharType="begin"/>
          </w:r>
          <w:r>
            <w:instrText xml:space="preserve"> PAGEREF _Toc27042 \h </w:instrText>
          </w:r>
          <w:r>
            <w:fldChar w:fldCharType="separate"/>
          </w:r>
          <w:r>
            <w:t>119</w:t>
          </w:r>
          <w:r>
            <w:fldChar w:fldCharType="end"/>
          </w:r>
          <w:r>
            <w:rPr>
              <w:rFonts w:hint="eastAsia" w:ascii="宋体" w:hAnsi="宋体" w:eastAsia="宋体" w:cs="宋体"/>
              <w:szCs w:val="22"/>
            </w:rPr>
            <w:fldChar w:fldCharType="end"/>
          </w:r>
        </w:p>
        <w:p w14:paraId="7FEA1D02">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_Toc21455 </w:instrText>
          </w:r>
          <w:r>
            <w:rPr>
              <w:rFonts w:hint="eastAsia" w:ascii="宋体" w:hAnsi="宋体" w:eastAsia="宋体" w:cs="宋体"/>
              <w:szCs w:val="22"/>
            </w:rPr>
            <w:fldChar w:fldCharType="separate"/>
          </w:r>
          <w:r>
            <w:rPr>
              <w:rFonts w:hint="default" w:ascii="黑体" w:hAnsi="黑体" w:eastAsia="黑体" w:cs="黑体"/>
              <w:bCs w:val="0"/>
              <w:szCs w:val="32"/>
            </w:rPr>
            <w:t xml:space="preserve">5.5 </w:t>
          </w:r>
          <w:r>
            <w:rPr>
              <w:rFonts w:hint="eastAsia"/>
            </w:rPr>
            <w:t>公用和辅助设备设施</w:t>
          </w:r>
          <w:r>
            <w:rPr>
              <w:rFonts w:hint="eastAsia"/>
              <w:lang w:val="en-US" w:eastAsia="zh-CN"/>
            </w:rPr>
            <w:t>单元</w:t>
          </w:r>
          <w:r>
            <w:tab/>
          </w:r>
          <w:r>
            <w:fldChar w:fldCharType="begin"/>
          </w:r>
          <w:r>
            <w:instrText xml:space="preserve"> PAGEREF _Toc21455 \h </w:instrText>
          </w:r>
          <w:r>
            <w:fldChar w:fldCharType="separate"/>
          </w:r>
          <w:r>
            <w:t>119</w:t>
          </w:r>
          <w:r>
            <w:fldChar w:fldCharType="end"/>
          </w:r>
          <w:r>
            <w:rPr>
              <w:rFonts w:hint="eastAsia" w:ascii="宋体" w:hAnsi="宋体" w:eastAsia="宋体" w:cs="宋体"/>
              <w:szCs w:val="22"/>
            </w:rPr>
            <w:fldChar w:fldCharType="end"/>
          </w:r>
        </w:p>
        <w:p w14:paraId="66DA4163">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_Toc28745 </w:instrText>
          </w:r>
          <w:r>
            <w:rPr>
              <w:rFonts w:hint="eastAsia" w:ascii="宋体" w:hAnsi="宋体" w:eastAsia="宋体" w:cs="宋体"/>
              <w:szCs w:val="22"/>
            </w:rPr>
            <w:fldChar w:fldCharType="separate"/>
          </w:r>
          <w:r>
            <w:rPr>
              <w:rFonts w:hint="default" w:ascii="宋体" w:hAnsi="宋体" w:cs="宋体"/>
              <w:bCs/>
              <w:szCs w:val="32"/>
            </w:rPr>
            <w:t xml:space="preserve">5.5.1 </w:t>
          </w:r>
          <w:r>
            <w:rPr>
              <w:rFonts w:hint="eastAsia"/>
            </w:rPr>
            <w:t>公用和辅助设备设施</w:t>
          </w:r>
          <w:r>
            <w:rPr>
              <w:rFonts w:hint="eastAsia"/>
              <w:lang w:eastAsia="zh-CN"/>
            </w:rPr>
            <w:t>单元</w:t>
          </w:r>
          <w:r>
            <w:rPr>
              <w:rFonts w:hint="eastAsia"/>
              <w:lang w:val="en-US" w:eastAsia="zh-CN"/>
            </w:rPr>
            <w:t>符合性检查</w:t>
          </w:r>
          <w:r>
            <w:tab/>
          </w:r>
          <w:r>
            <w:fldChar w:fldCharType="begin"/>
          </w:r>
          <w:r>
            <w:instrText xml:space="preserve"> PAGEREF _Toc28745 \h </w:instrText>
          </w:r>
          <w:r>
            <w:fldChar w:fldCharType="separate"/>
          </w:r>
          <w:r>
            <w:t>119</w:t>
          </w:r>
          <w:r>
            <w:fldChar w:fldCharType="end"/>
          </w:r>
          <w:r>
            <w:rPr>
              <w:rFonts w:hint="eastAsia" w:ascii="宋体" w:hAnsi="宋体" w:eastAsia="宋体" w:cs="宋体"/>
              <w:szCs w:val="22"/>
            </w:rPr>
            <w:fldChar w:fldCharType="end"/>
          </w:r>
        </w:p>
        <w:p w14:paraId="624112F6">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_Toc14542 </w:instrText>
          </w:r>
          <w:r>
            <w:rPr>
              <w:rFonts w:hint="eastAsia" w:ascii="宋体" w:hAnsi="宋体" w:eastAsia="宋体" w:cs="宋体"/>
              <w:szCs w:val="22"/>
            </w:rPr>
            <w:fldChar w:fldCharType="separate"/>
          </w:r>
          <w:r>
            <w:rPr>
              <w:rFonts w:hint="default" w:ascii="宋体" w:hAnsi="宋体" w:cs="宋体"/>
              <w:bCs/>
              <w:szCs w:val="32"/>
              <w:lang w:val="en-US" w:eastAsia="zh-CN"/>
            </w:rPr>
            <w:t xml:space="preserve">5.5.2 </w:t>
          </w:r>
          <w:r>
            <w:rPr>
              <w:rFonts w:hint="eastAsia"/>
            </w:rPr>
            <w:t>公用和辅助设备设施</w:t>
          </w:r>
          <w:r>
            <w:rPr>
              <w:rFonts w:hint="eastAsia"/>
              <w:lang w:val="en-US" w:eastAsia="zh-CN"/>
            </w:rPr>
            <w:t>单元符合性检查结果</w:t>
          </w:r>
          <w:r>
            <w:tab/>
          </w:r>
          <w:r>
            <w:fldChar w:fldCharType="begin"/>
          </w:r>
          <w:r>
            <w:instrText xml:space="preserve"> PAGEREF _Toc14542 \h </w:instrText>
          </w:r>
          <w:r>
            <w:fldChar w:fldCharType="separate"/>
          </w:r>
          <w:r>
            <w:t>128</w:t>
          </w:r>
          <w:r>
            <w:fldChar w:fldCharType="end"/>
          </w:r>
          <w:r>
            <w:rPr>
              <w:rFonts w:hint="eastAsia" w:ascii="宋体" w:hAnsi="宋体" w:eastAsia="宋体" w:cs="宋体"/>
              <w:szCs w:val="22"/>
            </w:rPr>
            <w:fldChar w:fldCharType="end"/>
          </w:r>
        </w:p>
        <w:p w14:paraId="12D73CD9">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_Toc14485 </w:instrText>
          </w:r>
          <w:r>
            <w:rPr>
              <w:rFonts w:hint="eastAsia" w:ascii="宋体" w:hAnsi="宋体" w:eastAsia="宋体" w:cs="宋体"/>
              <w:szCs w:val="22"/>
            </w:rPr>
            <w:fldChar w:fldCharType="separate"/>
          </w:r>
          <w:r>
            <w:rPr>
              <w:rFonts w:hint="default" w:ascii="黑体" w:hAnsi="黑体" w:eastAsia="黑体" w:cs="黑体"/>
              <w:bCs w:val="0"/>
              <w:szCs w:val="32"/>
            </w:rPr>
            <w:t xml:space="preserve">5.6 </w:t>
          </w:r>
          <w:r>
            <w:t>特种设备设施及强制检验设备设施单元</w:t>
          </w:r>
          <w:r>
            <w:tab/>
          </w:r>
          <w:r>
            <w:fldChar w:fldCharType="begin"/>
          </w:r>
          <w:r>
            <w:instrText xml:space="preserve"> PAGEREF _Toc14485 \h </w:instrText>
          </w:r>
          <w:r>
            <w:fldChar w:fldCharType="separate"/>
          </w:r>
          <w:r>
            <w:t>129</w:t>
          </w:r>
          <w:r>
            <w:fldChar w:fldCharType="end"/>
          </w:r>
          <w:r>
            <w:rPr>
              <w:rFonts w:hint="eastAsia" w:ascii="宋体" w:hAnsi="宋体" w:eastAsia="宋体" w:cs="宋体"/>
              <w:szCs w:val="22"/>
            </w:rPr>
            <w:fldChar w:fldCharType="end"/>
          </w:r>
        </w:p>
        <w:p w14:paraId="5B45D2F5">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_Toc21420 </w:instrText>
          </w:r>
          <w:r>
            <w:rPr>
              <w:rFonts w:hint="eastAsia" w:ascii="宋体" w:hAnsi="宋体" w:eastAsia="宋体" w:cs="宋体"/>
              <w:szCs w:val="22"/>
            </w:rPr>
            <w:fldChar w:fldCharType="separate"/>
          </w:r>
          <w:r>
            <w:rPr>
              <w:rFonts w:hint="default" w:ascii="宋体" w:hAnsi="宋体" w:cs="宋体"/>
              <w:bCs/>
              <w:szCs w:val="32"/>
            </w:rPr>
            <w:t xml:space="preserve">5.6.1 </w:t>
          </w:r>
          <w:r>
            <w:t>特种设备安全检查</w:t>
          </w:r>
          <w:r>
            <w:rPr>
              <w:rFonts w:hint="eastAsia"/>
              <w:lang w:val="en-US" w:eastAsia="zh-CN"/>
            </w:rPr>
            <w:t>单元</w:t>
          </w:r>
          <w:r>
            <w:tab/>
          </w:r>
          <w:r>
            <w:fldChar w:fldCharType="begin"/>
          </w:r>
          <w:r>
            <w:instrText xml:space="preserve"> PAGEREF _Toc21420 \h </w:instrText>
          </w:r>
          <w:r>
            <w:fldChar w:fldCharType="separate"/>
          </w:r>
          <w:r>
            <w:t>129</w:t>
          </w:r>
          <w:r>
            <w:fldChar w:fldCharType="end"/>
          </w:r>
          <w:r>
            <w:rPr>
              <w:rFonts w:hint="eastAsia" w:ascii="宋体" w:hAnsi="宋体" w:eastAsia="宋体" w:cs="宋体"/>
              <w:szCs w:val="22"/>
            </w:rPr>
            <w:fldChar w:fldCharType="end"/>
          </w:r>
        </w:p>
        <w:p w14:paraId="140ED5E5">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_Toc32725 </w:instrText>
          </w:r>
          <w:r>
            <w:rPr>
              <w:rFonts w:hint="eastAsia" w:ascii="宋体" w:hAnsi="宋体" w:eastAsia="宋体" w:cs="宋体"/>
              <w:szCs w:val="22"/>
            </w:rPr>
            <w:fldChar w:fldCharType="separate"/>
          </w:r>
          <w:r>
            <w:rPr>
              <w:rFonts w:hint="default" w:ascii="宋体" w:hAnsi="宋体" w:cs="宋体"/>
              <w:bCs/>
              <w:szCs w:val="32"/>
            </w:rPr>
            <w:t xml:space="preserve">5.6.2 </w:t>
          </w:r>
          <w:r>
            <w:t>强制检验设备安全检查</w:t>
          </w:r>
          <w:r>
            <w:rPr>
              <w:rFonts w:hint="eastAsia"/>
              <w:lang w:val="en-US" w:eastAsia="zh-CN"/>
            </w:rPr>
            <w:t>单元</w:t>
          </w:r>
          <w:r>
            <w:tab/>
          </w:r>
          <w:r>
            <w:fldChar w:fldCharType="begin"/>
          </w:r>
          <w:r>
            <w:instrText xml:space="preserve"> PAGEREF _Toc32725 \h </w:instrText>
          </w:r>
          <w:r>
            <w:fldChar w:fldCharType="separate"/>
          </w:r>
          <w:r>
            <w:t>132</w:t>
          </w:r>
          <w:r>
            <w:fldChar w:fldCharType="end"/>
          </w:r>
          <w:r>
            <w:rPr>
              <w:rFonts w:hint="eastAsia" w:ascii="宋体" w:hAnsi="宋体" w:eastAsia="宋体" w:cs="宋体"/>
              <w:szCs w:val="22"/>
            </w:rPr>
            <w:fldChar w:fldCharType="end"/>
          </w:r>
        </w:p>
        <w:p w14:paraId="07A847D8">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_Toc23807 </w:instrText>
          </w:r>
          <w:r>
            <w:rPr>
              <w:rFonts w:hint="eastAsia" w:ascii="宋体" w:hAnsi="宋体" w:eastAsia="宋体" w:cs="宋体"/>
              <w:szCs w:val="22"/>
            </w:rPr>
            <w:fldChar w:fldCharType="separate"/>
          </w:r>
          <w:r>
            <w:rPr>
              <w:rFonts w:hint="default" w:ascii="黑体" w:hAnsi="黑体" w:eastAsia="黑体" w:cs="黑体"/>
              <w:bCs w:val="0"/>
              <w:szCs w:val="32"/>
            </w:rPr>
            <w:t xml:space="preserve">5.7 </w:t>
          </w:r>
          <w:r>
            <w:rPr>
              <w:rFonts w:hint="eastAsia"/>
            </w:rPr>
            <w:t>周边环境适宜性评价</w:t>
          </w:r>
          <w:r>
            <w:tab/>
          </w:r>
          <w:r>
            <w:fldChar w:fldCharType="begin"/>
          </w:r>
          <w:r>
            <w:instrText xml:space="preserve"> PAGEREF _Toc23807 \h </w:instrText>
          </w:r>
          <w:r>
            <w:fldChar w:fldCharType="separate"/>
          </w:r>
          <w:r>
            <w:t>133</w:t>
          </w:r>
          <w:r>
            <w:fldChar w:fldCharType="end"/>
          </w:r>
          <w:r>
            <w:rPr>
              <w:rFonts w:hint="eastAsia" w:ascii="宋体" w:hAnsi="宋体" w:eastAsia="宋体" w:cs="宋体"/>
              <w:szCs w:val="22"/>
            </w:rPr>
            <w:fldChar w:fldCharType="end"/>
          </w:r>
        </w:p>
        <w:p w14:paraId="7B99E9E9">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_Toc21182 </w:instrText>
          </w:r>
          <w:r>
            <w:rPr>
              <w:rFonts w:hint="eastAsia" w:ascii="宋体" w:hAnsi="宋体" w:eastAsia="宋体" w:cs="宋体"/>
              <w:szCs w:val="22"/>
            </w:rPr>
            <w:fldChar w:fldCharType="separate"/>
          </w:r>
          <w:r>
            <w:rPr>
              <w:rFonts w:hint="default" w:ascii="宋体" w:hAnsi="宋体" w:cs="宋体"/>
              <w:bCs/>
              <w:szCs w:val="32"/>
            </w:rPr>
            <w:t xml:space="preserve">5.7.1 </w:t>
          </w:r>
          <w:r>
            <w:rPr>
              <w:rFonts w:hint="eastAsia"/>
            </w:rPr>
            <w:t>对周边的影响</w:t>
          </w:r>
          <w:r>
            <w:tab/>
          </w:r>
          <w:r>
            <w:fldChar w:fldCharType="begin"/>
          </w:r>
          <w:r>
            <w:instrText xml:space="preserve"> PAGEREF _Toc21182 \h </w:instrText>
          </w:r>
          <w:r>
            <w:fldChar w:fldCharType="separate"/>
          </w:r>
          <w:r>
            <w:t>133</w:t>
          </w:r>
          <w:r>
            <w:fldChar w:fldCharType="end"/>
          </w:r>
          <w:r>
            <w:rPr>
              <w:rFonts w:hint="eastAsia" w:ascii="宋体" w:hAnsi="宋体" w:eastAsia="宋体" w:cs="宋体"/>
              <w:szCs w:val="22"/>
            </w:rPr>
            <w:fldChar w:fldCharType="end"/>
          </w:r>
        </w:p>
        <w:p w14:paraId="0F4DBF08">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_Toc29502 </w:instrText>
          </w:r>
          <w:r>
            <w:rPr>
              <w:rFonts w:hint="eastAsia" w:ascii="宋体" w:hAnsi="宋体" w:eastAsia="宋体" w:cs="宋体"/>
              <w:szCs w:val="22"/>
            </w:rPr>
            <w:fldChar w:fldCharType="separate"/>
          </w:r>
          <w:r>
            <w:rPr>
              <w:rFonts w:hint="default" w:ascii="宋体" w:hAnsi="宋体" w:cs="宋体"/>
              <w:bCs/>
              <w:szCs w:val="32"/>
            </w:rPr>
            <w:t xml:space="preserve">5.7.2 </w:t>
          </w:r>
          <w:r>
            <w:rPr>
              <w:rFonts w:hint="eastAsia"/>
            </w:rPr>
            <w:t>周边单位对建设项目的影响</w:t>
          </w:r>
          <w:r>
            <w:tab/>
          </w:r>
          <w:r>
            <w:fldChar w:fldCharType="begin"/>
          </w:r>
          <w:r>
            <w:instrText xml:space="preserve"> PAGEREF _Toc29502 \h </w:instrText>
          </w:r>
          <w:r>
            <w:fldChar w:fldCharType="separate"/>
          </w:r>
          <w:r>
            <w:t>133</w:t>
          </w:r>
          <w:r>
            <w:fldChar w:fldCharType="end"/>
          </w:r>
          <w:r>
            <w:rPr>
              <w:rFonts w:hint="eastAsia" w:ascii="宋体" w:hAnsi="宋体" w:eastAsia="宋体" w:cs="宋体"/>
              <w:szCs w:val="22"/>
            </w:rPr>
            <w:fldChar w:fldCharType="end"/>
          </w:r>
        </w:p>
        <w:p w14:paraId="44670752">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_Toc20535 </w:instrText>
          </w:r>
          <w:r>
            <w:rPr>
              <w:rFonts w:hint="eastAsia" w:ascii="宋体" w:hAnsi="宋体" w:eastAsia="宋体" w:cs="宋体"/>
              <w:szCs w:val="22"/>
            </w:rPr>
            <w:fldChar w:fldCharType="separate"/>
          </w:r>
          <w:r>
            <w:rPr>
              <w:rFonts w:hint="default" w:ascii="宋体" w:hAnsi="宋体" w:cs="宋体"/>
              <w:bCs/>
              <w:szCs w:val="32"/>
            </w:rPr>
            <w:t xml:space="preserve">5.7.3 </w:t>
          </w:r>
          <w:r>
            <w:rPr>
              <w:rFonts w:hint="eastAsia"/>
            </w:rPr>
            <w:t>建设项目所在地自然条件对本项目的影响</w:t>
          </w:r>
          <w:r>
            <w:tab/>
          </w:r>
          <w:r>
            <w:fldChar w:fldCharType="begin"/>
          </w:r>
          <w:r>
            <w:instrText xml:space="preserve"> PAGEREF _Toc20535 \h </w:instrText>
          </w:r>
          <w:r>
            <w:fldChar w:fldCharType="separate"/>
          </w:r>
          <w:r>
            <w:t>133</w:t>
          </w:r>
          <w:r>
            <w:fldChar w:fldCharType="end"/>
          </w:r>
          <w:r>
            <w:rPr>
              <w:rFonts w:hint="eastAsia" w:ascii="宋体" w:hAnsi="宋体" w:eastAsia="宋体" w:cs="宋体"/>
              <w:szCs w:val="22"/>
            </w:rPr>
            <w:fldChar w:fldCharType="end"/>
          </w:r>
        </w:p>
        <w:p w14:paraId="0652D204">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_Toc29395 </w:instrText>
          </w:r>
          <w:r>
            <w:rPr>
              <w:rFonts w:hint="eastAsia" w:ascii="宋体" w:hAnsi="宋体" w:eastAsia="宋体" w:cs="宋体"/>
              <w:szCs w:val="22"/>
            </w:rPr>
            <w:fldChar w:fldCharType="separate"/>
          </w:r>
          <w:r>
            <w:rPr>
              <w:rFonts w:hint="default" w:ascii="黑体" w:hAnsi="黑体" w:eastAsia="黑体" w:cs="黑体"/>
              <w:bCs w:val="0"/>
              <w:szCs w:val="32"/>
            </w:rPr>
            <w:t xml:space="preserve">5.8 </w:t>
          </w:r>
          <w:r>
            <w:rPr>
              <w:rFonts w:hint="eastAsia"/>
            </w:rPr>
            <w:t>安全管理及应急救援单元</w:t>
          </w:r>
          <w:r>
            <w:tab/>
          </w:r>
          <w:r>
            <w:fldChar w:fldCharType="begin"/>
          </w:r>
          <w:r>
            <w:instrText xml:space="preserve"> PAGEREF _Toc29395 \h </w:instrText>
          </w:r>
          <w:r>
            <w:fldChar w:fldCharType="separate"/>
          </w:r>
          <w:r>
            <w:t>134</w:t>
          </w:r>
          <w:r>
            <w:fldChar w:fldCharType="end"/>
          </w:r>
          <w:r>
            <w:rPr>
              <w:rFonts w:hint="eastAsia" w:ascii="宋体" w:hAnsi="宋体" w:eastAsia="宋体" w:cs="宋体"/>
              <w:szCs w:val="22"/>
            </w:rPr>
            <w:fldChar w:fldCharType="end"/>
          </w:r>
        </w:p>
        <w:p w14:paraId="43388F1B">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_Toc16282 </w:instrText>
          </w:r>
          <w:r>
            <w:rPr>
              <w:rFonts w:hint="eastAsia" w:ascii="宋体" w:hAnsi="宋体" w:eastAsia="宋体" w:cs="宋体"/>
              <w:szCs w:val="22"/>
            </w:rPr>
            <w:fldChar w:fldCharType="separate"/>
          </w:r>
          <w:r>
            <w:rPr>
              <w:rFonts w:hint="default" w:ascii="宋体" w:hAnsi="宋体" w:cs="宋体"/>
              <w:bCs/>
              <w:szCs w:val="32"/>
            </w:rPr>
            <w:t xml:space="preserve">5.8.1 </w:t>
          </w:r>
          <w:r>
            <w:rPr>
              <w:rFonts w:hint="eastAsia"/>
            </w:rPr>
            <w:t>组织与制度</w:t>
          </w:r>
          <w:r>
            <w:tab/>
          </w:r>
          <w:r>
            <w:fldChar w:fldCharType="begin"/>
          </w:r>
          <w:r>
            <w:instrText xml:space="preserve"> PAGEREF _Toc16282 \h </w:instrText>
          </w:r>
          <w:r>
            <w:fldChar w:fldCharType="separate"/>
          </w:r>
          <w:r>
            <w:t>134</w:t>
          </w:r>
          <w:r>
            <w:fldChar w:fldCharType="end"/>
          </w:r>
          <w:r>
            <w:rPr>
              <w:rFonts w:hint="eastAsia" w:ascii="宋体" w:hAnsi="宋体" w:eastAsia="宋体" w:cs="宋体"/>
              <w:szCs w:val="22"/>
            </w:rPr>
            <w:fldChar w:fldCharType="end"/>
          </w:r>
        </w:p>
        <w:p w14:paraId="3570939F">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_Toc22496 </w:instrText>
          </w:r>
          <w:r>
            <w:rPr>
              <w:rFonts w:hint="eastAsia" w:ascii="宋体" w:hAnsi="宋体" w:eastAsia="宋体" w:cs="宋体"/>
              <w:szCs w:val="22"/>
            </w:rPr>
            <w:fldChar w:fldCharType="separate"/>
          </w:r>
          <w:r>
            <w:rPr>
              <w:rFonts w:hint="default" w:ascii="宋体" w:hAnsi="宋体" w:cs="宋体"/>
              <w:bCs/>
              <w:szCs w:val="32"/>
            </w:rPr>
            <w:t xml:space="preserve">5.8.2 </w:t>
          </w:r>
          <w:r>
            <w:rPr>
              <w:rFonts w:hint="eastAsia"/>
              <w:lang w:val="en-US" w:eastAsia="zh-CN"/>
            </w:rPr>
            <w:t>安全</w:t>
          </w:r>
          <w:r>
            <w:rPr>
              <w:rFonts w:hint="eastAsia"/>
            </w:rPr>
            <w:t>机构设置</w:t>
          </w:r>
          <w:r>
            <w:tab/>
          </w:r>
          <w:r>
            <w:fldChar w:fldCharType="begin"/>
          </w:r>
          <w:r>
            <w:instrText xml:space="preserve"> PAGEREF _Toc22496 \h </w:instrText>
          </w:r>
          <w:r>
            <w:fldChar w:fldCharType="separate"/>
          </w:r>
          <w:r>
            <w:t>137</w:t>
          </w:r>
          <w:r>
            <w:fldChar w:fldCharType="end"/>
          </w:r>
          <w:r>
            <w:rPr>
              <w:rFonts w:hint="eastAsia" w:ascii="宋体" w:hAnsi="宋体" w:eastAsia="宋体" w:cs="宋体"/>
              <w:szCs w:val="22"/>
            </w:rPr>
            <w:fldChar w:fldCharType="end"/>
          </w:r>
        </w:p>
        <w:p w14:paraId="3612D3CA">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_Toc32239 </w:instrText>
          </w:r>
          <w:r>
            <w:rPr>
              <w:rFonts w:hint="eastAsia" w:ascii="宋体" w:hAnsi="宋体" w:eastAsia="宋体" w:cs="宋体"/>
              <w:szCs w:val="22"/>
            </w:rPr>
            <w:fldChar w:fldCharType="separate"/>
          </w:r>
          <w:r>
            <w:rPr>
              <w:rFonts w:hint="default" w:ascii="宋体" w:hAnsi="宋体" w:cs="宋体"/>
              <w:bCs/>
              <w:szCs w:val="32"/>
            </w:rPr>
            <w:t xml:space="preserve">5.8.3 </w:t>
          </w:r>
          <w:r>
            <w:rPr>
              <w:rFonts w:hint="eastAsia"/>
            </w:rPr>
            <w:t>安全教育培训</w:t>
          </w:r>
          <w:r>
            <w:tab/>
          </w:r>
          <w:r>
            <w:fldChar w:fldCharType="begin"/>
          </w:r>
          <w:r>
            <w:instrText xml:space="preserve"> PAGEREF _Toc32239 \h </w:instrText>
          </w:r>
          <w:r>
            <w:fldChar w:fldCharType="separate"/>
          </w:r>
          <w:r>
            <w:t>138</w:t>
          </w:r>
          <w:r>
            <w:fldChar w:fldCharType="end"/>
          </w:r>
          <w:r>
            <w:rPr>
              <w:rFonts w:hint="eastAsia" w:ascii="宋体" w:hAnsi="宋体" w:eastAsia="宋体" w:cs="宋体"/>
              <w:szCs w:val="22"/>
            </w:rPr>
            <w:fldChar w:fldCharType="end"/>
          </w:r>
        </w:p>
        <w:p w14:paraId="078A6DE7">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_Toc16147 </w:instrText>
          </w:r>
          <w:r>
            <w:rPr>
              <w:rFonts w:hint="eastAsia" w:ascii="宋体" w:hAnsi="宋体" w:eastAsia="宋体" w:cs="宋体"/>
              <w:szCs w:val="22"/>
            </w:rPr>
            <w:fldChar w:fldCharType="separate"/>
          </w:r>
          <w:r>
            <w:rPr>
              <w:rFonts w:hint="default" w:ascii="宋体" w:hAnsi="宋体" w:cs="宋体"/>
              <w:bCs/>
              <w:szCs w:val="32"/>
            </w:rPr>
            <w:t xml:space="preserve">5.8.4 </w:t>
          </w:r>
          <w:r>
            <w:rPr>
              <w:rFonts w:hint="eastAsia"/>
            </w:rPr>
            <w:t>危险源管理</w:t>
          </w:r>
          <w:r>
            <w:tab/>
          </w:r>
          <w:r>
            <w:fldChar w:fldCharType="begin"/>
          </w:r>
          <w:r>
            <w:instrText xml:space="preserve"> PAGEREF _Toc16147 \h </w:instrText>
          </w:r>
          <w:r>
            <w:fldChar w:fldCharType="separate"/>
          </w:r>
          <w:r>
            <w:t>140</w:t>
          </w:r>
          <w:r>
            <w:fldChar w:fldCharType="end"/>
          </w:r>
          <w:r>
            <w:rPr>
              <w:rFonts w:hint="eastAsia" w:ascii="宋体" w:hAnsi="宋体" w:eastAsia="宋体" w:cs="宋体"/>
              <w:szCs w:val="22"/>
            </w:rPr>
            <w:fldChar w:fldCharType="end"/>
          </w:r>
        </w:p>
        <w:p w14:paraId="0467C546">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_Toc8671 </w:instrText>
          </w:r>
          <w:r>
            <w:rPr>
              <w:rFonts w:hint="eastAsia" w:ascii="宋体" w:hAnsi="宋体" w:eastAsia="宋体" w:cs="宋体"/>
              <w:szCs w:val="22"/>
            </w:rPr>
            <w:fldChar w:fldCharType="separate"/>
          </w:r>
          <w:r>
            <w:rPr>
              <w:rFonts w:hint="default" w:ascii="宋体" w:hAnsi="宋体" w:cs="宋体"/>
              <w:bCs/>
              <w:szCs w:val="32"/>
            </w:rPr>
            <w:t xml:space="preserve">5.8.5 </w:t>
          </w:r>
          <w:r>
            <w:rPr>
              <w:rFonts w:hint="eastAsia"/>
            </w:rPr>
            <w:t>安全检查</w:t>
          </w:r>
          <w:r>
            <w:tab/>
          </w:r>
          <w:r>
            <w:fldChar w:fldCharType="begin"/>
          </w:r>
          <w:r>
            <w:instrText xml:space="preserve"> PAGEREF _Toc8671 \h </w:instrText>
          </w:r>
          <w:r>
            <w:fldChar w:fldCharType="separate"/>
          </w:r>
          <w:r>
            <w:t>141</w:t>
          </w:r>
          <w:r>
            <w:fldChar w:fldCharType="end"/>
          </w:r>
          <w:r>
            <w:rPr>
              <w:rFonts w:hint="eastAsia" w:ascii="宋体" w:hAnsi="宋体" w:eastAsia="宋体" w:cs="宋体"/>
              <w:szCs w:val="22"/>
            </w:rPr>
            <w:fldChar w:fldCharType="end"/>
          </w:r>
        </w:p>
        <w:p w14:paraId="0BD2D775">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_Toc1602 </w:instrText>
          </w:r>
          <w:r>
            <w:rPr>
              <w:rFonts w:hint="eastAsia" w:ascii="宋体" w:hAnsi="宋体" w:eastAsia="宋体" w:cs="宋体"/>
              <w:szCs w:val="22"/>
            </w:rPr>
            <w:fldChar w:fldCharType="separate"/>
          </w:r>
          <w:r>
            <w:rPr>
              <w:rFonts w:hint="default" w:ascii="宋体" w:hAnsi="宋体" w:cs="宋体"/>
              <w:bCs/>
              <w:szCs w:val="32"/>
            </w:rPr>
            <w:t xml:space="preserve">5.8.6 </w:t>
          </w:r>
          <w:r>
            <w:rPr>
              <w:rFonts w:hint="eastAsia"/>
            </w:rPr>
            <w:t>个人安全防护</w:t>
          </w:r>
          <w:r>
            <w:tab/>
          </w:r>
          <w:r>
            <w:fldChar w:fldCharType="begin"/>
          </w:r>
          <w:r>
            <w:instrText xml:space="preserve"> PAGEREF _Toc1602 \h </w:instrText>
          </w:r>
          <w:r>
            <w:fldChar w:fldCharType="separate"/>
          </w:r>
          <w:r>
            <w:t>142</w:t>
          </w:r>
          <w:r>
            <w:fldChar w:fldCharType="end"/>
          </w:r>
          <w:r>
            <w:rPr>
              <w:rFonts w:hint="eastAsia" w:ascii="宋体" w:hAnsi="宋体" w:eastAsia="宋体" w:cs="宋体"/>
              <w:szCs w:val="22"/>
            </w:rPr>
            <w:fldChar w:fldCharType="end"/>
          </w:r>
        </w:p>
        <w:p w14:paraId="75AC120D">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_Toc29818 </w:instrText>
          </w:r>
          <w:r>
            <w:rPr>
              <w:rFonts w:hint="eastAsia" w:ascii="宋体" w:hAnsi="宋体" w:eastAsia="宋体" w:cs="宋体"/>
              <w:szCs w:val="22"/>
            </w:rPr>
            <w:fldChar w:fldCharType="separate"/>
          </w:r>
          <w:r>
            <w:rPr>
              <w:rFonts w:hint="default" w:ascii="宋体" w:hAnsi="宋体" w:cs="宋体"/>
              <w:bCs/>
              <w:szCs w:val="32"/>
            </w:rPr>
            <w:t xml:space="preserve">5.8.7 </w:t>
          </w:r>
          <w:r>
            <w:rPr>
              <w:rFonts w:hint="eastAsia"/>
            </w:rPr>
            <w:t>安全标志</w:t>
          </w:r>
          <w:r>
            <w:tab/>
          </w:r>
          <w:r>
            <w:fldChar w:fldCharType="begin"/>
          </w:r>
          <w:r>
            <w:instrText xml:space="preserve"> PAGEREF _Toc29818 \h </w:instrText>
          </w:r>
          <w:r>
            <w:fldChar w:fldCharType="separate"/>
          </w:r>
          <w:r>
            <w:t>144</w:t>
          </w:r>
          <w:r>
            <w:fldChar w:fldCharType="end"/>
          </w:r>
          <w:r>
            <w:rPr>
              <w:rFonts w:hint="eastAsia" w:ascii="宋体" w:hAnsi="宋体" w:eastAsia="宋体" w:cs="宋体"/>
              <w:szCs w:val="22"/>
            </w:rPr>
            <w:fldChar w:fldCharType="end"/>
          </w:r>
        </w:p>
        <w:p w14:paraId="672A3BA8">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_Toc21146 </w:instrText>
          </w:r>
          <w:r>
            <w:rPr>
              <w:rFonts w:hint="eastAsia" w:ascii="宋体" w:hAnsi="宋体" w:eastAsia="宋体" w:cs="宋体"/>
              <w:szCs w:val="22"/>
            </w:rPr>
            <w:fldChar w:fldCharType="separate"/>
          </w:r>
          <w:r>
            <w:rPr>
              <w:rFonts w:hint="default" w:ascii="宋体" w:hAnsi="宋体" w:cs="宋体"/>
              <w:bCs/>
              <w:szCs w:val="32"/>
            </w:rPr>
            <w:t xml:space="preserve">5.8.8 </w:t>
          </w:r>
          <w:r>
            <w:rPr>
              <w:rFonts w:hint="eastAsia"/>
            </w:rPr>
            <w:t>事故应急救援预案及演练</w:t>
          </w:r>
          <w:r>
            <w:tab/>
          </w:r>
          <w:r>
            <w:fldChar w:fldCharType="begin"/>
          </w:r>
          <w:r>
            <w:instrText xml:space="preserve"> PAGEREF _Toc21146 \h </w:instrText>
          </w:r>
          <w:r>
            <w:fldChar w:fldCharType="separate"/>
          </w:r>
          <w:r>
            <w:t>145</w:t>
          </w:r>
          <w:r>
            <w:fldChar w:fldCharType="end"/>
          </w:r>
          <w:r>
            <w:rPr>
              <w:rFonts w:hint="eastAsia" w:ascii="宋体" w:hAnsi="宋体" w:eastAsia="宋体" w:cs="宋体"/>
              <w:szCs w:val="22"/>
            </w:rPr>
            <w:fldChar w:fldCharType="end"/>
          </w:r>
        </w:p>
        <w:p w14:paraId="43C1D5D0">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_Toc3340 </w:instrText>
          </w:r>
          <w:r>
            <w:rPr>
              <w:rFonts w:hint="eastAsia" w:ascii="宋体" w:hAnsi="宋体" w:eastAsia="宋体" w:cs="宋体"/>
              <w:szCs w:val="22"/>
            </w:rPr>
            <w:fldChar w:fldCharType="separate"/>
          </w:r>
          <w:r>
            <w:rPr>
              <w:rFonts w:hint="default" w:ascii="宋体" w:hAnsi="宋体" w:cs="宋体"/>
              <w:bCs/>
              <w:szCs w:val="32"/>
            </w:rPr>
            <w:t xml:space="preserve">5.8.9 </w:t>
          </w:r>
          <w:r>
            <w:rPr>
              <w:rFonts w:hint="eastAsia"/>
            </w:rPr>
            <w:t>事故管理</w:t>
          </w:r>
          <w:r>
            <w:tab/>
          </w:r>
          <w:r>
            <w:fldChar w:fldCharType="begin"/>
          </w:r>
          <w:r>
            <w:instrText xml:space="preserve"> PAGEREF _Toc3340 \h </w:instrText>
          </w:r>
          <w:r>
            <w:fldChar w:fldCharType="separate"/>
          </w:r>
          <w:r>
            <w:t>147</w:t>
          </w:r>
          <w:r>
            <w:fldChar w:fldCharType="end"/>
          </w:r>
          <w:r>
            <w:rPr>
              <w:rFonts w:hint="eastAsia" w:ascii="宋体" w:hAnsi="宋体" w:eastAsia="宋体" w:cs="宋体"/>
              <w:szCs w:val="22"/>
            </w:rPr>
            <w:fldChar w:fldCharType="end"/>
          </w:r>
        </w:p>
        <w:p w14:paraId="55857A5A">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_Toc12721 </w:instrText>
          </w:r>
          <w:r>
            <w:rPr>
              <w:rFonts w:hint="eastAsia" w:ascii="宋体" w:hAnsi="宋体" w:eastAsia="宋体" w:cs="宋体"/>
              <w:szCs w:val="22"/>
            </w:rPr>
            <w:fldChar w:fldCharType="separate"/>
          </w:r>
          <w:r>
            <w:rPr>
              <w:rFonts w:hint="default" w:ascii="黑体" w:hAnsi="黑体" w:eastAsia="黑体" w:cs="黑体"/>
              <w:bCs w:val="0"/>
              <w:szCs w:val="32"/>
            </w:rPr>
            <w:t xml:space="preserve">5.9 </w:t>
          </w:r>
          <w:r>
            <w:rPr>
              <w:rFonts w:hint="eastAsia"/>
            </w:rPr>
            <w:t>其他安全设施单元</w:t>
          </w:r>
          <w:r>
            <w:tab/>
          </w:r>
          <w:r>
            <w:fldChar w:fldCharType="begin"/>
          </w:r>
          <w:r>
            <w:instrText xml:space="preserve"> PAGEREF _Toc12721 \h </w:instrText>
          </w:r>
          <w:r>
            <w:fldChar w:fldCharType="separate"/>
          </w:r>
          <w:r>
            <w:t>148</w:t>
          </w:r>
          <w:r>
            <w:fldChar w:fldCharType="end"/>
          </w:r>
          <w:r>
            <w:rPr>
              <w:rFonts w:hint="eastAsia" w:ascii="宋体" w:hAnsi="宋体" w:eastAsia="宋体" w:cs="宋体"/>
              <w:szCs w:val="22"/>
            </w:rPr>
            <w:fldChar w:fldCharType="end"/>
          </w:r>
        </w:p>
        <w:p w14:paraId="05D25EE6">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_Toc4228 </w:instrText>
          </w:r>
          <w:r>
            <w:rPr>
              <w:rFonts w:hint="eastAsia" w:ascii="宋体" w:hAnsi="宋体" w:eastAsia="宋体" w:cs="宋体"/>
              <w:szCs w:val="22"/>
            </w:rPr>
            <w:fldChar w:fldCharType="separate"/>
          </w:r>
          <w:r>
            <w:rPr>
              <w:rFonts w:hint="default" w:ascii="黑体" w:hAnsi="黑体" w:eastAsia="黑体" w:cs="黑体"/>
              <w:bCs w:val="0"/>
              <w:szCs w:val="32"/>
            </w:rPr>
            <w:t xml:space="preserve">5.10 </w:t>
          </w:r>
          <w:r>
            <w:rPr>
              <w:rFonts w:hint="eastAsia"/>
            </w:rPr>
            <w:t>工贸行业重大事故隐患判定</w:t>
          </w:r>
          <w:r>
            <w:rPr>
              <w:rFonts w:hint="eastAsia"/>
              <w:lang w:val="en-US" w:eastAsia="zh-CN"/>
            </w:rPr>
            <w:t>单元</w:t>
          </w:r>
          <w:r>
            <w:tab/>
          </w:r>
          <w:r>
            <w:fldChar w:fldCharType="begin"/>
          </w:r>
          <w:r>
            <w:instrText xml:space="preserve"> PAGEREF _Toc4228 \h </w:instrText>
          </w:r>
          <w:r>
            <w:fldChar w:fldCharType="separate"/>
          </w:r>
          <w:r>
            <w:t>152</w:t>
          </w:r>
          <w:r>
            <w:fldChar w:fldCharType="end"/>
          </w:r>
          <w:r>
            <w:rPr>
              <w:rFonts w:hint="eastAsia" w:ascii="宋体" w:hAnsi="宋体" w:eastAsia="宋体" w:cs="宋体"/>
              <w:szCs w:val="22"/>
            </w:rPr>
            <w:fldChar w:fldCharType="end"/>
          </w:r>
        </w:p>
        <w:p w14:paraId="7674CA75">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_Toc29623 </w:instrText>
          </w:r>
          <w:r>
            <w:rPr>
              <w:rFonts w:hint="eastAsia" w:ascii="宋体" w:hAnsi="宋体" w:eastAsia="宋体" w:cs="宋体"/>
              <w:szCs w:val="22"/>
            </w:rPr>
            <w:fldChar w:fldCharType="separate"/>
          </w:r>
          <w:r>
            <w:rPr>
              <w:rFonts w:hint="default" w:ascii="黑体" w:hAnsi="黑体" w:eastAsia="黑体" w:cs="黑体"/>
              <w:bCs w:val="0"/>
              <w:szCs w:val="32"/>
            </w:rPr>
            <w:t xml:space="preserve">5.11 </w:t>
          </w:r>
          <w:r>
            <w:rPr>
              <w:rFonts w:hint="eastAsia"/>
            </w:rPr>
            <w:t>安全设施设计中安全对策措施</w:t>
          </w:r>
          <w:r>
            <w:rPr>
              <w:rFonts w:hint="eastAsia"/>
              <w:lang w:val="en-US" w:eastAsia="zh-CN"/>
            </w:rPr>
            <w:t>建设运行说明单元</w:t>
          </w:r>
          <w:r>
            <w:tab/>
          </w:r>
          <w:r>
            <w:fldChar w:fldCharType="begin"/>
          </w:r>
          <w:r>
            <w:instrText xml:space="preserve"> PAGEREF _Toc29623 \h </w:instrText>
          </w:r>
          <w:r>
            <w:fldChar w:fldCharType="separate"/>
          </w:r>
          <w:r>
            <w:t>154</w:t>
          </w:r>
          <w:r>
            <w:fldChar w:fldCharType="end"/>
          </w:r>
          <w:r>
            <w:rPr>
              <w:rFonts w:hint="eastAsia" w:ascii="宋体" w:hAnsi="宋体" w:eastAsia="宋体" w:cs="宋体"/>
              <w:szCs w:val="22"/>
            </w:rPr>
            <w:fldChar w:fldCharType="end"/>
          </w:r>
        </w:p>
        <w:p w14:paraId="15D3E9B5">
          <w:pPr>
            <w:pStyle w:val="22"/>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_Toc22853 </w:instrText>
          </w:r>
          <w:r>
            <w:rPr>
              <w:rFonts w:hint="eastAsia" w:ascii="宋体" w:hAnsi="宋体" w:eastAsia="宋体" w:cs="宋体"/>
              <w:szCs w:val="22"/>
            </w:rPr>
            <w:fldChar w:fldCharType="separate"/>
          </w:r>
          <w:r>
            <w:rPr>
              <w:rFonts w:hint="default" w:ascii="黑体" w:hAnsi="黑体" w:eastAsia="黑体" w:cs="黑体"/>
              <w:bCs/>
              <w:szCs w:val="36"/>
            </w:rPr>
            <w:t xml:space="preserve">第6章 </w:t>
          </w:r>
          <w:r>
            <w:t>安全对策措施建议</w:t>
          </w:r>
          <w:r>
            <w:tab/>
          </w:r>
          <w:r>
            <w:fldChar w:fldCharType="begin"/>
          </w:r>
          <w:r>
            <w:instrText xml:space="preserve"> PAGEREF _Toc22853 \h </w:instrText>
          </w:r>
          <w:r>
            <w:fldChar w:fldCharType="separate"/>
          </w:r>
          <w:r>
            <w:t>193</w:t>
          </w:r>
          <w:r>
            <w:fldChar w:fldCharType="end"/>
          </w:r>
          <w:r>
            <w:rPr>
              <w:rFonts w:hint="eastAsia" w:ascii="宋体" w:hAnsi="宋体" w:eastAsia="宋体" w:cs="宋体"/>
              <w:szCs w:val="22"/>
            </w:rPr>
            <w:fldChar w:fldCharType="end"/>
          </w:r>
        </w:p>
        <w:p w14:paraId="27614FE9">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_Toc4248 </w:instrText>
          </w:r>
          <w:r>
            <w:rPr>
              <w:rFonts w:hint="eastAsia" w:ascii="宋体" w:hAnsi="宋体" w:eastAsia="宋体" w:cs="宋体"/>
              <w:szCs w:val="22"/>
            </w:rPr>
            <w:fldChar w:fldCharType="separate"/>
          </w:r>
          <w:r>
            <w:rPr>
              <w:rFonts w:hint="default" w:ascii="黑体" w:hAnsi="黑体" w:eastAsia="黑体" w:cs="黑体"/>
              <w:bCs w:val="0"/>
              <w:szCs w:val="32"/>
            </w:rPr>
            <w:t xml:space="preserve">6.1 </w:t>
          </w:r>
          <w:r>
            <w:rPr>
              <w:rFonts w:hint="eastAsia"/>
            </w:rPr>
            <w:t>存在问题及整改情况</w:t>
          </w:r>
          <w:r>
            <w:tab/>
          </w:r>
          <w:r>
            <w:fldChar w:fldCharType="begin"/>
          </w:r>
          <w:r>
            <w:instrText xml:space="preserve"> PAGEREF _Toc4248 \h </w:instrText>
          </w:r>
          <w:r>
            <w:fldChar w:fldCharType="separate"/>
          </w:r>
          <w:r>
            <w:t>193</w:t>
          </w:r>
          <w:r>
            <w:fldChar w:fldCharType="end"/>
          </w:r>
          <w:r>
            <w:rPr>
              <w:rFonts w:hint="eastAsia" w:ascii="宋体" w:hAnsi="宋体" w:eastAsia="宋体" w:cs="宋体"/>
              <w:szCs w:val="22"/>
            </w:rPr>
            <w:fldChar w:fldCharType="end"/>
          </w:r>
        </w:p>
        <w:p w14:paraId="705C2719">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_Toc12890 </w:instrText>
          </w:r>
          <w:r>
            <w:rPr>
              <w:rFonts w:hint="eastAsia" w:ascii="宋体" w:hAnsi="宋体" w:eastAsia="宋体" w:cs="宋体"/>
              <w:szCs w:val="22"/>
            </w:rPr>
            <w:fldChar w:fldCharType="separate"/>
          </w:r>
          <w:r>
            <w:rPr>
              <w:rFonts w:hint="default" w:ascii="黑体" w:hAnsi="黑体" w:eastAsia="黑体" w:cs="黑体"/>
              <w:bCs w:val="0"/>
              <w:szCs w:val="32"/>
            </w:rPr>
            <w:t xml:space="preserve">6.2 </w:t>
          </w:r>
          <w:r>
            <w:t>对策措施及建议</w:t>
          </w:r>
          <w:r>
            <w:tab/>
          </w:r>
          <w:r>
            <w:fldChar w:fldCharType="begin"/>
          </w:r>
          <w:r>
            <w:instrText xml:space="preserve"> PAGEREF _Toc12890 \h </w:instrText>
          </w:r>
          <w:r>
            <w:fldChar w:fldCharType="separate"/>
          </w:r>
          <w:r>
            <w:t>194</w:t>
          </w:r>
          <w:r>
            <w:fldChar w:fldCharType="end"/>
          </w:r>
          <w:r>
            <w:rPr>
              <w:rFonts w:hint="eastAsia" w:ascii="宋体" w:hAnsi="宋体" w:eastAsia="宋体" w:cs="宋体"/>
              <w:szCs w:val="22"/>
            </w:rPr>
            <w:fldChar w:fldCharType="end"/>
          </w:r>
        </w:p>
        <w:p w14:paraId="44D2BA0A">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_Toc14035 </w:instrText>
          </w:r>
          <w:r>
            <w:rPr>
              <w:rFonts w:hint="eastAsia" w:ascii="宋体" w:hAnsi="宋体" w:eastAsia="宋体" w:cs="宋体"/>
              <w:szCs w:val="22"/>
            </w:rPr>
            <w:fldChar w:fldCharType="separate"/>
          </w:r>
          <w:r>
            <w:rPr>
              <w:rFonts w:hint="default" w:ascii="宋体" w:hAnsi="宋体" w:cs="宋体"/>
              <w:bCs/>
              <w:szCs w:val="32"/>
            </w:rPr>
            <w:t xml:space="preserve">6.2.1 </w:t>
          </w:r>
          <w:r>
            <w:t>安全生产条件对策措施及建议</w:t>
          </w:r>
          <w:r>
            <w:tab/>
          </w:r>
          <w:r>
            <w:fldChar w:fldCharType="begin"/>
          </w:r>
          <w:r>
            <w:instrText xml:space="preserve"> PAGEREF _Toc14035 \h </w:instrText>
          </w:r>
          <w:r>
            <w:fldChar w:fldCharType="separate"/>
          </w:r>
          <w:r>
            <w:t>194</w:t>
          </w:r>
          <w:r>
            <w:fldChar w:fldCharType="end"/>
          </w:r>
          <w:r>
            <w:rPr>
              <w:rFonts w:hint="eastAsia" w:ascii="宋体" w:hAnsi="宋体" w:eastAsia="宋体" w:cs="宋体"/>
              <w:szCs w:val="22"/>
            </w:rPr>
            <w:fldChar w:fldCharType="end"/>
          </w:r>
        </w:p>
        <w:p w14:paraId="3FAB0D57">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_Toc26974 </w:instrText>
          </w:r>
          <w:r>
            <w:rPr>
              <w:rFonts w:hint="eastAsia" w:ascii="宋体" w:hAnsi="宋体" w:eastAsia="宋体" w:cs="宋体"/>
              <w:szCs w:val="22"/>
            </w:rPr>
            <w:fldChar w:fldCharType="separate"/>
          </w:r>
          <w:r>
            <w:rPr>
              <w:rFonts w:hint="default" w:ascii="宋体" w:hAnsi="宋体" w:cs="宋体"/>
              <w:bCs/>
              <w:szCs w:val="32"/>
            </w:rPr>
            <w:t xml:space="preserve">6.2.2 </w:t>
          </w:r>
          <w:r>
            <w:t>安全管理对策措施及建议</w:t>
          </w:r>
          <w:r>
            <w:tab/>
          </w:r>
          <w:r>
            <w:fldChar w:fldCharType="begin"/>
          </w:r>
          <w:r>
            <w:instrText xml:space="preserve"> PAGEREF _Toc26974 \h </w:instrText>
          </w:r>
          <w:r>
            <w:fldChar w:fldCharType="separate"/>
          </w:r>
          <w:r>
            <w:t>195</w:t>
          </w:r>
          <w:r>
            <w:fldChar w:fldCharType="end"/>
          </w:r>
          <w:r>
            <w:rPr>
              <w:rFonts w:hint="eastAsia" w:ascii="宋体" w:hAnsi="宋体" w:eastAsia="宋体" w:cs="宋体"/>
              <w:szCs w:val="22"/>
            </w:rPr>
            <w:fldChar w:fldCharType="end"/>
          </w:r>
        </w:p>
        <w:p w14:paraId="08C24A94">
          <w:pPr>
            <w:pStyle w:val="22"/>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_Toc23111 </w:instrText>
          </w:r>
          <w:r>
            <w:rPr>
              <w:rFonts w:hint="eastAsia" w:ascii="宋体" w:hAnsi="宋体" w:eastAsia="宋体" w:cs="宋体"/>
              <w:szCs w:val="22"/>
            </w:rPr>
            <w:fldChar w:fldCharType="separate"/>
          </w:r>
          <w:r>
            <w:rPr>
              <w:rFonts w:hint="default" w:ascii="黑体" w:hAnsi="黑体" w:eastAsia="黑体" w:cs="黑体"/>
              <w:bCs/>
              <w:szCs w:val="36"/>
            </w:rPr>
            <w:t xml:space="preserve">第7章 </w:t>
          </w:r>
          <w:r>
            <w:rPr>
              <w:rFonts w:hint="eastAsia"/>
            </w:rPr>
            <w:t>安全设施</w:t>
          </w:r>
          <w:r>
            <w:rPr>
              <w:rFonts w:hint="eastAsia"/>
              <w:lang w:val="en-US" w:eastAsia="zh-CN"/>
            </w:rPr>
            <w:t>竣工</w:t>
          </w:r>
          <w:r>
            <w:rPr>
              <w:rFonts w:hint="eastAsia"/>
            </w:rPr>
            <w:t>验收评价</w:t>
          </w:r>
          <w:r>
            <w:t>结论</w:t>
          </w:r>
          <w:r>
            <w:tab/>
          </w:r>
          <w:r>
            <w:fldChar w:fldCharType="begin"/>
          </w:r>
          <w:r>
            <w:instrText xml:space="preserve"> PAGEREF _Toc23111 \h </w:instrText>
          </w:r>
          <w:r>
            <w:fldChar w:fldCharType="separate"/>
          </w:r>
          <w:r>
            <w:t>197</w:t>
          </w:r>
          <w:r>
            <w:fldChar w:fldCharType="end"/>
          </w:r>
          <w:r>
            <w:rPr>
              <w:rFonts w:hint="eastAsia" w:ascii="宋体" w:hAnsi="宋体" w:eastAsia="宋体" w:cs="宋体"/>
              <w:szCs w:val="22"/>
            </w:rPr>
            <w:fldChar w:fldCharType="end"/>
          </w:r>
        </w:p>
        <w:p w14:paraId="5E679993">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_Toc21662 </w:instrText>
          </w:r>
          <w:r>
            <w:rPr>
              <w:rFonts w:hint="eastAsia" w:ascii="宋体" w:hAnsi="宋体" w:eastAsia="宋体" w:cs="宋体"/>
              <w:szCs w:val="22"/>
            </w:rPr>
            <w:fldChar w:fldCharType="separate"/>
          </w:r>
          <w:r>
            <w:rPr>
              <w:rFonts w:hint="default" w:ascii="黑体" w:hAnsi="黑体" w:eastAsia="黑体" w:cs="黑体"/>
              <w:bCs w:val="0"/>
              <w:szCs w:val="32"/>
            </w:rPr>
            <w:t xml:space="preserve">7.1 </w:t>
          </w:r>
          <w:r>
            <w:t>主要</w:t>
          </w:r>
          <w:r>
            <w:rPr>
              <w:rFonts w:hint="eastAsia"/>
              <w:lang w:eastAsia="zh-CN"/>
            </w:rPr>
            <w:t>危险有害因素</w:t>
          </w:r>
          <w:r>
            <w:tab/>
          </w:r>
          <w:r>
            <w:fldChar w:fldCharType="begin"/>
          </w:r>
          <w:r>
            <w:instrText xml:space="preserve"> PAGEREF _Toc21662 \h </w:instrText>
          </w:r>
          <w:r>
            <w:fldChar w:fldCharType="separate"/>
          </w:r>
          <w:r>
            <w:t>197</w:t>
          </w:r>
          <w:r>
            <w:fldChar w:fldCharType="end"/>
          </w:r>
          <w:r>
            <w:rPr>
              <w:rFonts w:hint="eastAsia" w:ascii="宋体" w:hAnsi="宋体" w:eastAsia="宋体" w:cs="宋体"/>
              <w:szCs w:val="22"/>
            </w:rPr>
            <w:fldChar w:fldCharType="end"/>
          </w:r>
        </w:p>
        <w:p w14:paraId="65375C12">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_Toc2644 </w:instrText>
          </w:r>
          <w:r>
            <w:rPr>
              <w:rFonts w:hint="eastAsia" w:ascii="宋体" w:hAnsi="宋体" w:eastAsia="宋体" w:cs="宋体"/>
              <w:szCs w:val="22"/>
            </w:rPr>
            <w:fldChar w:fldCharType="separate"/>
          </w:r>
          <w:r>
            <w:rPr>
              <w:rFonts w:hint="default" w:ascii="宋体" w:hAnsi="宋体" w:cs="宋体"/>
              <w:bCs/>
              <w:szCs w:val="32"/>
            </w:rPr>
            <w:t xml:space="preserve">7.1.1 </w:t>
          </w:r>
          <w:r>
            <w:t>本项目存在的主要危险、有害物质</w:t>
          </w:r>
          <w:r>
            <w:tab/>
          </w:r>
          <w:r>
            <w:fldChar w:fldCharType="begin"/>
          </w:r>
          <w:r>
            <w:instrText xml:space="preserve"> PAGEREF _Toc2644 \h </w:instrText>
          </w:r>
          <w:r>
            <w:fldChar w:fldCharType="separate"/>
          </w:r>
          <w:r>
            <w:t>197</w:t>
          </w:r>
          <w:r>
            <w:fldChar w:fldCharType="end"/>
          </w:r>
          <w:r>
            <w:rPr>
              <w:rFonts w:hint="eastAsia" w:ascii="宋体" w:hAnsi="宋体" w:eastAsia="宋体" w:cs="宋体"/>
              <w:szCs w:val="22"/>
            </w:rPr>
            <w:fldChar w:fldCharType="end"/>
          </w:r>
        </w:p>
        <w:p w14:paraId="1033891A">
          <w:pPr>
            <w:pStyle w:val="16"/>
            <w:tabs>
              <w:tab w:val="right" w:leader="dot" w:pos="8306"/>
            </w:tabs>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_Toc5942 </w:instrText>
          </w:r>
          <w:r>
            <w:rPr>
              <w:rFonts w:hint="eastAsia" w:ascii="宋体" w:hAnsi="宋体" w:eastAsia="宋体" w:cs="宋体"/>
              <w:szCs w:val="22"/>
            </w:rPr>
            <w:fldChar w:fldCharType="separate"/>
          </w:r>
          <w:r>
            <w:rPr>
              <w:rFonts w:hint="default" w:ascii="宋体" w:hAnsi="宋体" w:cs="宋体"/>
              <w:bCs/>
              <w:szCs w:val="32"/>
            </w:rPr>
            <w:t xml:space="preserve">7.1.2 </w:t>
          </w:r>
          <w:r>
            <w:t>本项目存在的主要</w:t>
          </w:r>
          <w:r>
            <w:rPr>
              <w:rFonts w:hint="eastAsia"/>
              <w:lang w:eastAsia="zh-CN"/>
            </w:rPr>
            <w:t>危险有害因素</w:t>
          </w:r>
          <w:r>
            <w:tab/>
          </w:r>
          <w:r>
            <w:fldChar w:fldCharType="begin"/>
          </w:r>
          <w:r>
            <w:instrText xml:space="preserve"> PAGEREF _Toc5942 \h </w:instrText>
          </w:r>
          <w:r>
            <w:fldChar w:fldCharType="separate"/>
          </w:r>
          <w:r>
            <w:t>197</w:t>
          </w:r>
          <w:r>
            <w:fldChar w:fldCharType="end"/>
          </w:r>
          <w:r>
            <w:rPr>
              <w:rFonts w:hint="eastAsia" w:ascii="宋体" w:hAnsi="宋体" w:eastAsia="宋体" w:cs="宋体"/>
              <w:szCs w:val="22"/>
            </w:rPr>
            <w:fldChar w:fldCharType="end"/>
          </w:r>
        </w:p>
        <w:p w14:paraId="6EF87FAF">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_Toc20980 </w:instrText>
          </w:r>
          <w:r>
            <w:rPr>
              <w:rFonts w:hint="eastAsia" w:ascii="宋体" w:hAnsi="宋体" w:eastAsia="宋体" w:cs="宋体"/>
              <w:szCs w:val="22"/>
            </w:rPr>
            <w:fldChar w:fldCharType="separate"/>
          </w:r>
          <w:r>
            <w:rPr>
              <w:rFonts w:hint="default" w:ascii="黑体" w:hAnsi="黑体" w:eastAsia="黑体" w:cs="黑体"/>
              <w:bCs w:val="0"/>
              <w:szCs w:val="32"/>
            </w:rPr>
            <w:t xml:space="preserve">7.2 </w:t>
          </w:r>
          <w:r>
            <w:t>本项目应重点防范的重大事故和危害</w:t>
          </w:r>
          <w:r>
            <w:tab/>
          </w:r>
          <w:r>
            <w:fldChar w:fldCharType="begin"/>
          </w:r>
          <w:r>
            <w:instrText xml:space="preserve"> PAGEREF _Toc20980 \h </w:instrText>
          </w:r>
          <w:r>
            <w:fldChar w:fldCharType="separate"/>
          </w:r>
          <w:r>
            <w:t>197</w:t>
          </w:r>
          <w:r>
            <w:fldChar w:fldCharType="end"/>
          </w:r>
          <w:r>
            <w:rPr>
              <w:rFonts w:hint="eastAsia" w:ascii="宋体" w:hAnsi="宋体" w:eastAsia="宋体" w:cs="宋体"/>
              <w:szCs w:val="22"/>
            </w:rPr>
            <w:fldChar w:fldCharType="end"/>
          </w:r>
        </w:p>
        <w:p w14:paraId="70DF118C">
          <w:pPr>
            <w:pStyle w:val="26"/>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_Toc31550 </w:instrText>
          </w:r>
          <w:r>
            <w:rPr>
              <w:rFonts w:hint="eastAsia" w:ascii="宋体" w:hAnsi="宋体" w:eastAsia="宋体" w:cs="宋体"/>
              <w:szCs w:val="22"/>
            </w:rPr>
            <w:fldChar w:fldCharType="separate"/>
          </w:r>
          <w:r>
            <w:rPr>
              <w:rFonts w:hint="default" w:ascii="黑体" w:hAnsi="黑体" w:eastAsia="黑体" w:cs="黑体"/>
              <w:bCs w:val="0"/>
              <w:szCs w:val="32"/>
            </w:rPr>
            <w:t xml:space="preserve">7.3 </w:t>
          </w:r>
          <w:r>
            <w:rPr>
              <w:rFonts w:hint="eastAsia"/>
            </w:rPr>
            <w:t>安全设施验收评价</w:t>
          </w:r>
          <w:r>
            <w:t>结论</w:t>
          </w:r>
          <w:r>
            <w:tab/>
          </w:r>
          <w:r>
            <w:fldChar w:fldCharType="begin"/>
          </w:r>
          <w:r>
            <w:instrText xml:space="preserve"> PAGEREF _Toc31550 \h </w:instrText>
          </w:r>
          <w:r>
            <w:fldChar w:fldCharType="separate"/>
          </w:r>
          <w:r>
            <w:t>197</w:t>
          </w:r>
          <w:r>
            <w:fldChar w:fldCharType="end"/>
          </w:r>
          <w:r>
            <w:rPr>
              <w:rFonts w:hint="eastAsia" w:ascii="宋体" w:hAnsi="宋体" w:eastAsia="宋体" w:cs="宋体"/>
              <w:szCs w:val="22"/>
            </w:rPr>
            <w:fldChar w:fldCharType="end"/>
          </w:r>
        </w:p>
        <w:p w14:paraId="5EAE5094">
          <w:pPr>
            <w:pStyle w:val="22"/>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_Toc14785 </w:instrText>
          </w:r>
          <w:r>
            <w:rPr>
              <w:rFonts w:hint="eastAsia" w:ascii="宋体" w:hAnsi="宋体" w:eastAsia="宋体" w:cs="宋体"/>
              <w:szCs w:val="22"/>
            </w:rPr>
            <w:fldChar w:fldCharType="separate"/>
          </w:r>
          <w:r>
            <w:rPr>
              <w:rFonts w:hint="default" w:ascii="黑体" w:hAnsi="黑体" w:eastAsia="黑体" w:cs="黑体"/>
              <w:bCs/>
              <w:szCs w:val="36"/>
            </w:rPr>
            <w:t xml:space="preserve">第8章 </w:t>
          </w:r>
          <w:r>
            <w:rPr>
              <w:rFonts w:hint="eastAsia"/>
            </w:rPr>
            <w:t>与建</w:t>
          </w:r>
          <w:r>
            <w:rPr>
              <w:rFonts w:hint="eastAsia"/>
              <w:lang w:val="en-US" w:eastAsia="zh-CN"/>
            </w:rPr>
            <w:t>设</w:t>
          </w:r>
          <w:r>
            <w:rPr>
              <w:rFonts w:hint="eastAsia"/>
            </w:rPr>
            <w:t>单位交换</w:t>
          </w:r>
          <w:r>
            <w:rPr>
              <w:rFonts w:hint="eastAsia"/>
              <w:lang w:val="en-US" w:eastAsia="zh-CN"/>
            </w:rPr>
            <w:t>意见</w:t>
          </w:r>
          <w:r>
            <w:rPr>
              <w:rFonts w:hint="eastAsia"/>
            </w:rPr>
            <w:t>的</w:t>
          </w:r>
          <w:r>
            <w:rPr>
              <w:rFonts w:hint="eastAsia"/>
              <w:lang w:val="en-US" w:eastAsia="zh-CN"/>
            </w:rPr>
            <w:t>情况</w:t>
          </w:r>
          <w:r>
            <w:tab/>
          </w:r>
          <w:r>
            <w:fldChar w:fldCharType="begin"/>
          </w:r>
          <w:r>
            <w:instrText xml:space="preserve"> PAGEREF _Toc14785 \h </w:instrText>
          </w:r>
          <w:r>
            <w:fldChar w:fldCharType="separate"/>
          </w:r>
          <w:r>
            <w:t>199</w:t>
          </w:r>
          <w:r>
            <w:fldChar w:fldCharType="end"/>
          </w:r>
          <w:r>
            <w:rPr>
              <w:rFonts w:hint="eastAsia" w:ascii="宋体" w:hAnsi="宋体" w:eastAsia="宋体" w:cs="宋体"/>
              <w:szCs w:val="22"/>
            </w:rPr>
            <w:fldChar w:fldCharType="end"/>
          </w:r>
        </w:p>
        <w:p w14:paraId="78772B24">
          <w:pPr>
            <w:pStyle w:val="22"/>
          </w:pPr>
          <w:r>
            <w:rPr>
              <w:rFonts w:hint="eastAsia" w:ascii="宋体" w:hAnsi="宋体" w:eastAsia="宋体" w:cs="宋体"/>
              <w:szCs w:val="22"/>
            </w:rPr>
            <w:fldChar w:fldCharType="begin"/>
          </w:r>
          <w:r>
            <w:rPr>
              <w:rFonts w:hint="eastAsia" w:ascii="宋体" w:hAnsi="宋体" w:eastAsia="宋体" w:cs="宋体"/>
              <w:szCs w:val="22"/>
            </w:rPr>
            <w:instrText xml:space="preserve"> HYPERLINK \l _Toc14918 </w:instrText>
          </w:r>
          <w:r>
            <w:rPr>
              <w:rFonts w:hint="eastAsia" w:ascii="宋体" w:hAnsi="宋体" w:eastAsia="宋体" w:cs="宋体"/>
              <w:szCs w:val="22"/>
            </w:rPr>
            <w:fldChar w:fldCharType="separate"/>
          </w:r>
          <w:r>
            <w:rPr>
              <w:rFonts w:hint="eastAsia"/>
              <w:lang w:val="en-US" w:eastAsia="zh-CN"/>
            </w:rPr>
            <w:t>附件和附图</w:t>
          </w:r>
          <w:r>
            <w:tab/>
          </w:r>
          <w:r>
            <w:fldChar w:fldCharType="begin"/>
          </w:r>
          <w:r>
            <w:instrText xml:space="preserve"> PAGEREF _Toc14918 \h </w:instrText>
          </w:r>
          <w:r>
            <w:fldChar w:fldCharType="separate"/>
          </w:r>
          <w:r>
            <w:t>200</w:t>
          </w:r>
          <w:r>
            <w:fldChar w:fldCharType="end"/>
          </w:r>
          <w:r>
            <w:rPr>
              <w:rFonts w:hint="eastAsia" w:ascii="宋体" w:hAnsi="宋体" w:eastAsia="宋体" w:cs="宋体"/>
              <w:szCs w:val="22"/>
            </w:rPr>
            <w:fldChar w:fldCharType="end"/>
          </w:r>
        </w:p>
        <w:p w14:paraId="6B9049CF">
          <w:pPr>
            <w:keepNext w:val="0"/>
            <w:keepLines w:val="0"/>
            <w:pageBreakBefore w:val="0"/>
            <w:widowControl w:val="0"/>
            <w:kinsoku/>
            <w:wordWrap/>
            <w:overflowPunct/>
            <w:topLinePunct w:val="0"/>
            <w:autoSpaceDE/>
            <w:autoSpaceDN/>
            <w:bidi w:val="0"/>
            <w:spacing w:line="400" w:lineRule="exact"/>
            <w:ind w:firstLine="0" w:firstLineChars="0"/>
            <w:jc w:val="center"/>
            <w:textAlignment w:val="auto"/>
            <w:rPr>
              <w:rFonts w:hint="eastAsia" w:ascii="Times New Roman" w:hAnsi="Times New Roman" w:eastAsia="宋体" w:cs="Times New Roman"/>
              <w:kern w:val="2"/>
              <w:sz w:val="28"/>
              <w:szCs w:val="24"/>
              <w:lang w:val="en-US" w:eastAsia="zh-CN" w:bidi="ar-SA"/>
            </w:rPr>
          </w:pPr>
          <w:r>
            <w:rPr>
              <w:rFonts w:hint="eastAsia" w:ascii="宋体" w:hAnsi="宋体" w:eastAsia="宋体" w:cs="宋体"/>
              <w:szCs w:val="22"/>
            </w:rPr>
            <w:fldChar w:fldCharType="end"/>
          </w:r>
        </w:p>
      </w:sdtContent>
    </w:sdt>
    <w:p w14:paraId="0E72DEED">
      <w:pPr>
        <w:keepNext w:val="0"/>
        <w:keepLines w:val="0"/>
        <w:pageBreakBefore w:val="0"/>
        <w:widowControl w:val="0"/>
        <w:kinsoku/>
        <w:bidi w:val="0"/>
        <w:ind w:firstLine="0" w:firstLineChars="0"/>
        <w:jc w:val="center"/>
        <w:rPr>
          <w:rFonts w:hint="eastAsia" w:ascii="Times New Roman" w:hAnsi="Times New Roman" w:eastAsia="宋体" w:cs="Times New Roman"/>
          <w:kern w:val="2"/>
          <w:sz w:val="28"/>
          <w:szCs w:val="24"/>
          <w:lang w:val="en-US" w:eastAsia="zh-CN" w:bidi="ar-SA"/>
        </w:rPr>
        <w:sectPr>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425" w:num="1"/>
          <w:docGrid w:type="lines" w:linePitch="312" w:charSpace="0"/>
        </w:sectPr>
      </w:pPr>
    </w:p>
    <w:p w14:paraId="759EBC7B">
      <w:pPr>
        <w:pStyle w:val="2"/>
        <w:keepNext w:val="0"/>
        <w:keepLines w:val="0"/>
        <w:pageBreakBefore w:val="0"/>
        <w:widowControl w:val="0"/>
        <w:kinsoku/>
        <w:bidi w:val="0"/>
        <w:rPr>
          <w:lang w:val="en-US" w:eastAsia="zh-CN"/>
        </w:rPr>
      </w:pPr>
      <w:bookmarkStart w:id="45" w:name="_Toc14787"/>
      <w:bookmarkStart w:id="46" w:name="_Toc55033265"/>
      <w:bookmarkStart w:id="47" w:name="_Toc60925321"/>
      <w:bookmarkStart w:id="48" w:name="_Toc522811398"/>
      <w:bookmarkStart w:id="49" w:name="_Toc55945215"/>
      <w:bookmarkStart w:id="50" w:name="_Toc55567330"/>
      <w:bookmarkStart w:id="51" w:name="_Toc531271022"/>
      <w:bookmarkStart w:id="52" w:name="_Toc21699"/>
      <w:bookmarkStart w:id="53" w:name="_Toc14212"/>
      <w:r>
        <w:rPr>
          <w:rFonts w:hint="eastAsia"/>
          <w:lang w:val="en-US" w:eastAsia="zh-CN"/>
        </w:rPr>
        <w:t>评价</w:t>
      </w:r>
      <w:r>
        <w:rPr>
          <w:lang w:val="en-US" w:eastAsia="zh-CN"/>
        </w:rPr>
        <w:t>说明</w:t>
      </w:r>
      <w:bookmarkEnd w:id="45"/>
      <w:bookmarkEnd w:id="46"/>
      <w:bookmarkEnd w:id="47"/>
      <w:bookmarkEnd w:id="48"/>
      <w:bookmarkEnd w:id="49"/>
      <w:bookmarkEnd w:id="50"/>
      <w:bookmarkEnd w:id="51"/>
      <w:bookmarkEnd w:id="52"/>
      <w:bookmarkEnd w:id="53"/>
    </w:p>
    <w:p w14:paraId="294B368D">
      <w:pPr>
        <w:pStyle w:val="3"/>
        <w:keepNext w:val="0"/>
        <w:keepLines w:val="0"/>
        <w:pageBreakBefore w:val="0"/>
        <w:widowControl w:val="0"/>
        <w:kinsoku/>
        <w:bidi w:val="0"/>
        <w:rPr>
          <w:lang w:val="en-US" w:eastAsia="zh-CN"/>
        </w:rPr>
      </w:pPr>
      <w:bookmarkStart w:id="54" w:name="_Toc22384"/>
      <w:bookmarkStart w:id="55" w:name="_Toc2273"/>
      <w:bookmarkStart w:id="56" w:name="_Toc31106"/>
      <w:bookmarkStart w:id="57" w:name="_Toc55945216"/>
      <w:bookmarkStart w:id="58" w:name="_Toc60925322"/>
      <w:r>
        <w:rPr>
          <w:rFonts w:hint="default"/>
          <w:lang w:val="en-US" w:eastAsia="zh-CN"/>
        </w:rPr>
        <w:t>评价目的</w:t>
      </w:r>
      <w:bookmarkEnd w:id="54"/>
      <w:bookmarkEnd w:id="55"/>
      <w:bookmarkEnd w:id="56"/>
    </w:p>
    <w:p w14:paraId="7503921A">
      <w:pPr>
        <w:keepNext w:val="0"/>
        <w:keepLines w:val="0"/>
        <w:pageBreakBefore w:val="0"/>
        <w:widowControl w:val="0"/>
        <w:numPr>
          <w:ilvl w:val="0"/>
          <w:numId w:val="2"/>
        </w:numPr>
        <w:kinsoku/>
        <w:wordWrap/>
        <w:overflowPunct/>
        <w:topLinePunct/>
        <w:autoSpaceDE/>
        <w:autoSpaceDN/>
        <w:bidi w:val="0"/>
        <w:adjustRightInd/>
        <w:snapToGrid/>
        <w:spacing w:line="500" w:lineRule="exact"/>
        <w:ind w:left="0" w:leftChars="0" w:firstLine="560" w:firstLineChars="200"/>
        <w:jc w:val="both"/>
        <w:textAlignment w:val="auto"/>
        <w:rPr>
          <w:rFonts w:hint="eastAsia" w:ascii="宋体" w:hAnsi="宋体" w:eastAsia="宋体" w:cs="宋体"/>
        </w:rPr>
      </w:pPr>
      <w:r>
        <w:rPr>
          <w:rFonts w:hint="eastAsia" w:ascii="宋体" w:hAnsi="宋体" w:eastAsia="宋体" w:cs="宋体"/>
        </w:rPr>
        <w:t>根据国家相关</w:t>
      </w:r>
      <w:r>
        <w:rPr>
          <w:rFonts w:hint="eastAsia" w:ascii="宋体" w:hAnsi="宋体" w:eastAsia="宋体" w:cs="宋体"/>
          <w:lang w:eastAsia="zh-CN"/>
        </w:rPr>
        <w:t>法律法规</w:t>
      </w:r>
      <w:r>
        <w:rPr>
          <w:rFonts w:hint="eastAsia" w:ascii="宋体" w:hAnsi="宋体" w:eastAsia="宋体" w:cs="宋体"/>
        </w:rPr>
        <w:t>的规定和要求，依据项目的安全设施设计内容，对项目的安全设施建设情况进行符合性评价，为</w:t>
      </w:r>
      <w:r>
        <w:rPr>
          <w:rFonts w:hint="eastAsia" w:cs="宋体"/>
          <w:lang w:eastAsia="zh-CN"/>
        </w:rPr>
        <w:t>云南东锆新材料有限公司年产3万吨电熔氧化锆陶瓷产业基地建设项目</w:t>
      </w:r>
      <w:r>
        <w:rPr>
          <w:rFonts w:hint="eastAsia" w:cs="宋体"/>
          <w:lang w:val="en-US" w:eastAsia="zh-CN"/>
        </w:rPr>
        <w:t>一期工程</w:t>
      </w:r>
      <w:r>
        <w:rPr>
          <w:rFonts w:hint="eastAsia" w:ascii="宋体" w:hAnsi="宋体" w:eastAsia="宋体" w:cs="宋体"/>
        </w:rPr>
        <w:t>完善政府行政审批手续提供安全设施验收评价报告，是本次安全评价工作的主要目的之一。</w:t>
      </w:r>
    </w:p>
    <w:p w14:paraId="6144FDBF">
      <w:pPr>
        <w:keepNext w:val="0"/>
        <w:keepLines w:val="0"/>
        <w:pageBreakBefore w:val="0"/>
        <w:widowControl w:val="0"/>
        <w:numPr>
          <w:ilvl w:val="0"/>
          <w:numId w:val="2"/>
        </w:numPr>
        <w:kinsoku/>
        <w:wordWrap/>
        <w:overflowPunct/>
        <w:topLinePunct/>
        <w:autoSpaceDE/>
        <w:autoSpaceDN/>
        <w:bidi w:val="0"/>
        <w:adjustRightInd/>
        <w:snapToGrid/>
        <w:spacing w:line="500" w:lineRule="exact"/>
        <w:ind w:left="0" w:leftChars="0" w:firstLine="560" w:firstLineChars="200"/>
        <w:jc w:val="left"/>
        <w:textAlignment w:val="auto"/>
        <w:rPr>
          <w:rFonts w:hint="eastAsia" w:ascii="宋体" w:hAnsi="宋体" w:eastAsia="宋体" w:cs="宋体"/>
        </w:rPr>
      </w:pPr>
      <w:r>
        <w:rPr>
          <w:rFonts w:hint="eastAsia" w:ascii="宋体" w:hAnsi="宋体" w:eastAsia="宋体" w:cs="宋体"/>
        </w:rPr>
        <w:t>为建设项目的安全验收提供科学依据，指导危险源监控和事故预防，以实现最低的事故率、最少的损失和最优的安全投资效益，以保证建设项目正常投入生产或使用后的安全性和可靠性。</w:t>
      </w:r>
    </w:p>
    <w:p w14:paraId="0CED01D5">
      <w:pPr>
        <w:keepNext w:val="0"/>
        <w:keepLines w:val="0"/>
        <w:pageBreakBefore w:val="0"/>
        <w:widowControl w:val="0"/>
        <w:numPr>
          <w:ilvl w:val="0"/>
          <w:numId w:val="2"/>
        </w:numPr>
        <w:kinsoku/>
        <w:wordWrap/>
        <w:overflowPunct/>
        <w:topLinePunct/>
        <w:autoSpaceDE/>
        <w:autoSpaceDN/>
        <w:bidi w:val="0"/>
        <w:adjustRightInd/>
        <w:snapToGrid/>
        <w:spacing w:line="500" w:lineRule="exact"/>
        <w:ind w:left="0" w:leftChars="0" w:firstLine="560" w:firstLineChars="200"/>
        <w:jc w:val="left"/>
        <w:textAlignment w:val="auto"/>
        <w:rPr>
          <w:rFonts w:hint="eastAsia" w:ascii="宋体" w:hAnsi="宋体" w:eastAsia="宋体" w:cs="宋体"/>
        </w:rPr>
      </w:pPr>
      <w:r>
        <w:rPr>
          <w:rFonts w:hint="eastAsia" w:ascii="宋体" w:hAnsi="宋体" w:eastAsia="宋体" w:cs="宋体"/>
        </w:rPr>
        <w:t>通过对建设项目“三同时”落实情况及设施、设备、装置实际运行状况的检查，对未达到安全目标的系统或单元提出具有针对性、可操作性和经济合理性的安全对策措施建议，以利于提高建设项目本质安全程度，满足安全生产要求。</w:t>
      </w:r>
    </w:p>
    <w:p w14:paraId="323F5373">
      <w:pPr>
        <w:keepNext w:val="0"/>
        <w:keepLines w:val="0"/>
        <w:pageBreakBefore w:val="0"/>
        <w:widowControl w:val="0"/>
        <w:numPr>
          <w:ilvl w:val="0"/>
          <w:numId w:val="2"/>
        </w:numPr>
        <w:kinsoku/>
        <w:wordWrap/>
        <w:overflowPunct/>
        <w:topLinePunct/>
        <w:autoSpaceDE/>
        <w:autoSpaceDN/>
        <w:bidi w:val="0"/>
        <w:adjustRightInd/>
        <w:snapToGrid/>
        <w:spacing w:line="500" w:lineRule="exact"/>
        <w:ind w:left="0" w:leftChars="0" w:firstLine="560" w:firstLineChars="200"/>
        <w:jc w:val="left"/>
        <w:textAlignment w:val="auto"/>
        <w:rPr>
          <w:rFonts w:hint="eastAsia" w:ascii="宋体" w:hAnsi="宋体" w:eastAsia="宋体" w:cs="宋体"/>
        </w:rPr>
      </w:pPr>
      <w:r>
        <w:rPr>
          <w:rFonts w:hint="eastAsia" w:ascii="宋体" w:hAnsi="宋体" w:eastAsia="宋体" w:cs="宋体"/>
        </w:rPr>
        <w:t>通过安全设施验收评价，可进一步</w:t>
      </w:r>
      <w:r>
        <w:rPr>
          <w:rFonts w:hint="eastAsia" w:ascii="宋体" w:hAnsi="宋体" w:eastAsia="宋体" w:cs="宋体"/>
          <w:lang w:eastAsia="zh-CN"/>
        </w:rPr>
        <w:t>全面</w:t>
      </w:r>
      <w:r>
        <w:rPr>
          <w:rFonts w:hint="eastAsia" w:ascii="宋体" w:hAnsi="宋体" w:eastAsia="宋体" w:cs="宋体"/>
        </w:rPr>
        <w:t>了解和掌握其安全生产条件和安全管理状况；并通过完善安全措施，保障作业人员的生命安全和财产安全。</w:t>
      </w:r>
    </w:p>
    <w:p w14:paraId="3ABE885B">
      <w:pPr>
        <w:keepNext w:val="0"/>
        <w:keepLines w:val="0"/>
        <w:pageBreakBefore w:val="0"/>
        <w:widowControl w:val="0"/>
        <w:numPr>
          <w:ilvl w:val="0"/>
          <w:numId w:val="2"/>
        </w:numPr>
        <w:kinsoku/>
        <w:wordWrap/>
        <w:overflowPunct/>
        <w:topLinePunct/>
        <w:autoSpaceDE/>
        <w:autoSpaceDN/>
        <w:bidi w:val="0"/>
        <w:adjustRightInd/>
        <w:snapToGrid/>
        <w:spacing w:line="500" w:lineRule="exact"/>
        <w:ind w:left="0" w:leftChars="0" w:firstLine="560" w:firstLineChars="200"/>
        <w:jc w:val="left"/>
        <w:textAlignment w:val="auto"/>
        <w:rPr>
          <w:rFonts w:ascii="Times New Roman" w:hAnsi="Times New Roman" w:eastAsia="宋体" w:cs="Times New Roman"/>
        </w:rPr>
      </w:pPr>
      <w:r>
        <w:rPr>
          <w:rFonts w:hint="eastAsia" w:ascii="宋体" w:hAnsi="宋体" w:eastAsia="宋体" w:cs="宋体"/>
        </w:rPr>
        <w:t>为实现该项目安全技术、安全管理的标准化和科学化创造条件，并为应急管理部门提供安全监管依据。</w:t>
      </w:r>
    </w:p>
    <w:p w14:paraId="1FDF038B">
      <w:pPr>
        <w:pStyle w:val="3"/>
        <w:keepNext w:val="0"/>
        <w:keepLines w:val="0"/>
        <w:pageBreakBefore w:val="0"/>
        <w:widowControl w:val="0"/>
        <w:kinsoku/>
        <w:wordWrap/>
        <w:overflowPunct/>
        <w:autoSpaceDE/>
        <w:autoSpaceDN/>
        <w:bidi w:val="0"/>
        <w:spacing w:line="500" w:lineRule="exact"/>
        <w:textAlignment w:val="auto"/>
        <w:rPr>
          <w:lang w:val="en-US" w:eastAsia="zh-CN"/>
        </w:rPr>
      </w:pPr>
      <w:bookmarkStart w:id="59" w:name="_Toc23854"/>
      <w:bookmarkStart w:id="60" w:name="_Toc31834"/>
      <w:bookmarkStart w:id="61" w:name="_Toc13898"/>
      <w:r>
        <w:rPr>
          <w:rFonts w:hint="default"/>
          <w:lang w:val="en-US" w:eastAsia="zh-CN"/>
        </w:rPr>
        <w:t>评价</w:t>
      </w:r>
      <w:r>
        <w:rPr>
          <w:lang w:val="en-US" w:eastAsia="zh-CN"/>
        </w:rPr>
        <w:t>范围</w:t>
      </w:r>
      <w:bookmarkEnd w:id="57"/>
      <w:bookmarkEnd w:id="58"/>
      <w:bookmarkEnd w:id="59"/>
      <w:bookmarkEnd w:id="60"/>
      <w:bookmarkEnd w:id="61"/>
    </w:p>
    <w:p w14:paraId="3B12B083">
      <w:pPr>
        <w:keepNext w:val="0"/>
        <w:keepLines w:val="0"/>
        <w:pageBreakBefore w:val="0"/>
        <w:widowControl w:val="0"/>
        <w:kinsoku/>
        <w:wordWrap/>
        <w:overflowPunct/>
        <w:topLinePunct/>
        <w:autoSpaceDE/>
        <w:autoSpaceDN/>
        <w:bidi w:val="0"/>
        <w:adjustRightInd w:val="0"/>
        <w:snapToGrid w:val="0"/>
        <w:spacing w:line="500" w:lineRule="exact"/>
        <w:ind w:firstLine="560"/>
        <w:jc w:val="left"/>
        <w:textAlignment w:val="auto"/>
        <w:rPr>
          <w:rFonts w:hint="eastAsia" w:cs="Times New Roman"/>
          <w:lang w:eastAsia="zh-CN"/>
        </w:rPr>
      </w:pPr>
      <w:bookmarkStart w:id="62" w:name="_Toc413501797"/>
      <w:r>
        <w:rPr>
          <w:rFonts w:hint="eastAsia" w:cs="Times New Roman"/>
          <w:lang w:val="en-US" w:eastAsia="zh-CN"/>
        </w:rPr>
        <w:t>本项目为新建</w:t>
      </w:r>
      <w:r>
        <w:rPr>
          <w:rFonts w:hint="eastAsia" w:cs="Times New Roman"/>
        </w:rPr>
        <w:t>3万吨电熔氧化锆陶瓷产业基地建设项目</w:t>
      </w:r>
      <w:r>
        <w:rPr>
          <w:rFonts w:hint="eastAsia" w:cs="Times New Roman"/>
          <w:lang w:eastAsia="zh-CN"/>
        </w:rPr>
        <w:t>，</w:t>
      </w:r>
      <w:r>
        <w:rPr>
          <w:rFonts w:hint="eastAsia" w:cs="Times New Roman"/>
        </w:rPr>
        <w:t>总规模为年产3万吨电熔氧化锆。</w:t>
      </w:r>
      <w:r>
        <w:rPr>
          <w:rFonts w:hint="eastAsia" w:cs="Times New Roman"/>
          <w:lang w:val="en-US" w:eastAsia="zh-CN"/>
        </w:rPr>
        <w:t>该项目</w:t>
      </w:r>
      <w:r>
        <w:rPr>
          <w:rFonts w:hint="eastAsia" w:cs="Times New Roman"/>
        </w:rPr>
        <w:t>进行“总体规划、分期实施”</w:t>
      </w:r>
      <w:r>
        <w:rPr>
          <w:rFonts w:hint="eastAsia" w:cs="Times New Roman"/>
          <w:lang w:eastAsia="zh-CN"/>
        </w:rPr>
        <w:t>，</w:t>
      </w:r>
      <w:r>
        <w:rPr>
          <w:rFonts w:hint="eastAsia" w:cs="Times New Roman"/>
          <w:lang w:val="en-US" w:eastAsia="zh-CN"/>
        </w:rPr>
        <w:t>分两期进行建设</w:t>
      </w:r>
      <w:r>
        <w:rPr>
          <w:rFonts w:hint="eastAsia" w:cs="Times New Roman"/>
          <w:lang w:eastAsia="zh-CN"/>
        </w:rPr>
        <w:t>。</w:t>
      </w:r>
    </w:p>
    <w:p w14:paraId="3C681EEC">
      <w:pPr>
        <w:keepNext w:val="0"/>
        <w:keepLines w:val="0"/>
        <w:pageBreakBefore w:val="0"/>
        <w:widowControl w:val="0"/>
        <w:kinsoku/>
        <w:wordWrap/>
        <w:overflowPunct/>
        <w:topLinePunct/>
        <w:autoSpaceDE/>
        <w:autoSpaceDN/>
        <w:bidi w:val="0"/>
        <w:adjustRightInd w:val="0"/>
        <w:snapToGrid w:val="0"/>
        <w:spacing w:line="500" w:lineRule="exact"/>
        <w:ind w:firstLine="560"/>
        <w:jc w:val="left"/>
        <w:textAlignment w:val="auto"/>
        <w:rPr>
          <w:rFonts w:hint="default" w:ascii="Times New Roman" w:hAnsi="Times New Roman" w:eastAsia="宋体" w:cs="Times New Roman"/>
          <w:szCs w:val="28"/>
          <w:lang w:val="en-US"/>
        </w:rPr>
      </w:pPr>
      <w:r>
        <w:rPr>
          <w:rFonts w:hint="eastAsia" w:ascii="宋体" w:hAnsi="宋体" w:cs="宋体"/>
          <w:color w:val="auto"/>
          <w:szCs w:val="28"/>
          <w:lang w:val="en-US" w:eastAsia="zh-CN"/>
        </w:rPr>
        <w:t>本次验收对象为项目</w:t>
      </w:r>
      <w:r>
        <w:rPr>
          <w:rFonts w:hint="eastAsia" w:ascii="宋体" w:hAnsi="宋体" w:cs="宋体"/>
          <w:color w:val="auto"/>
          <w:szCs w:val="28"/>
        </w:rPr>
        <w:t>一期建设</w:t>
      </w:r>
      <w:r>
        <w:rPr>
          <w:rFonts w:hint="eastAsia" w:ascii="宋体" w:hAnsi="宋体" w:cs="宋体"/>
          <w:color w:val="auto"/>
          <w:szCs w:val="28"/>
          <w:lang w:val="en-US" w:eastAsia="zh-CN"/>
        </w:rPr>
        <w:t>内容。</w:t>
      </w:r>
    </w:p>
    <w:p w14:paraId="35061C30">
      <w:pPr>
        <w:keepNext w:val="0"/>
        <w:keepLines w:val="0"/>
        <w:pageBreakBefore w:val="0"/>
        <w:widowControl w:val="0"/>
        <w:kinsoku/>
        <w:wordWrap/>
        <w:overflowPunct/>
        <w:topLinePunct/>
        <w:autoSpaceDE/>
        <w:autoSpaceDN/>
        <w:bidi w:val="0"/>
        <w:adjustRightInd w:val="0"/>
        <w:snapToGrid w:val="0"/>
        <w:spacing w:line="500" w:lineRule="exact"/>
        <w:ind w:firstLine="560"/>
        <w:jc w:val="left"/>
        <w:textAlignment w:val="auto"/>
        <w:rPr>
          <w:rFonts w:hint="eastAsia"/>
          <w:color w:val="auto"/>
          <w:sz w:val="28"/>
          <w:szCs w:val="28"/>
          <w:lang w:eastAsia="zh-CN"/>
        </w:rPr>
      </w:pPr>
      <w:r>
        <w:rPr>
          <w:rFonts w:hint="eastAsia" w:ascii="Times New Roman" w:hAnsi="Times New Roman" w:eastAsia="宋体" w:cs="Times New Roman"/>
          <w:szCs w:val="28"/>
        </w:rPr>
        <w:t>本次安全</w:t>
      </w:r>
      <w:r>
        <w:rPr>
          <w:rFonts w:hint="eastAsia" w:ascii="Times New Roman" w:hAnsi="Times New Roman" w:eastAsia="宋体" w:cs="Times New Roman"/>
          <w:szCs w:val="28"/>
          <w:lang w:val="en-US" w:eastAsia="zh-CN"/>
        </w:rPr>
        <w:t>设施验收评价</w:t>
      </w:r>
      <w:r>
        <w:rPr>
          <w:rFonts w:hint="eastAsia" w:ascii="Times New Roman" w:hAnsi="Times New Roman" w:eastAsia="宋体" w:cs="Times New Roman"/>
          <w:szCs w:val="28"/>
        </w:rPr>
        <w:t>的范围：</w:t>
      </w:r>
      <w:r>
        <w:rPr>
          <w:rFonts w:hint="eastAsia" w:ascii="Times New Roman" w:hAnsi="Times New Roman" w:eastAsia="宋体" w:cs="Times New Roman"/>
          <w:szCs w:val="28"/>
          <w:lang w:val="en-US" w:eastAsia="zh-CN"/>
        </w:rPr>
        <w:t>依据《</w:t>
      </w:r>
      <w:r>
        <w:rPr>
          <w:rFonts w:hint="eastAsia" w:ascii="Times New Roman" w:hAnsi="Times New Roman" w:eastAsia="宋体" w:cs="Times New Roman"/>
          <w:szCs w:val="28"/>
        </w:rPr>
        <w:t>云南东锆新材料有限公司年产3万吨电熔氧化锆陶瓷产业基地建设项目</w:t>
      </w:r>
      <w:r>
        <w:rPr>
          <w:rFonts w:hint="eastAsia" w:ascii="Times New Roman" w:hAnsi="Times New Roman" w:eastAsia="宋体" w:cs="Times New Roman"/>
          <w:szCs w:val="28"/>
          <w:lang w:val="en-US" w:eastAsia="zh-CN"/>
        </w:rPr>
        <w:t>安全设施设计》一期内容，对年产</w:t>
      </w:r>
      <w:r>
        <w:rPr>
          <w:rFonts w:hint="eastAsia" w:cs="Times New Roman"/>
        </w:rPr>
        <w:t>1</w:t>
      </w:r>
      <w:r>
        <w:rPr>
          <w:rFonts w:hint="eastAsia" w:cs="Times New Roman"/>
          <w:lang w:val="en-US" w:eastAsia="zh-CN"/>
        </w:rPr>
        <w:t>万吨</w:t>
      </w:r>
      <w:r>
        <w:rPr>
          <w:rFonts w:hint="eastAsia" w:cs="Times New Roman"/>
        </w:rPr>
        <w:t>单斜电熔锆</w:t>
      </w:r>
      <w:r>
        <w:rPr>
          <w:rFonts w:hint="eastAsia" w:ascii="宋体" w:hAnsi="宋体" w:cs="宋体"/>
          <w:color w:val="auto"/>
          <w:szCs w:val="28"/>
          <w:lang w:val="en-US" w:eastAsia="zh-CN"/>
        </w:rPr>
        <w:t>生产装置，</w:t>
      </w:r>
      <w:r>
        <w:rPr>
          <w:rFonts w:hint="eastAsia"/>
          <w:color w:val="auto"/>
          <w:sz w:val="28"/>
          <w:szCs w:val="28"/>
        </w:rPr>
        <w:t>公用工程及辅助设施（供配电、消防、给排水等）</w:t>
      </w:r>
      <w:r>
        <w:rPr>
          <w:rFonts w:hint="eastAsia"/>
          <w:color w:val="auto"/>
          <w:sz w:val="28"/>
          <w:szCs w:val="28"/>
          <w:lang w:eastAsia="zh-CN"/>
        </w:rPr>
        <w:t>，</w:t>
      </w:r>
      <w:r>
        <w:rPr>
          <w:rFonts w:hint="eastAsia"/>
          <w:color w:val="auto"/>
          <w:sz w:val="28"/>
          <w:szCs w:val="28"/>
        </w:rPr>
        <w:t>安全管理等</w:t>
      </w:r>
      <w:r>
        <w:rPr>
          <w:rFonts w:hint="eastAsia"/>
          <w:color w:val="auto"/>
          <w:sz w:val="28"/>
          <w:szCs w:val="28"/>
          <w:lang w:eastAsia="zh-CN"/>
        </w:rPr>
        <w:t>。</w:t>
      </w:r>
    </w:p>
    <w:p w14:paraId="5ABC7648">
      <w:pPr>
        <w:keepNext w:val="0"/>
        <w:keepLines w:val="0"/>
        <w:pageBreakBefore w:val="0"/>
        <w:widowControl w:val="0"/>
        <w:kinsoku/>
        <w:wordWrap/>
        <w:overflowPunct/>
        <w:topLinePunct/>
        <w:autoSpaceDE/>
        <w:autoSpaceDN/>
        <w:bidi w:val="0"/>
        <w:adjustRightInd w:val="0"/>
        <w:snapToGrid w:val="0"/>
        <w:spacing w:line="500" w:lineRule="exact"/>
        <w:ind w:firstLine="560"/>
        <w:jc w:val="left"/>
        <w:textAlignment w:val="auto"/>
        <w:rPr>
          <w:rFonts w:hint="eastAsia" w:ascii="Times New Roman" w:hAnsi="Times New Roman" w:eastAsia="宋体" w:cs="Times New Roman"/>
          <w:szCs w:val="28"/>
          <w:lang w:val="en-US" w:eastAsia="zh-CN"/>
        </w:rPr>
      </w:pPr>
      <w:r>
        <w:rPr>
          <w:rFonts w:hint="eastAsia" w:ascii="Times New Roman" w:hAnsi="Times New Roman" w:cs="Times New Roman"/>
          <w:szCs w:val="28"/>
          <w:lang w:val="en-US" w:eastAsia="zh-CN"/>
        </w:rPr>
        <w:t>其中，</w:t>
      </w:r>
      <w:r>
        <w:rPr>
          <w:rFonts w:hint="eastAsia" w:ascii="Times New Roman" w:hAnsi="Times New Roman" w:eastAsia="宋体" w:cs="Times New Roman"/>
          <w:szCs w:val="28"/>
        </w:rPr>
        <w:t>项目的职业卫生、环保、地质灾害评估、外部运输问题不在本次安全设施验</w:t>
      </w:r>
      <w:r>
        <w:rPr>
          <w:rFonts w:hint="eastAsia" w:ascii="Times New Roman" w:hAnsi="Times New Roman" w:eastAsia="宋体" w:cs="Times New Roman"/>
          <w:szCs w:val="28"/>
          <w:lang w:val="en-US" w:eastAsia="zh-CN"/>
        </w:rPr>
        <w:t>收评价范围之内，但报告中会涉及相关内容，企业应执行相关国家法律法规、标准和规范要求，并以相关批准、批复和文件为准。</w:t>
      </w:r>
    </w:p>
    <w:bookmarkEnd w:id="62"/>
    <w:p w14:paraId="6A76CC5F">
      <w:pPr>
        <w:pStyle w:val="3"/>
        <w:keepNext w:val="0"/>
        <w:keepLines w:val="0"/>
        <w:pageBreakBefore w:val="0"/>
        <w:widowControl w:val="0"/>
        <w:kinsoku/>
        <w:wordWrap/>
        <w:overflowPunct/>
        <w:autoSpaceDE/>
        <w:autoSpaceDN/>
        <w:bidi w:val="0"/>
        <w:spacing w:line="500" w:lineRule="exact"/>
        <w:textAlignment w:val="auto"/>
        <w:rPr>
          <w:lang w:val="en-US" w:eastAsia="zh-CN"/>
        </w:rPr>
      </w:pPr>
      <w:bookmarkStart w:id="63" w:name="_Toc55945217"/>
      <w:bookmarkStart w:id="64" w:name="_Toc26343"/>
      <w:bookmarkStart w:id="65" w:name="_Toc20311"/>
      <w:bookmarkStart w:id="66" w:name="_Toc60925323"/>
      <w:bookmarkStart w:id="67" w:name="_Toc4632"/>
      <w:bookmarkStart w:id="68" w:name="_Toc335838500"/>
      <w:bookmarkStart w:id="69" w:name="_Toc413501804"/>
      <w:bookmarkStart w:id="70" w:name="_Toc283801651"/>
      <w:bookmarkStart w:id="71" w:name="_Toc522811407"/>
      <w:r>
        <w:rPr>
          <w:rFonts w:hint="eastAsia"/>
          <w:lang w:val="en-US" w:eastAsia="zh-CN"/>
        </w:rPr>
        <w:t>评价依据</w:t>
      </w:r>
      <w:bookmarkEnd w:id="63"/>
      <w:bookmarkEnd w:id="64"/>
      <w:bookmarkEnd w:id="65"/>
      <w:bookmarkEnd w:id="66"/>
      <w:bookmarkEnd w:id="67"/>
    </w:p>
    <w:p w14:paraId="16EAE18E">
      <w:pPr>
        <w:pStyle w:val="4"/>
        <w:keepNext w:val="0"/>
        <w:keepLines w:val="0"/>
        <w:pageBreakBefore w:val="0"/>
        <w:widowControl w:val="0"/>
        <w:kinsoku/>
        <w:wordWrap/>
        <w:overflowPunct/>
        <w:autoSpaceDE/>
        <w:autoSpaceDN/>
        <w:bidi w:val="0"/>
        <w:spacing w:line="500" w:lineRule="exact"/>
        <w:textAlignment w:val="auto"/>
        <w:rPr>
          <w:lang w:val="en-US" w:eastAsia="zh-CN"/>
        </w:rPr>
      </w:pPr>
      <w:bookmarkStart w:id="72" w:name="_Toc477116082"/>
      <w:bookmarkStart w:id="73" w:name="_Toc55033268"/>
      <w:bookmarkStart w:id="74" w:name="_Toc55567333"/>
      <w:bookmarkStart w:id="75" w:name="_Toc531271025"/>
      <w:bookmarkStart w:id="76" w:name="_Toc14577"/>
      <w:bookmarkStart w:id="77" w:name="_Toc60925324"/>
      <w:bookmarkStart w:id="78" w:name="_Toc20385"/>
      <w:bookmarkStart w:id="79" w:name="_Toc15108"/>
      <w:bookmarkStart w:id="80" w:name="_Toc55945218"/>
      <w:r>
        <w:rPr>
          <w:rFonts w:hint="eastAsia"/>
          <w:lang w:val="en-US" w:eastAsia="zh-CN"/>
        </w:rPr>
        <w:t>法律</w:t>
      </w:r>
      <w:bookmarkEnd w:id="72"/>
      <w:bookmarkEnd w:id="73"/>
      <w:bookmarkEnd w:id="74"/>
      <w:bookmarkEnd w:id="75"/>
      <w:bookmarkEnd w:id="76"/>
    </w:p>
    <w:bookmarkEnd w:id="77"/>
    <w:bookmarkEnd w:id="78"/>
    <w:bookmarkEnd w:id="79"/>
    <w:bookmarkEnd w:id="80"/>
    <w:p w14:paraId="75EECF44">
      <w:pPr>
        <w:keepNext w:val="0"/>
        <w:keepLines w:val="0"/>
        <w:pageBreakBefore w:val="0"/>
        <w:widowControl/>
        <w:numPr>
          <w:ilvl w:val="0"/>
          <w:numId w:val="3"/>
        </w:numPr>
        <w:kinsoku/>
        <w:wordWrap/>
        <w:overflowPunct/>
        <w:topLinePunct w:val="0"/>
        <w:autoSpaceDE/>
        <w:autoSpaceDN/>
        <w:bidi w:val="0"/>
        <w:adjustRightInd w:val="0"/>
        <w:snapToGrid w:val="0"/>
        <w:ind w:left="0"/>
        <w:textAlignment w:val="auto"/>
        <w:rPr>
          <w:rFonts w:hint="eastAsia"/>
        </w:rPr>
      </w:pPr>
      <w:bookmarkStart w:id="81" w:name="_Toc369097748"/>
      <w:bookmarkStart w:id="82" w:name="_Toc376246553"/>
      <w:bookmarkStart w:id="83" w:name="_Toc531271026"/>
      <w:bookmarkStart w:id="84" w:name="_Toc335926127"/>
      <w:bookmarkStart w:id="85" w:name="_Toc477116083"/>
      <w:bookmarkStart w:id="86" w:name="_Toc369097751"/>
      <w:bookmarkStart w:id="87" w:name="_Toc335926129"/>
      <w:bookmarkStart w:id="88" w:name="_Toc531271029"/>
      <w:bookmarkStart w:id="89" w:name="_Toc376246556"/>
      <w:bookmarkStart w:id="90" w:name="_Toc360019752"/>
      <w:bookmarkStart w:id="91" w:name="_Toc477116086"/>
      <w:bookmarkStart w:id="92" w:name="_Toc336346680"/>
      <w:bookmarkStart w:id="93" w:name="_Toc335639977"/>
      <w:r>
        <w:rPr>
          <w:rFonts w:hint="eastAsia"/>
        </w:rPr>
        <w:t>《中华人民共和国安全生产法》（</w:t>
      </w:r>
      <w:r>
        <w:rPr>
          <w:rFonts w:hint="eastAsia"/>
          <w:lang w:val="en-US" w:eastAsia="zh-CN"/>
        </w:rPr>
        <w:t>中华人民共和国主席令第88号</w:t>
      </w:r>
      <w:r>
        <w:rPr>
          <w:rFonts w:hint="eastAsia"/>
        </w:rPr>
        <w:t>，自2021年9月1日起施行）；</w:t>
      </w:r>
    </w:p>
    <w:p w14:paraId="79036603">
      <w:pPr>
        <w:keepNext w:val="0"/>
        <w:keepLines w:val="0"/>
        <w:pageBreakBefore w:val="0"/>
        <w:widowControl/>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《中华人民共和国消防法》（</w:t>
      </w:r>
      <w:r>
        <w:rPr>
          <w:rFonts w:hint="eastAsia"/>
          <w:lang w:val="en-US" w:eastAsia="zh-CN"/>
        </w:rPr>
        <w:t>中华人民共和国主席令第6号，中华人民共和国主席令第81号修正，自</w:t>
      </w:r>
      <w:r>
        <w:rPr>
          <w:rFonts w:hint="eastAsia"/>
        </w:rPr>
        <w:t>2021年4月29日起施行）；</w:t>
      </w:r>
    </w:p>
    <w:p w14:paraId="214BBBF5">
      <w:pPr>
        <w:keepNext w:val="0"/>
        <w:keepLines w:val="0"/>
        <w:pageBreakBefore w:val="0"/>
        <w:widowControl/>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《中华人民共和国劳动法》（中华人民共和国主席令第2</w:t>
      </w:r>
      <w:r>
        <w:rPr>
          <w:rFonts w:hint="eastAsia"/>
          <w:lang w:val="en-US" w:eastAsia="zh-CN"/>
        </w:rPr>
        <w:t>4</w:t>
      </w:r>
      <w:r>
        <w:rPr>
          <w:rFonts w:hint="eastAsia"/>
        </w:rPr>
        <w:t>号，2018年12月29日第二次修改）；</w:t>
      </w:r>
    </w:p>
    <w:p w14:paraId="33DEE991">
      <w:pPr>
        <w:keepNext w:val="0"/>
        <w:keepLines w:val="0"/>
        <w:pageBreakBefore w:val="0"/>
        <w:widowControl/>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《中华人民共和国职业病防治法》（中华人民共和国主席令第2</w:t>
      </w:r>
      <w:r>
        <w:rPr>
          <w:rFonts w:hint="eastAsia"/>
          <w:lang w:val="en-US" w:eastAsia="zh-CN"/>
        </w:rPr>
        <w:t>4</w:t>
      </w:r>
      <w:r>
        <w:rPr>
          <w:rFonts w:hint="eastAsia"/>
        </w:rPr>
        <w:t>号，2018年12月29日第十三届全国人民代表大会常务委员会第七次会议《关于修改等七部法律的决定》第四次修正）；</w:t>
      </w:r>
    </w:p>
    <w:p w14:paraId="4790D830">
      <w:pPr>
        <w:keepNext w:val="0"/>
        <w:keepLines w:val="0"/>
        <w:pageBreakBefore w:val="0"/>
        <w:widowControl/>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《中华人民共和国特种设备安全法》（</w:t>
      </w:r>
      <w:r>
        <w:rPr>
          <w:rFonts w:hint="eastAsia"/>
          <w:lang w:val="en-US" w:eastAsia="zh-CN"/>
        </w:rPr>
        <w:fldChar w:fldCharType="begin"/>
      </w:r>
      <w:r>
        <w:rPr>
          <w:rFonts w:hint="eastAsia"/>
          <w:lang w:val="en-US" w:eastAsia="zh-CN"/>
        </w:rPr>
        <w:instrText xml:space="preserve"> HYPERLINK "http://baike.baidu.com/view/1807953.htm" \t "_blank" </w:instrText>
      </w:r>
      <w:r>
        <w:rPr>
          <w:rFonts w:hint="eastAsia"/>
          <w:lang w:val="en-US" w:eastAsia="zh-CN"/>
        </w:rPr>
        <w:fldChar w:fldCharType="separate"/>
      </w:r>
      <w:r>
        <w:rPr>
          <w:rFonts w:hint="eastAsia"/>
          <w:lang w:val="en-US" w:eastAsia="zh-CN"/>
        </w:rPr>
        <w:t>中华人民共和国主席令</w:t>
      </w:r>
      <w:r>
        <w:rPr>
          <w:rFonts w:hint="eastAsia"/>
          <w:lang w:val="en-US" w:eastAsia="zh-CN"/>
        </w:rPr>
        <w:fldChar w:fldCharType="end"/>
      </w:r>
      <w:r>
        <w:rPr>
          <w:rFonts w:hint="eastAsia"/>
          <w:lang w:val="en-US" w:eastAsia="zh-CN"/>
        </w:rPr>
        <w:t>第4号</w:t>
      </w:r>
      <w:r>
        <w:rPr>
          <w:rFonts w:hint="eastAsia"/>
        </w:rPr>
        <w:t>，</w:t>
      </w:r>
      <w:r>
        <w:rPr>
          <w:rFonts w:hint="eastAsia"/>
          <w:lang w:val="en-US" w:eastAsia="zh-CN"/>
        </w:rPr>
        <w:t>自</w:t>
      </w:r>
      <w:r>
        <w:rPr>
          <w:rFonts w:hint="eastAsia"/>
          <w:lang w:eastAsia="zh-CN"/>
        </w:rPr>
        <w:t>2014年1月1日起施行</w:t>
      </w:r>
      <w:r>
        <w:rPr>
          <w:rFonts w:hint="eastAsia"/>
        </w:rPr>
        <w:t>）；</w:t>
      </w:r>
    </w:p>
    <w:p w14:paraId="5A4163B9">
      <w:pPr>
        <w:keepNext w:val="0"/>
        <w:keepLines w:val="0"/>
        <w:pageBreakBefore w:val="0"/>
        <w:widowControl/>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《中华人民共和国突发事件应对法》（</w:t>
      </w:r>
      <w:r>
        <w:rPr>
          <w:rFonts w:hint="eastAsia"/>
          <w:lang w:val="en-US" w:eastAsia="zh-CN"/>
        </w:rPr>
        <w:fldChar w:fldCharType="begin"/>
      </w:r>
      <w:r>
        <w:rPr>
          <w:rFonts w:hint="eastAsia"/>
          <w:lang w:val="en-US" w:eastAsia="zh-CN"/>
        </w:rPr>
        <w:instrText xml:space="preserve"> HYPERLINK "http://baike.baidu.com/view/1807953.htm" \t "_blank" </w:instrText>
      </w:r>
      <w:r>
        <w:rPr>
          <w:rFonts w:hint="eastAsia"/>
          <w:lang w:val="en-US" w:eastAsia="zh-CN"/>
        </w:rPr>
        <w:fldChar w:fldCharType="separate"/>
      </w:r>
      <w:r>
        <w:rPr>
          <w:rFonts w:hint="eastAsia"/>
          <w:lang w:val="en-US" w:eastAsia="zh-CN"/>
        </w:rPr>
        <w:t>中华人民共和国主席令</w:t>
      </w:r>
      <w:r>
        <w:rPr>
          <w:rFonts w:hint="eastAsia"/>
          <w:lang w:val="en-US" w:eastAsia="zh-CN"/>
        </w:rPr>
        <w:fldChar w:fldCharType="end"/>
      </w:r>
      <w:r>
        <w:rPr>
          <w:rFonts w:hint="eastAsia"/>
          <w:lang w:val="en-US" w:eastAsia="zh-CN"/>
        </w:rPr>
        <w:t>第25号，</w:t>
      </w:r>
      <w:r>
        <w:rPr>
          <w:rFonts w:hint="eastAsia"/>
        </w:rPr>
        <w:t>第十四届全国人民代表大会常务委员会第十次会议于2024年6月28日修订通过，自2024年11月1日起施行）；</w:t>
      </w:r>
    </w:p>
    <w:p w14:paraId="7CD9979E">
      <w:pPr>
        <w:keepNext w:val="0"/>
        <w:keepLines w:val="0"/>
        <w:pageBreakBefore w:val="0"/>
        <w:widowControl/>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《中华人民共和国环境保护法》（中华人民共和国主席令第</w:t>
      </w:r>
      <w:r>
        <w:rPr>
          <w:rFonts w:hint="eastAsia"/>
          <w:lang w:val="en-US" w:eastAsia="zh-CN"/>
        </w:rPr>
        <w:t>9</w:t>
      </w:r>
      <w:r>
        <w:rPr>
          <w:rFonts w:hint="eastAsia"/>
        </w:rPr>
        <w:t>号，自2015年1月1日起施行）；</w:t>
      </w:r>
    </w:p>
    <w:p w14:paraId="6D230068">
      <w:pPr>
        <w:keepNext w:val="0"/>
        <w:keepLines w:val="0"/>
        <w:pageBreakBefore w:val="0"/>
        <w:widowControl/>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《中华人民共和国劳动合同法》（中华人民共和国主席令第</w:t>
      </w:r>
      <w:r>
        <w:rPr>
          <w:rFonts w:hint="eastAsia"/>
          <w:lang w:val="en-US" w:eastAsia="zh-CN"/>
        </w:rPr>
        <w:t>73</w:t>
      </w:r>
      <w:r>
        <w:rPr>
          <w:rFonts w:hint="eastAsia"/>
        </w:rPr>
        <w:t>号，2013年7月1日起施行）</w:t>
      </w:r>
      <w:bookmarkEnd w:id="81"/>
      <w:bookmarkEnd w:id="82"/>
      <w:bookmarkEnd w:id="83"/>
      <w:bookmarkEnd w:id="84"/>
      <w:bookmarkEnd w:id="85"/>
      <w:r>
        <w:rPr>
          <w:rFonts w:hint="eastAsia"/>
        </w:rPr>
        <w:t>；</w:t>
      </w:r>
    </w:p>
    <w:p w14:paraId="69DB6FC6">
      <w:pPr>
        <w:keepNext w:val="0"/>
        <w:keepLines w:val="0"/>
        <w:pageBreakBefore w:val="0"/>
        <w:widowControl/>
        <w:numPr>
          <w:ilvl w:val="0"/>
          <w:numId w:val="3"/>
        </w:numPr>
        <w:kinsoku/>
        <w:wordWrap/>
        <w:overflowPunct/>
        <w:topLinePunct w:val="0"/>
        <w:autoSpaceDE/>
        <w:autoSpaceDN/>
        <w:bidi w:val="0"/>
        <w:adjustRightInd w:val="0"/>
        <w:snapToGrid w:val="0"/>
        <w:ind w:left="0"/>
        <w:textAlignment w:val="auto"/>
        <w:rPr>
          <w:rFonts w:hint="eastAsia"/>
        </w:rPr>
      </w:pPr>
      <w:r>
        <w:rPr>
          <w:rFonts w:hint="eastAsia"/>
        </w:rPr>
        <w:t>《中华人民共和国防震减灾法》（中华人民共和国主席令第</w:t>
      </w:r>
      <w:r>
        <w:rPr>
          <w:rFonts w:hint="eastAsia"/>
          <w:lang w:val="en-US" w:eastAsia="zh-CN"/>
        </w:rPr>
        <w:t>7</w:t>
      </w:r>
      <w:r>
        <w:rPr>
          <w:rFonts w:hint="eastAsia"/>
        </w:rPr>
        <w:t>号，2008年12月27日第十一届全国人民代表大会常务委员会第六次会议修订，2009年5月1日起施行）。</w:t>
      </w:r>
    </w:p>
    <w:p w14:paraId="1279B0A0">
      <w:pPr>
        <w:pStyle w:val="4"/>
        <w:keepNext w:val="0"/>
        <w:keepLines w:val="0"/>
        <w:pageBreakBefore w:val="0"/>
        <w:widowControl w:val="0"/>
        <w:kinsoku/>
        <w:wordWrap/>
        <w:overflowPunct/>
        <w:autoSpaceDE/>
        <w:autoSpaceDN/>
        <w:bidi w:val="0"/>
        <w:spacing w:line="500" w:lineRule="exact"/>
        <w:textAlignment w:val="auto"/>
        <w:rPr>
          <w:rFonts w:hint="eastAsia"/>
        </w:rPr>
      </w:pPr>
      <w:bookmarkStart w:id="94" w:name="_Toc909"/>
      <w:r>
        <w:rPr>
          <w:rFonts w:hint="eastAsia"/>
          <w:lang w:val="en-US" w:eastAsia="zh-CN"/>
        </w:rPr>
        <w:t>行政法规</w:t>
      </w:r>
      <w:bookmarkEnd w:id="94"/>
    </w:p>
    <w:p w14:paraId="1CAE155C">
      <w:pPr>
        <w:keepNext w:val="0"/>
        <w:keepLines w:val="0"/>
        <w:pageBreakBefore w:val="0"/>
        <w:widowControl/>
        <w:numPr>
          <w:ilvl w:val="0"/>
          <w:numId w:val="4"/>
        </w:numPr>
        <w:kinsoku/>
        <w:wordWrap/>
        <w:overflowPunct/>
        <w:topLinePunct w:val="0"/>
        <w:autoSpaceDE/>
        <w:autoSpaceDN/>
        <w:bidi w:val="0"/>
        <w:adjustRightInd w:val="0"/>
        <w:snapToGrid w:val="0"/>
        <w:ind w:left="0"/>
        <w:textAlignment w:val="auto"/>
        <w:rPr>
          <w:rFonts w:hint="eastAsia"/>
        </w:rPr>
      </w:pPr>
      <w:bookmarkStart w:id="95" w:name="_Toc376246554"/>
      <w:bookmarkStart w:id="96" w:name="_Toc369097749"/>
      <w:bookmarkStart w:id="97" w:name="_Toc531271027"/>
      <w:bookmarkStart w:id="98" w:name="_Toc477116084"/>
      <w:r>
        <w:rPr>
          <w:rFonts w:hint="eastAsia"/>
        </w:rPr>
        <w:t>《生产安全事故应急条例》（中华人民共和国国务院令第708号，2019年4月1日实施）；</w:t>
      </w:r>
    </w:p>
    <w:p w14:paraId="189FF299">
      <w:pPr>
        <w:keepNext w:val="0"/>
        <w:keepLines w:val="0"/>
        <w:pageBreakBefore w:val="0"/>
        <w:widowControl/>
        <w:numPr>
          <w:ilvl w:val="0"/>
          <w:numId w:val="4"/>
        </w:numPr>
        <w:kinsoku/>
        <w:wordWrap/>
        <w:overflowPunct/>
        <w:topLinePunct w:val="0"/>
        <w:autoSpaceDE/>
        <w:autoSpaceDN/>
        <w:bidi w:val="0"/>
        <w:adjustRightInd w:val="0"/>
        <w:snapToGrid w:val="0"/>
        <w:ind w:left="0"/>
        <w:textAlignment w:val="auto"/>
        <w:rPr>
          <w:rFonts w:hint="eastAsia"/>
        </w:rPr>
      </w:pPr>
      <w:r>
        <w:rPr>
          <w:rFonts w:hint="eastAsia"/>
        </w:rPr>
        <w:t>《生产安全事故报告和调查处理条例》（中华人民共和国国务院令第493号，2007年6月1日起施行）；</w:t>
      </w:r>
    </w:p>
    <w:p w14:paraId="2CF08970">
      <w:pPr>
        <w:keepNext w:val="0"/>
        <w:keepLines w:val="0"/>
        <w:pageBreakBefore w:val="0"/>
        <w:widowControl/>
        <w:numPr>
          <w:ilvl w:val="0"/>
          <w:numId w:val="4"/>
        </w:numPr>
        <w:kinsoku/>
        <w:wordWrap/>
        <w:overflowPunct/>
        <w:topLinePunct w:val="0"/>
        <w:autoSpaceDE/>
        <w:autoSpaceDN/>
        <w:bidi w:val="0"/>
        <w:adjustRightInd w:val="0"/>
        <w:snapToGrid w:val="0"/>
        <w:ind w:left="0"/>
        <w:textAlignment w:val="auto"/>
        <w:rPr>
          <w:rFonts w:hint="eastAsia"/>
        </w:rPr>
      </w:pPr>
      <w:r>
        <w:rPr>
          <w:rFonts w:hint="eastAsia"/>
        </w:rPr>
        <w:t>《特种设备安全监察条例》（2003年3月11日中华人民共和国国务院令第373号公布，国务院令第549号修订，自2009年5月1日起施行）；</w:t>
      </w:r>
    </w:p>
    <w:p w14:paraId="4ACEC42D">
      <w:pPr>
        <w:keepNext w:val="0"/>
        <w:keepLines w:val="0"/>
        <w:pageBreakBefore w:val="0"/>
        <w:widowControl/>
        <w:numPr>
          <w:ilvl w:val="0"/>
          <w:numId w:val="4"/>
        </w:numPr>
        <w:kinsoku/>
        <w:wordWrap/>
        <w:overflowPunct/>
        <w:topLinePunct w:val="0"/>
        <w:autoSpaceDE/>
        <w:autoSpaceDN/>
        <w:bidi w:val="0"/>
        <w:adjustRightInd w:val="0"/>
        <w:snapToGrid w:val="0"/>
        <w:ind w:left="0"/>
        <w:textAlignment w:val="auto"/>
        <w:rPr>
          <w:rFonts w:hint="eastAsia"/>
        </w:rPr>
      </w:pPr>
      <w:r>
        <w:rPr>
          <w:rFonts w:hint="eastAsia"/>
        </w:rPr>
        <w:t>《工伤保险条例》（2003年4月27日中华人民共和国国务院令第375号公布，根据2010年12月20日《国务院关于修改〈工伤保险条例〉的决定》（中华人民共和国国务院令第586号）修订）；</w:t>
      </w:r>
    </w:p>
    <w:p w14:paraId="224D9CA9">
      <w:pPr>
        <w:keepNext w:val="0"/>
        <w:keepLines w:val="0"/>
        <w:pageBreakBefore w:val="0"/>
        <w:widowControl/>
        <w:numPr>
          <w:ilvl w:val="0"/>
          <w:numId w:val="4"/>
        </w:numPr>
        <w:kinsoku/>
        <w:wordWrap/>
        <w:overflowPunct/>
        <w:topLinePunct w:val="0"/>
        <w:autoSpaceDE/>
        <w:autoSpaceDN/>
        <w:bidi w:val="0"/>
        <w:adjustRightInd w:val="0"/>
        <w:snapToGrid w:val="0"/>
        <w:ind w:left="0"/>
        <w:textAlignment w:val="auto"/>
        <w:rPr>
          <w:rFonts w:hint="eastAsia"/>
        </w:rPr>
      </w:pPr>
      <w:r>
        <w:rPr>
          <w:rFonts w:hint="eastAsia"/>
        </w:rPr>
        <w:t>《危险化学品安全管理条例》（中华人民共和国国务院令第591号，根据中华人民共和国国务院令第645号修订，2013年12月7日施行）；</w:t>
      </w:r>
    </w:p>
    <w:p w14:paraId="699AF287">
      <w:pPr>
        <w:keepNext w:val="0"/>
        <w:keepLines w:val="0"/>
        <w:pageBreakBefore w:val="0"/>
        <w:widowControl/>
        <w:numPr>
          <w:ilvl w:val="0"/>
          <w:numId w:val="4"/>
        </w:numPr>
        <w:kinsoku/>
        <w:wordWrap/>
        <w:overflowPunct/>
        <w:topLinePunct w:val="0"/>
        <w:autoSpaceDE/>
        <w:autoSpaceDN/>
        <w:bidi w:val="0"/>
        <w:adjustRightInd w:val="0"/>
        <w:snapToGrid w:val="0"/>
        <w:ind w:left="0"/>
        <w:textAlignment w:val="auto"/>
        <w:rPr>
          <w:rFonts w:hint="eastAsia"/>
        </w:rPr>
      </w:pPr>
      <w:r>
        <w:rPr>
          <w:rFonts w:hint="eastAsia"/>
        </w:rPr>
        <w:t>《易制毒化学品管理条例》（中华人民共和国国务院令第445号公布，根据2018年9月18日《国务院关于修改部分行政法规的决定》第三次修订）；</w:t>
      </w:r>
    </w:p>
    <w:p w14:paraId="30A45F33">
      <w:pPr>
        <w:keepNext w:val="0"/>
        <w:keepLines w:val="0"/>
        <w:pageBreakBefore w:val="0"/>
        <w:widowControl/>
        <w:numPr>
          <w:ilvl w:val="0"/>
          <w:numId w:val="4"/>
        </w:numPr>
        <w:kinsoku/>
        <w:wordWrap/>
        <w:overflowPunct/>
        <w:topLinePunct w:val="0"/>
        <w:autoSpaceDE/>
        <w:autoSpaceDN/>
        <w:bidi w:val="0"/>
        <w:adjustRightInd w:val="0"/>
        <w:snapToGrid w:val="0"/>
        <w:ind w:left="0"/>
        <w:textAlignment w:val="auto"/>
        <w:rPr>
          <w:rFonts w:hint="eastAsia"/>
        </w:rPr>
      </w:pPr>
      <w:r>
        <w:rPr>
          <w:rFonts w:hint="eastAsia"/>
        </w:rPr>
        <w:t>《中华人民共和国监控化学品管理条例》（中华人民共和国国务院令第190号发布，根据2011年1月8日《国务院关于废止和修改部分行政法规的决定》修订）；</w:t>
      </w:r>
    </w:p>
    <w:p w14:paraId="7674E93F">
      <w:pPr>
        <w:keepNext w:val="0"/>
        <w:keepLines w:val="0"/>
        <w:pageBreakBefore w:val="0"/>
        <w:widowControl/>
        <w:numPr>
          <w:ilvl w:val="0"/>
          <w:numId w:val="4"/>
        </w:numPr>
        <w:kinsoku/>
        <w:wordWrap/>
        <w:overflowPunct/>
        <w:topLinePunct w:val="0"/>
        <w:autoSpaceDE/>
        <w:autoSpaceDN/>
        <w:bidi w:val="0"/>
        <w:adjustRightInd w:val="0"/>
        <w:snapToGrid w:val="0"/>
        <w:ind w:left="0"/>
        <w:textAlignment w:val="auto"/>
        <w:rPr>
          <w:rFonts w:hint="eastAsia"/>
        </w:rPr>
      </w:pPr>
      <w:r>
        <w:rPr>
          <w:rFonts w:hint="eastAsia"/>
        </w:rPr>
        <w:t>《中华人民共和国劳动合同法实施条例》（2008年9月3日国务院第25次常务会议通过，2008年9月18日中华人民共和国国务院令第535号公布自公布之日起施行）</w:t>
      </w:r>
      <w:bookmarkEnd w:id="95"/>
      <w:bookmarkEnd w:id="96"/>
      <w:bookmarkEnd w:id="97"/>
      <w:bookmarkEnd w:id="98"/>
      <w:r>
        <w:rPr>
          <w:rFonts w:hint="eastAsia"/>
          <w:lang w:eastAsia="zh-CN"/>
        </w:rPr>
        <w:t>；</w:t>
      </w:r>
    </w:p>
    <w:p w14:paraId="7FB1D6A6">
      <w:pPr>
        <w:keepNext w:val="0"/>
        <w:keepLines w:val="0"/>
        <w:pageBreakBefore w:val="0"/>
        <w:widowControl/>
        <w:numPr>
          <w:ilvl w:val="0"/>
          <w:numId w:val="4"/>
        </w:numPr>
        <w:kinsoku/>
        <w:wordWrap/>
        <w:overflowPunct/>
        <w:topLinePunct w:val="0"/>
        <w:autoSpaceDE/>
        <w:autoSpaceDN/>
        <w:bidi w:val="0"/>
        <w:adjustRightInd w:val="0"/>
        <w:snapToGrid w:val="0"/>
        <w:ind w:left="0"/>
        <w:textAlignment w:val="auto"/>
        <w:rPr>
          <w:rFonts w:hint="eastAsia" w:ascii="宋体" w:hAnsi="宋体" w:eastAsia="宋体" w:cs="宋体"/>
          <w:szCs w:val="28"/>
        </w:rPr>
      </w:pPr>
      <w:r>
        <w:rPr>
          <w:rFonts w:hint="eastAsia"/>
        </w:rPr>
        <w:t>《气象灾害防御条例》（2010年1月27日中华人民共和国国务院令第570号公布 根据2017年10月07日《国务院关于修改部分行政法规的决定》修订）。</w:t>
      </w:r>
    </w:p>
    <w:p w14:paraId="73B8EF7C">
      <w:pPr>
        <w:pStyle w:val="4"/>
        <w:keepNext w:val="0"/>
        <w:keepLines w:val="0"/>
        <w:pageBreakBefore w:val="0"/>
        <w:widowControl w:val="0"/>
        <w:kinsoku/>
        <w:wordWrap/>
        <w:overflowPunct/>
        <w:autoSpaceDE/>
        <w:autoSpaceDN/>
        <w:bidi w:val="0"/>
        <w:spacing w:line="500" w:lineRule="exact"/>
        <w:textAlignment w:val="auto"/>
        <w:rPr>
          <w:lang w:val="en-US" w:eastAsia="zh-CN"/>
        </w:rPr>
      </w:pPr>
      <w:bookmarkStart w:id="99" w:name="_Toc26529"/>
      <w:bookmarkStart w:id="100" w:name="_Toc6989"/>
      <w:bookmarkStart w:id="101" w:name="_Toc23665"/>
      <w:r>
        <w:rPr>
          <w:rFonts w:hint="eastAsia"/>
          <w:lang w:val="en-US" w:eastAsia="zh-CN"/>
        </w:rPr>
        <w:t>部门规章及规范性文件</w:t>
      </w:r>
      <w:bookmarkEnd w:id="99"/>
      <w:bookmarkEnd w:id="100"/>
      <w:bookmarkEnd w:id="101"/>
    </w:p>
    <w:p w14:paraId="68909E83">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《质检总局关于修订</w:t>
      </w:r>
      <w:r>
        <w:rPr>
          <w:rFonts w:hint="eastAsia" w:cs="宋体"/>
          <w:szCs w:val="28"/>
          <w:lang w:eastAsia="zh-CN"/>
        </w:rPr>
        <w:t>〈</w:t>
      </w:r>
      <w:r>
        <w:rPr>
          <w:rFonts w:hint="eastAsia" w:ascii="宋体" w:hAnsi="宋体" w:eastAsia="宋体" w:cs="宋体"/>
          <w:szCs w:val="28"/>
        </w:rPr>
        <w:t>特种设备目录</w:t>
      </w:r>
      <w:r>
        <w:rPr>
          <w:rFonts w:hint="eastAsia" w:cs="宋体"/>
          <w:szCs w:val="28"/>
          <w:lang w:eastAsia="zh-CN"/>
        </w:rPr>
        <w:t>〉</w:t>
      </w:r>
      <w:r>
        <w:rPr>
          <w:rFonts w:hint="eastAsia" w:ascii="宋体" w:hAnsi="宋体" w:eastAsia="宋体" w:cs="宋体"/>
          <w:szCs w:val="28"/>
        </w:rPr>
        <w:t>的公告》（2014年第114号）；</w:t>
      </w:r>
    </w:p>
    <w:p w14:paraId="1D7D5FFB">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《安全生产事故隐患排查治理暂行规定》（国家安全生产监督管理总局令第16号）</w:t>
      </w:r>
      <w:r>
        <w:rPr>
          <w:rFonts w:hint="eastAsia" w:cs="宋体"/>
          <w:szCs w:val="28"/>
          <w:lang w:eastAsia="zh-CN"/>
        </w:rPr>
        <w:t>；</w:t>
      </w:r>
    </w:p>
    <w:p w14:paraId="79B5645B">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《国家安全监管总局办公厅关于修改用人单位劳动防护用品管理规范的通知》（安监总厅安健〔2018〕3号）；</w:t>
      </w:r>
    </w:p>
    <w:p w14:paraId="13A5049D">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《特种作业人员安全技术培训考核管理规定》（国家安全生产监督管理总局30号令，80号令修订）；</w:t>
      </w:r>
    </w:p>
    <w:p w14:paraId="416054BA">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《建设项目安全设施“三同时”监督管理办法》（国家安全生产监督管理总局令第36号，77号令修订）；</w:t>
      </w:r>
    </w:p>
    <w:p w14:paraId="6EA01F5F">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《安全生产培训管理办法》（安监总局令第44号，80号令修订）；</w:t>
      </w:r>
    </w:p>
    <w:p w14:paraId="39630944">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《生产安全事故应急预案管理办法》（国家安全生产监督管理总局令第88号，应急管理部2号令修正）；</w:t>
      </w:r>
    </w:p>
    <w:p w14:paraId="68AFE5C4">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outlineLvl w:val="9"/>
        <w:rPr>
          <w:rFonts w:hint="eastAsia" w:ascii="宋体" w:hAnsi="宋体" w:eastAsia="宋体" w:cs="宋体"/>
          <w:szCs w:val="28"/>
        </w:rPr>
      </w:pPr>
      <w:r>
        <w:rPr>
          <w:rFonts w:hint="eastAsia" w:ascii="宋体" w:hAnsi="宋体" w:eastAsia="宋体" w:cs="宋体"/>
          <w:szCs w:val="28"/>
        </w:rPr>
        <w:t>《危险化学品目录（</w:t>
      </w:r>
      <w:r>
        <w:rPr>
          <w:rFonts w:hint="eastAsia" w:ascii="宋体" w:hAnsi="宋体" w:eastAsia="宋体" w:cs="宋体"/>
          <w:szCs w:val="28"/>
          <w:lang w:val="en-US" w:eastAsia="zh-CN"/>
        </w:rPr>
        <w:t>2022调整</w:t>
      </w:r>
      <w:r>
        <w:rPr>
          <w:rFonts w:hint="eastAsia" w:ascii="宋体" w:hAnsi="宋体" w:eastAsia="宋体" w:cs="宋体"/>
          <w:szCs w:val="28"/>
        </w:rPr>
        <w:t>版）》</w:t>
      </w:r>
      <w:r>
        <w:rPr>
          <w:rFonts w:hint="eastAsia"/>
        </w:rPr>
        <w:t>（中华人民共和国应急管理部等十部委2022年第8号公告，自2023年1月1日起施行）</w:t>
      </w:r>
      <w:r>
        <w:rPr>
          <w:rFonts w:hint="eastAsia" w:ascii="宋体" w:hAnsi="宋体" w:eastAsia="宋体" w:cs="宋体"/>
          <w:szCs w:val="28"/>
        </w:rPr>
        <w:t>；</w:t>
      </w:r>
    </w:p>
    <w:p w14:paraId="0FE34E22">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《建设工程消防设计审查验收管理暂行规定》（中华人民共和国住房和城乡建设部令第51号，2020年6月1日起施行）；</w:t>
      </w:r>
    </w:p>
    <w:p w14:paraId="010842CA">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《消防监督检查规定》（中华人民共和国公安部令第120号）；</w:t>
      </w:r>
    </w:p>
    <w:p w14:paraId="7C1DD576">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《机关、团体、企业、事业单位消防安全管理规定》（公安部令第61号）；</w:t>
      </w:r>
    </w:p>
    <w:p w14:paraId="5F88DF82">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《中国气象局关于修改</w:t>
      </w:r>
      <w:r>
        <w:rPr>
          <w:rFonts w:hint="eastAsia" w:cs="宋体"/>
          <w:szCs w:val="28"/>
          <w:lang w:eastAsia="zh-CN"/>
        </w:rPr>
        <w:t>〈</w:t>
      </w:r>
      <w:r>
        <w:rPr>
          <w:rFonts w:hint="eastAsia" w:ascii="宋体" w:hAnsi="宋体" w:eastAsia="宋体" w:cs="宋体"/>
          <w:szCs w:val="28"/>
        </w:rPr>
        <w:t>防雷减灾管理办法</w:t>
      </w:r>
      <w:r>
        <w:rPr>
          <w:rFonts w:hint="eastAsia" w:cs="宋体"/>
          <w:szCs w:val="28"/>
          <w:lang w:eastAsia="zh-CN"/>
        </w:rPr>
        <w:t>〉</w:t>
      </w:r>
      <w:r>
        <w:rPr>
          <w:rFonts w:hint="eastAsia" w:ascii="宋体" w:hAnsi="宋体" w:eastAsia="宋体" w:cs="宋体"/>
          <w:szCs w:val="28"/>
        </w:rPr>
        <w:t>的决定》（中国气象局第24号）；</w:t>
      </w:r>
    </w:p>
    <w:p w14:paraId="493060E8">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rPr>
        <w:t>《产业结构调整指导目录（2024年本）》（中华人民共和国国家发展和改革委员会令第7号，自2024年2月1日起施行）；</w:t>
      </w:r>
    </w:p>
    <w:p w14:paraId="220EA66D">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《关于印发</w:t>
      </w:r>
      <w:r>
        <w:rPr>
          <w:rFonts w:hint="eastAsia" w:cs="宋体"/>
          <w:szCs w:val="28"/>
          <w:lang w:eastAsia="zh-CN"/>
        </w:rPr>
        <w:t>〈</w:t>
      </w:r>
      <w:r>
        <w:rPr>
          <w:rFonts w:hint="eastAsia" w:ascii="宋体" w:hAnsi="宋体" w:eastAsia="宋体" w:cs="宋体"/>
          <w:szCs w:val="28"/>
        </w:rPr>
        <w:t>企业安全生产费用提取和使用管理办法</w:t>
      </w:r>
      <w:r>
        <w:rPr>
          <w:rFonts w:hint="eastAsia" w:cs="宋体"/>
          <w:szCs w:val="28"/>
          <w:lang w:eastAsia="zh-CN"/>
        </w:rPr>
        <w:t>〉</w:t>
      </w:r>
      <w:r>
        <w:rPr>
          <w:rFonts w:hint="eastAsia" w:ascii="宋体" w:hAnsi="宋体" w:eastAsia="宋体" w:cs="宋体"/>
          <w:szCs w:val="28"/>
        </w:rPr>
        <w:t>的通知》（财</w:t>
      </w:r>
      <w:r>
        <w:rPr>
          <w:rFonts w:hint="eastAsia" w:ascii="宋体" w:hAnsi="宋体" w:eastAsia="宋体" w:cs="宋体"/>
          <w:szCs w:val="28"/>
          <w:lang w:val="en-US" w:eastAsia="zh-CN"/>
        </w:rPr>
        <w:t>资</w:t>
      </w:r>
      <w:r>
        <w:rPr>
          <w:rFonts w:hint="eastAsia" w:ascii="宋体" w:hAnsi="宋体" w:eastAsia="宋体" w:cs="宋体"/>
          <w:szCs w:val="28"/>
        </w:rPr>
        <w:t>〔20</w:t>
      </w:r>
      <w:r>
        <w:rPr>
          <w:rFonts w:hint="eastAsia" w:ascii="宋体" w:hAnsi="宋体" w:eastAsia="宋体" w:cs="宋体"/>
          <w:szCs w:val="28"/>
          <w:lang w:val="en-US" w:eastAsia="zh-CN"/>
        </w:rPr>
        <w:t>2</w:t>
      </w:r>
      <w:r>
        <w:rPr>
          <w:rFonts w:hint="eastAsia" w:ascii="宋体" w:hAnsi="宋体" w:eastAsia="宋体" w:cs="宋体"/>
          <w:szCs w:val="28"/>
        </w:rPr>
        <w:t>2〕</w:t>
      </w:r>
      <w:r>
        <w:rPr>
          <w:rFonts w:hint="eastAsia" w:ascii="宋体" w:hAnsi="宋体" w:eastAsia="宋体" w:cs="宋体"/>
          <w:szCs w:val="28"/>
          <w:lang w:val="en-US" w:eastAsia="zh-CN"/>
        </w:rPr>
        <w:t>136</w:t>
      </w:r>
      <w:r>
        <w:rPr>
          <w:rFonts w:hint="eastAsia" w:ascii="宋体" w:hAnsi="宋体" w:eastAsia="宋体" w:cs="宋体"/>
          <w:szCs w:val="28"/>
        </w:rPr>
        <w:t>号）；</w:t>
      </w:r>
    </w:p>
    <w:p w14:paraId="605A143A">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rPr>
        <w:t>《建设工程消防设计审查验收管理暂行规定》（中华人民共和国住房和城乡建设部令第51号，2020年6月1日实施）；</w:t>
      </w:r>
    </w:p>
    <w:p w14:paraId="41E2037C">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《国务院办公厅关于进一步做好防雷减灾工作的通知》（国办发明电〔2006〕28号）；</w:t>
      </w:r>
    </w:p>
    <w:p w14:paraId="6C45EFBF">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《国家安全监管总局关于公布首批重点监管的危险化学品名录的通知》（安监总管三〔2011〕95号）；</w:t>
      </w:r>
    </w:p>
    <w:p w14:paraId="4145E9E4">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《国家安全监管总局关于公布第二批重点监管危险化学品名录的通知》（安监总管三〔2013〕12号）；</w:t>
      </w:r>
    </w:p>
    <w:p w14:paraId="205DB0BB">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outlineLvl w:val="9"/>
        <w:rPr>
          <w:rFonts w:hint="eastAsia" w:ascii="宋体" w:hAnsi="宋体" w:eastAsia="宋体" w:cs="宋体"/>
          <w:szCs w:val="28"/>
        </w:rPr>
      </w:pPr>
      <w:r>
        <w:rPr>
          <w:rFonts w:hint="eastAsia" w:ascii="宋体" w:hAnsi="宋体" w:eastAsia="宋体" w:cs="宋体"/>
          <w:szCs w:val="28"/>
        </w:rPr>
        <w:t>《淘汰落后安全技术装备目录（2016年第一批）》；</w:t>
      </w:r>
    </w:p>
    <w:p w14:paraId="6AA4899B">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《国家安全监管总局关于公布第二批重点监管的危险化学品名录的通知》（安监总管三〔2013〕12号）；</w:t>
      </w:r>
    </w:p>
    <w:p w14:paraId="4208AB77">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cs="宋体"/>
          <w:szCs w:val="28"/>
          <w:lang w:eastAsia="zh-CN"/>
        </w:rPr>
        <w:t>《</w:t>
      </w:r>
      <w:r>
        <w:rPr>
          <w:rFonts w:hint="eastAsia" w:ascii="宋体" w:hAnsi="宋体" w:eastAsia="宋体" w:cs="宋体"/>
          <w:szCs w:val="28"/>
        </w:rPr>
        <w:t>特种设备作业人员监督管理办法</w:t>
      </w:r>
      <w:r>
        <w:rPr>
          <w:rFonts w:hint="eastAsia" w:cs="宋体"/>
          <w:szCs w:val="28"/>
          <w:lang w:eastAsia="zh-CN"/>
        </w:rPr>
        <w:t>》</w:t>
      </w:r>
      <w:r>
        <w:rPr>
          <w:rFonts w:hint="eastAsia" w:ascii="宋体" w:hAnsi="宋体" w:eastAsia="宋体" w:cs="宋体"/>
          <w:szCs w:val="28"/>
        </w:rPr>
        <w:t>（国家质量监督检验检疫总局令第 140号）</w:t>
      </w:r>
      <w:r>
        <w:rPr>
          <w:rFonts w:hint="eastAsia" w:cs="宋体"/>
          <w:szCs w:val="28"/>
          <w:lang w:eastAsia="zh-CN"/>
        </w:rPr>
        <w:t>；</w:t>
      </w:r>
    </w:p>
    <w:p w14:paraId="76D0454F">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《特别管</w:t>
      </w:r>
      <w:r>
        <w:rPr>
          <w:rFonts w:hint="eastAsia" w:cs="宋体"/>
          <w:szCs w:val="28"/>
          <w:lang w:eastAsia="zh-CN"/>
        </w:rPr>
        <w:t>控危险化学品目录（第一版）》（应急管理部、工业和信息化部、公安部、交通运输部公告，2020年第1号）；</w:t>
      </w:r>
    </w:p>
    <w:p w14:paraId="2E178ED2">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w:t>
      </w:r>
      <w:r>
        <w:rPr>
          <w:rFonts w:hint="eastAsia" w:ascii="宋体" w:hAnsi="宋体" w:eastAsia="宋体" w:cs="宋体"/>
          <w:bCs/>
          <w:kern w:val="0"/>
          <w:szCs w:val="28"/>
        </w:rPr>
        <w:t>工贸企业重大事故隐患判定标准</w:t>
      </w:r>
      <w:r>
        <w:rPr>
          <w:rFonts w:hint="eastAsia" w:ascii="宋体" w:hAnsi="宋体" w:eastAsia="宋体" w:cs="宋体"/>
          <w:szCs w:val="28"/>
        </w:rPr>
        <w:t>》（中华人民共和国应急管理部令</w:t>
      </w:r>
      <w:r>
        <w:rPr>
          <w:rFonts w:hint="eastAsia" w:ascii="宋体" w:hAnsi="宋体" w:eastAsia="宋体" w:cs="宋体"/>
          <w:szCs w:val="28"/>
          <w:lang w:val="en-US" w:eastAsia="zh-CN"/>
        </w:rPr>
        <w:t>第</w:t>
      </w:r>
      <w:r>
        <w:rPr>
          <w:rFonts w:hint="eastAsia" w:ascii="宋体" w:hAnsi="宋体" w:eastAsia="宋体" w:cs="宋体"/>
          <w:szCs w:val="28"/>
        </w:rPr>
        <w:t>10号）；</w:t>
      </w:r>
    </w:p>
    <w:p w14:paraId="261FD9B3">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应急管理部办公厅关于印发《工贸企业有限空间重点监管目录》的通知（应急厅〔2023〕37号）；</w:t>
      </w:r>
    </w:p>
    <w:p w14:paraId="61E773D6">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《工贸企业有限空间作业安全规定》（中华人民共和国应急管理部令第13号）</w:t>
      </w:r>
      <w:r>
        <w:rPr>
          <w:rFonts w:hint="eastAsia" w:cs="宋体"/>
          <w:szCs w:val="28"/>
          <w:lang w:eastAsia="zh-CN"/>
        </w:rPr>
        <w:t>；</w:t>
      </w:r>
    </w:p>
    <w:p w14:paraId="345AAFCC">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cs="宋体"/>
          <w:szCs w:val="28"/>
          <w:lang w:eastAsia="zh-CN"/>
        </w:rPr>
        <w:t>《生产安全事故罚款处罚规定》</w:t>
      </w:r>
      <w:r>
        <w:rPr>
          <w:rFonts w:hint="eastAsia" w:ascii="宋体" w:hAnsi="宋体" w:eastAsia="宋体" w:cs="宋体"/>
          <w:szCs w:val="28"/>
        </w:rPr>
        <w:t>（中华人民共和国应急管理部令第1</w:t>
      </w:r>
      <w:r>
        <w:rPr>
          <w:rFonts w:hint="eastAsia" w:cs="宋体"/>
          <w:szCs w:val="28"/>
          <w:lang w:val="en-US" w:eastAsia="zh-CN"/>
        </w:rPr>
        <w:t>4</w:t>
      </w:r>
      <w:r>
        <w:rPr>
          <w:rFonts w:hint="eastAsia" w:ascii="宋体" w:hAnsi="宋体" w:eastAsia="宋体" w:cs="宋体"/>
          <w:szCs w:val="28"/>
        </w:rPr>
        <w:t>号）</w:t>
      </w:r>
      <w:r>
        <w:rPr>
          <w:rFonts w:hint="eastAsia" w:cs="宋体"/>
          <w:szCs w:val="28"/>
          <w:lang w:eastAsia="zh-CN"/>
        </w:rPr>
        <w:t>。</w:t>
      </w:r>
    </w:p>
    <w:p w14:paraId="08CD5434">
      <w:pPr>
        <w:pStyle w:val="4"/>
        <w:keepNext w:val="0"/>
        <w:keepLines w:val="0"/>
        <w:pageBreakBefore w:val="0"/>
        <w:widowControl w:val="0"/>
        <w:kinsoku/>
        <w:wordWrap/>
        <w:overflowPunct/>
        <w:autoSpaceDE/>
        <w:autoSpaceDN/>
        <w:bidi w:val="0"/>
        <w:spacing w:line="500" w:lineRule="exact"/>
        <w:textAlignment w:val="auto"/>
        <w:rPr>
          <w:rFonts w:hint="eastAsia"/>
          <w:lang w:val="en-US"/>
        </w:rPr>
      </w:pPr>
      <w:bookmarkStart w:id="102" w:name="_Toc1291"/>
      <w:r>
        <w:rPr>
          <w:rFonts w:hint="eastAsia"/>
          <w:lang w:val="en-US" w:eastAsia="zh-CN"/>
        </w:rPr>
        <w:t>云南省地方性法规及规范性文件</w:t>
      </w:r>
      <w:bookmarkEnd w:id="102"/>
    </w:p>
    <w:p w14:paraId="3CA52612">
      <w:pPr>
        <w:keepNext w:val="0"/>
        <w:keepLines w:val="0"/>
        <w:pageBreakBefore w:val="0"/>
        <w:widowControl w:val="0"/>
        <w:numPr>
          <w:ilvl w:val="0"/>
          <w:numId w:val="6"/>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default" w:ascii="宋体" w:hAnsi="宋体" w:eastAsia="宋体" w:cs="宋体"/>
          <w:szCs w:val="28"/>
          <w:lang w:val="en-US" w:eastAsia="zh-CN"/>
        </w:rPr>
      </w:pPr>
      <w:r>
        <w:rPr>
          <w:rFonts w:hint="eastAsia" w:ascii="宋体" w:hAnsi="宋体" w:eastAsia="宋体" w:cs="宋体"/>
          <w:szCs w:val="28"/>
        </w:rPr>
        <w:t>《云南省安全生产条例》（云南省第十二届人民代表大会常务委员会公告第63号，自2018年1月1日起施行）；</w:t>
      </w:r>
    </w:p>
    <w:p w14:paraId="56C6BCB7">
      <w:pPr>
        <w:keepNext w:val="0"/>
        <w:keepLines w:val="0"/>
        <w:pageBreakBefore w:val="0"/>
        <w:widowControl w:val="0"/>
        <w:numPr>
          <w:ilvl w:val="0"/>
          <w:numId w:val="6"/>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《云南省消防条例》（2010年9月30日云南省第十一届人民代表大会常务委员会第十九次会议修订通过，自2011年1月1日起施行）；</w:t>
      </w:r>
    </w:p>
    <w:p w14:paraId="069B016D">
      <w:pPr>
        <w:keepNext w:val="0"/>
        <w:keepLines w:val="0"/>
        <w:pageBreakBefore w:val="0"/>
        <w:widowControl w:val="0"/>
        <w:numPr>
          <w:ilvl w:val="0"/>
          <w:numId w:val="6"/>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《云南省安全生产监督管理局关于进一步加强工贸行业有限空间作业安全生产工作的通知（云安监管函〔2016〕85号）》</w:t>
      </w:r>
      <w:r>
        <w:rPr>
          <w:rFonts w:hint="eastAsia" w:ascii="宋体" w:hAnsi="宋体" w:eastAsia="宋体" w:cs="宋体"/>
          <w:szCs w:val="28"/>
          <w:lang w:eastAsia="zh-CN"/>
        </w:rPr>
        <w:t>；</w:t>
      </w:r>
    </w:p>
    <w:p w14:paraId="0D33C126">
      <w:pPr>
        <w:keepNext w:val="0"/>
        <w:keepLines w:val="0"/>
        <w:pageBreakBefore w:val="0"/>
        <w:widowControl w:val="0"/>
        <w:numPr>
          <w:ilvl w:val="0"/>
          <w:numId w:val="6"/>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《云南省应急管理厅关于在重点工贸企业开展安全生产动态巡查和预警工作的通知》（云应急〔2020〕10号）；</w:t>
      </w:r>
    </w:p>
    <w:p w14:paraId="6F27018B">
      <w:pPr>
        <w:keepNext w:val="0"/>
        <w:keepLines w:val="0"/>
        <w:pageBreakBefore w:val="0"/>
        <w:widowControl w:val="0"/>
        <w:numPr>
          <w:ilvl w:val="0"/>
          <w:numId w:val="6"/>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lang w:eastAsia="zh-CN"/>
        </w:rPr>
        <w:t>《</w:t>
      </w:r>
      <w:r>
        <w:rPr>
          <w:rFonts w:hint="eastAsia" w:ascii="宋体" w:hAnsi="宋体" w:eastAsia="宋体" w:cs="宋体"/>
          <w:szCs w:val="28"/>
        </w:rPr>
        <w:t>云南省安全生产委员会关于建立完善安全风险分级管控和隐患排查治理双重预防机制的指导意见》（云安〔2021〕3号）；</w:t>
      </w:r>
    </w:p>
    <w:p w14:paraId="4ECCC1B6">
      <w:pPr>
        <w:keepNext w:val="0"/>
        <w:keepLines w:val="0"/>
        <w:pageBreakBefore w:val="0"/>
        <w:widowControl w:val="0"/>
        <w:numPr>
          <w:ilvl w:val="0"/>
          <w:numId w:val="6"/>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lang w:eastAsia="zh-CN"/>
        </w:rPr>
        <w:t>《</w:t>
      </w:r>
      <w:r>
        <w:rPr>
          <w:rFonts w:hint="eastAsia" w:ascii="宋体" w:hAnsi="宋体" w:eastAsia="宋体" w:cs="宋体"/>
          <w:szCs w:val="28"/>
        </w:rPr>
        <w:t>云南省人民政府关于印发云南省生产经营单位安全生产主体责任规定的通知</w:t>
      </w:r>
      <w:r>
        <w:rPr>
          <w:rFonts w:hint="eastAsia" w:ascii="宋体" w:hAnsi="宋体" w:eastAsia="宋体" w:cs="宋体"/>
          <w:szCs w:val="28"/>
          <w:lang w:eastAsia="zh-CN"/>
        </w:rPr>
        <w:t>》（</w:t>
      </w:r>
      <w:r>
        <w:rPr>
          <w:rFonts w:hint="eastAsia" w:ascii="宋体" w:hAnsi="宋体" w:eastAsia="宋体" w:cs="宋体"/>
          <w:szCs w:val="28"/>
          <w:lang w:val="en-US" w:eastAsia="zh-CN"/>
        </w:rPr>
        <w:t>云政规〔2022〕4号）；</w:t>
      </w:r>
    </w:p>
    <w:p w14:paraId="56A60CA5">
      <w:pPr>
        <w:keepNext w:val="0"/>
        <w:keepLines w:val="0"/>
        <w:pageBreakBefore w:val="0"/>
        <w:widowControl w:val="0"/>
        <w:numPr>
          <w:ilvl w:val="0"/>
          <w:numId w:val="6"/>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《云南省应急管理厅关于印发</w:t>
      </w:r>
      <w:r>
        <w:rPr>
          <w:rFonts w:hint="eastAsia" w:cs="宋体"/>
          <w:szCs w:val="28"/>
          <w:lang w:eastAsia="zh-CN"/>
        </w:rPr>
        <w:t>〈</w:t>
      </w:r>
      <w:r>
        <w:rPr>
          <w:rFonts w:hint="eastAsia" w:ascii="宋体" w:hAnsi="宋体" w:eastAsia="宋体" w:cs="宋体"/>
          <w:szCs w:val="28"/>
        </w:rPr>
        <w:t>云南省工贸行业企业安全风险源点定性定量判别参考标准指南（2022年版</w:t>
      </w:r>
      <w:r>
        <w:rPr>
          <w:rFonts w:hint="eastAsia" w:ascii="宋体" w:hAnsi="宋体" w:eastAsia="宋体" w:cs="宋体"/>
          <w:szCs w:val="28"/>
          <w:lang w:eastAsia="zh-CN"/>
        </w:rPr>
        <w:t>）</w:t>
      </w:r>
      <w:r>
        <w:rPr>
          <w:rFonts w:hint="eastAsia" w:cs="宋体"/>
          <w:szCs w:val="28"/>
          <w:lang w:eastAsia="zh-CN"/>
        </w:rPr>
        <w:t>〉</w:t>
      </w:r>
      <w:r>
        <w:rPr>
          <w:rFonts w:hint="eastAsia" w:ascii="宋体" w:hAnsi="宋体" w:eastAsia="宋体" w:cs="宋体"/>
          <w:szCs w:val="28"/>
        </w:rPr>
        <w:t>的通知》（云应急〔2022〕8号）</w:t>
      </w:r>
      <w:r>
        <w:rPr>
          <w:rFonts w:hint="eastAsia" w:ascii="宋体" w:hAnsi="宋体" w:eastAsia="宋体" w:cs="宋体"/>
          <w:szCs w:val="28"/>
          <w:lang w:eastAsia="zh-CN"/>
        </w:rPr>
        <w:t>；</w:t>
      </w:r>
    </w:p>
    <w:p w14:paraId="42FBD11F">
      <w:pPr>
        <w:keepNext w:val="0"/>
        <w:keepLines w:val="0"/>
        <w:pageBreakBefore w:val="0"/>
        <w:widowControl w:val="0"/>
        <w:numPr>
          <w:ilvl w:val="0"/>
          <w:numId w:val="6"/>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rPr>
      </w:pPr>
      <w:r>
        <w:rPr>
          <w:rFonts w:hint="eastAsia" w:ascii="宋体" w:hAnsi="宋体" w:eastAsia="宋体" w:cs="宋体"/>
          <w:szCs w:val="28"/>
        </w:rPr>
        <w:t>《云南省应急管理厅关于印发</w:t>
      </w:r>
      <w:r>
        <w:rPr>
          <w:rFonts w:hint="eastAsia" w:cs="宋体"/>
          <w:szCs w:val="28"/>
          <w:lang w:eastAsia="zh-CN"/>
        </w:rPr>
        <w:t>〈</w:t>
      </w:r>
      <w:r>
        <w:rPr>
          <w:rFonts w:hint="eastAsia" w:ascii="宋体" w:hAnsi="宋体" w:eastAsia="宋体" w:cs="宋体"/>
          <w:szCs w:val="28"/>
        </w:rPr>
        <w:t>云南省工贸企业安全生产主体责任重点事项清单（暂行</w:t>
      </w:r>
      <w:r>
        <w:rPr>
          <w:rFonts w:hint="eastAsia" w:ascii="宋体" w:hAnsi="宋体" w:eastAsia="宋体" w:cs="宋体"/>
          <w:szCs w:val="28"/>
          <w:lang w:eastAsia="zh-CN"/>
        </w:rPr>
        <w:t>）</w:t>
      </w:r>
      <w:r>
        <w:rPr>
          <w:rFonts w:hint="eastAsia" w:cs="宋体"/>
          <w:szCs w:val="28"/>
          <w:lang w:eastAsia="zh-CN"/>
        </w:rPr>
        <w:t>〉</w:t>
      </w:r>
      <w:r>
        <w:rPr>
          <w:rFonts w:hint="eastAsia" w:ascii="宋体" w:hAnsi="宋体" w:eastAsia="宋体" w:cs="宋体"/>
          <w:szCs w:val="28"/>
        </w:rPr>
        <w:t>的通知》（云应急〔2022〕9号）；</w:t>
      </w:r>
    </w:p>
    <w:p w14:paraId="3A443D74">
      <w:pPr>
        <w:keepNext w:val="0"/>
        <w:keepLines w:val="0"/>
        <w:pageBreakBefore w:val="0"/>
        <w:widowControl w:val="0"/>
        <w:numPr>
          <w:ilvl w:val="0"/>
          <w:numId w:val="6"/>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ascii="Times New Roman" w:hAnsi="Times New Roman" w:eastAsia="宋体" w:cs="Times New Roman"/>
          <w:szCs w:val="28"/>
        </w:rPr>
      </w:pPr>
      <w:r>
        <w:rPr>
          <w:rFonts w:hint="eastAsia" w:ascii="宋体" w:hAnsi="宋体" w:eastAsia="宋体" w:cs="宋体"/>
          <w:szCs w:val="28"/>
          <w:lang w:val="en-US" w:eastAsia="zh-CN"/>
        </w:rPr>
        <w:t>《云南省生产安全事故应急办法》（</w:t>
      </w:r>
      <w:r>
        <w:rPr>
          <w:rFonts w:hint="eastAsia" w:cs="宋体"/>
          <w:szCs w:val="28"/>
          <w:lang w:val="en-US" w:eastAsia="zh-CN"/>
        </w:rPr>
        <w:t>云南</w:t>
      </w:r>
      <w:r>
        <w:rPr>
          <w:rFonts w:hint="eastAsia" w:ascii="宋体" w:hAnsi="宋体" w:eastAsia="宋体" w:cs="宋体"/>
          <w:szCs w:val="28"/>
          <w:lang w:val="en-US" w:eastAsia="zh-CN"/>
        </w:rPr>
        <w:t>省政府令第227号，自2024年2月1日起实施）</w:t>
      </w:r>
      <w:r>
        <w:rPr>
          <w:rFonts w:hint="eastAsia" w:ascii="宋体" w:hAnsi="宋体" w:eastAsia="宋体" w:cs="宋体"/>
          <w:szCs w:val="28"/>
          <w:lang w:eastAsia="zh-CN"/>
        </w:rPr>
        <w:t>。</w:t>
      </w:r>
    </w:p>
    <w:p w14:paraId="163581A9">
      <w:pPr>
        <w:pStyle w:val="4"/>
        <w:keepNext w:val="0"/>
        <w:keepLines w:val="0"/>
        <w:pageBreakBefore w:val="0"/>
        <w:widowControl w:val="0"/>
        <w:kinsoku/>
        <w:wordWrap/>
        <w:overflowPunct/>
        <w:autoSpaceDE/>
        <w:autoSpaceDN/>
        <w:bidi w:val="0"/>
        <w:spacing w:line="500" w:lineRule="exact"/>
        <w:textAlignment w:val="auto"/>
        <w:rPr>
          <w:lang w:val="en-US" w:eastAsia="zh-CN"/>
        </w:rPr>
      </w:pPr>
      <w:bookmarkStart w:id="103" w:name="_Toc23746"/>
      <w:bookmarkStart w:id="104" w:name="_Toc55945219"/>
      <w:bookmarkStart w:id="105" w:name="_Toc15732"/>
      <w:bookmarkStart w:id="106" w:name="_Toc60925325"/>
      <w:bookmarkStart w:id="107" w:name="_Toc55033272"/>
      <w:bookmarkStart w:id="108" w:name="_Toc55567337"/>
      <w:bookmarkStart w:id="109" w:name="_Toc6425"/>
      <w:r>
        <w:rPr>
          <w:rFonts w:hint="eastAsia"/>
          <w:lang w:val="en-US" w:eastAsia="zh-CN"/>
        </w:rPr>
        <w:t>国家标准</w:t>
      </w:r>
      <w:bookmarkEnd w:id="86"/>
      <w:bookmarkEnd w:id="87"/>
      <w:bookmarkEnd w:id="88"/>
      <w:bookmarkEnd w:id="89"/>
      <w:bookmarkEnd w:id="90"/>
      <w:bookmarkEnd w:id="91"/>
      <w:bookmarkEnd w:id="103"/>
      <w:bookmarkEnd w:id="104"/>
      <w:bookmarkEnd w:id="105"/>
      <w:bookmarkEnd w:id="106"/>
      <w:bookmarkEnd w:id="107"/>
      <w:bookmarkEnd w:id="108"/>
      <w:bookmarkEnd w:id="109"/>
    </w:p>
    <w:p w14:paraId="3D4F9220">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《工业企业总平面设计规范》（GB 50187-2012）；</w:t>
      </w:r>
    </w:p>
    <w:p w14:paraId="30A59EC2">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《工业企业设计卫生标准》（GBZ 1-2010）；</w:t>
      </w:r>
    </w:p>
    <w:p w14:paraId="5CC836BE">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《厂矿道路设计规范》（GBJ22-1987）；</w:t>
      </w:r>
    </w:p>
    <w:p w14:paraId="07E8EEB1">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《工业企业厂内铁路、道路运输安全规程》（GB 4387-2008）；</w:t>
      </w:r>
    </w:p>
    <w:p w14:paraId="0E19C3B6">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《建筑给水排水设计标准》（GB 50015-2019）；</w:t>
      </w:r>
    </w:p>
    <w:p w14:paraId="0D75D491">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《室外给水设计标准》（GB50013-2018）；</w:t>
      </w:r>
    </w:p>
    <w:p w14:paraId="7C688208">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eastAsia" w:cs="宋体"/>
          <w:szCs w:val="28"/>
          <w:lang w:val="en-US" w:eastAsia="zh-CN"/>
        </w:rPr>
        <w:t>室外排水设计标准</w:t>
      </w:r>
      <w:r>
        <w:rPr>
          <w:rFonts w:hint="eastAsia" w:ascii="宋体" w:hAnsi="宋体" w:eastAsia="宋体" w:cs="宋体"/>
          <w:szCs w:val="28"/>
          <w:lang w:val="en-US" w:eastAsia="zh-CN"/>
        </w:rPr>
        <w:t>》（GB50014-2021）；</w:t>
      </w:r>
    </w:p>
    <w:p w14:paraId="5051786C">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《消防安全标志 第1部分：标志》（GB13495.1-2015）；</w:t>
      </w:r>
    </w:p>
    <w:p w14:paraId="6085A977">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《消防安全标志设置要求》（GB15630-1995）；</w:t>
      </w:r>
    </w:p>
    <w:p w14:paraId="02C31918">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《消防给水及消火栓系统技术规范》（GB50974-2014）；</w:t>
      </w:r>
    </w:p>
    <w:p w14:paraId="11A65F8D">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《消防设施通用规范》（GB 55036-2022）；</w:t>
      </w:r>
    </w:p>
    <w:p w14:paraId="36AC4FAF">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《建筑防火通用规范》（GB 55037-2022）；</w:t>
      </w:r>
    </w:p>
    <w:p w14:paraId="0B79C48B">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《建筑灭火器配置设计规范》（GB50140-2005）；</w:t>
      </w:r>
    </w:p>
    <w:p w14:paraId="5975C569">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《火灾自动报警系统设计规范》（GB 50116-2013）</w:t>
      </w:r>
    </w:p>
    <w:p w14:paraId="162340D6">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《建筑物防雷设计规范》（GB 50057-2010）；</w:t>
      </w:r>
    </w:p>
    <w:p w14:paraId="617B1699">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eastAsia" w:cs="宋体"/>
          <w:szCs w:val="28"/>
          <w:lang w:val="en-US" w:eastAsia="zh-CN"/>
        </w:rPr>
        <w:t>建筑抗震设计标准（2024年版）</w:t>
      </w:r>
      <w:r>
        <w:rPr>
          <w:rFonts w:hint="eastAsia" w:ascii="宋体" w:hAnsi="宋体" w:eastAsia="宋体" w:cs="宋体"/>
          <w:szCs w:val="28"/>
          <w:lang w:val="en-US" w:eastAsia="zh-CN"/>
        </w:rPr>
        <w:t>》（</w:t>
      </w:r>
      <w:r>
        <w:rPr>
          <w:rFonts w:hint="eastAsia" w:cs="宋体"/>
          <w:szCs w:val="28"/>
          <w:lang w:val="en-US" w:eastAsia="zh-CN"/>
        </w:rPr>
        <w:t>GB/T 50011-2010</w:t>
      </w:r>
      <w:r>
        <w:rPr>
          <w:rFonts w:hint="eastAsia" w:ascii="宋体" w:hAnsi="宋体" w:eastAsia="宋体" w:cs="宋体"/>
          <w:szCs w:val="28"/>
          <w:lang w:val="en-US" w:eastAsia="zh-CN"/>
        </w:rPr>
        <w:t>）；</w:t>
      </w:r>
    </w:p>
    <w:p w14:paraId="4A1EE903">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eastAsia" w:cs="宋体"/>
          <w:szCs w:val="28"/>
          <w:lang w:val="en-US" w:eastAsia="zh-CN"/>
        </w:rPr>
        <w:t>建筑设计防火规范[2018版]</w:t>
      </w:r>
      <w:r>
        <w:rPr>
          <w:rFonts w:hint="eastAsia" w:ascii="宋体" w:hAnsi="宋体" w:eastAsia="宋体" w:cs="宋体"/>
          <w:szCs w:val="28"/>
          <w:lang w:val="en-US" w:eastAsia="zh-CN"/>
        </w:rPr>
        <w:t>》（</w:t>
      </w:r>
      <w:r>
        <w:rPr>
          <w:rFonts w:hint="eastAsia" w:cs="宋体"/>
          <w:szCs w:val="28"/>
          <w:lang w:val="en-US" w:eastAsia="zh-CN"/>
        </w:rPr>
        <w:t>GB 50016-2014</w:t>
      </w:r>
      <w:r>
        <w:rPr>
          <w:rFonts w:hint="eastAsia" w:ascii="宋体" w:hAnsi="宋体" w:eastAsia="宋体" w:cs="宋体"/>
          <w:szCs w:val="28"/>
          <w:lang w:val="en-US" w:eastAsia="zh-CN"/>
        </w:rPr>
        <w:t>）；</w:t>
      </w:r>
    </w:p>
    <w:p w14:paraId="1EDDF47B">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《建筑采光设计标准》（GB50033-2013）；</w:t>
      </w:r>
    </w:p>
    <w:p w14:paraId="43F8C4BC">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《建筑照明设计标准》（</w:t>
      </w:r>
      <w:r>
        <w:rPr>
          <w:rFonts w:hint="eastAsia" w:cs="宋体"/>
          <w:szCs w:val="28"/>
          <w:lang w:val="en-US" w:eastAsia="zh-CN"/>
        </w:rPr>
        <w:t>GB/T 50034-2024</w:t>
      </w:r>
      <w:r>
        <w:rPr>
          <w:rFonts w:hint="eastAsia" w:ascii="宋体" w:hAnsi="宋体" w:eastAsia="宋体" w:cs="宋体"/>
          <w:szCs w:val="28"/>
          <w:lang w:val="en-US" w:eastAsia="zh-CN"/>
        </w:rPr>
        <w:t>）；</w:t>
      </w:r>
    </w:p>
    <w:p w14:paraId="39A04706">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《工业建筑防腐蚀设计标准》（GB/T50046-2018）；</w:t>
      </w:r>
    </w:p>
    <w:p w14:paraId="54D18C24">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《建筑采光设计标准》（GB50033-2013）；</w:t>
      </w:r>
    </w:p>
    <w:p w14:paraId="05FA2E8D">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《防止静电事故通用导则》（GBl2158-2006）；</w:t>
      </w:r>
    </w:p>
    <w:p w14:paraId="69D89928">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《供配电系统设计规范》（GB50052-2009）；</w:t>
      </w:r>
    </w:p>
    <w:p w14:paraId="35788DBE">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《仪表供电设计规范》（HG/T 20509-2014）；</w:t>
      </w:r>
    </w:p>
    <w:p w14:paraId="667BE19E">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《20kV及以下变电所设计规范》（GB50053-2013）</w:t>
      </w:r>
    </w:p>
    <w:p w14:paraId="6CE26F50">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eastAsia" w:cs="宋体"/>
          <w:szCs w:val="28"/>
          <w:lang w:val="en-US" w:eastAsia="zh-CN"/>
        </w:rPr>
        <w:t>35kV～110kV变电站设计规范</w:t>
      </w:r>
      <w:r>
        <w:rPr>
          <w:rFonts w:hint="eastAsia" w:ascii="宋体" w:hAnsi="宋体" w:eastAsia="宋体" w:cs="宋体"/>
          <w:szCs w:val="28"/>
          <w:lang w:val="en-US" w:eastAsia="zh-CN"/>
        </w:rPr>
        <w:t>》（GB 50059-2011）；</w:t>
      </w:r>
    </w:p>
    <w:p w14:paraId="45D5403B">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《低压配电设计规范》（GB50054-2011）；</w:t>
      </w:r>
    </w:p>
    <w:p w14:paraId="210DEE21">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《通用用电设备配电设计规范》（GB50055-2011）；</w:t>
      </w:r>
    </w:p>
    <w:p w14:paraId="2E752189">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《电力工程电缆设计标准》（GB50217-2018）；</w:t>
      </w:r>
    </w:p>
    <w:p w14:paraId="5E944B6D">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《电气装置安装工程 低压电器施工及验收规范》（GB 50254-2014）；</w:t>
      </w:r>
    </w:p>
    <w:p w14:paraId="7A1E7973">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《自动化仪表工程施工及质量验收规范》（GB50093-2013）；</w:t>
      </w:r>
    </w:p>
    <w:p w14:paraId="7E261D58">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《用电安全导则》（GB/T13869-2017）；</w:t>
      </w:r>
    </w:p>
    <w:p w14:paraId="1740C0D1">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《电力变压器运行规程》（</w:t>
      </w:r>
      <w:r>
        <w:rPr>
          <w:rFonts w:hint="eastAsia" w:cs="宋体"/>
          <w:szCs w:val="28"/>
          <w:lang w:val="en-US" w:eastAsia="zh-CN"/>
        </w:rPr>
        <w:t>DL/T 572-2021</w:t>
      </w:r>
      <w:r>
        <w:rPr>
          <w:rFonts w:hint="eastAsia" w:ascii="宋体" w:hAnsi="宋体" w:eastAsia="宋体" w:cs="宋体"/>
          <w:szCs w:val="28"/>
          <w:lang w:val="en-US" w:eastAsia="zh-CN"/>
        </w:rPr>
        <w:t>）；</w:t>
      </w:r>
    </w:p>
    <w:p w14:paraId="2A31D18B">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《电力设备典型消防规程》（DL5027-2015）；</w:t>
      </w:r>
    </w:p>
    <w:p w14:paraId="54407D23">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《电力装置的继电保护和自动装置设计规范》（GB/T 50062-2008）；</w:t>
      </w:r>
    </w:p>
    <w:p w14:paraId="490D9808">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《仪表供电设计规范》（</w:t>
      </w:r>
      <w:r>
        <w:rPr>
          <w:rFonts w:hint="eastAsia" w:cs="宋体"/>
          <w:szCs w:val="28"/>
          <w:lang w:val="en-US" w:eastAsia="zh-CN"/>
        </w:rPr>
        <w:t>HG/T 20509-2014</w:t>
      </w:r>
      <w:r>
        <w:rPr>
          <w:rFonts w:hint="eastAsia" w:ascii="宋体" w:hAnsi="宋体" w:eastAsia="宋体" w:cs="宋体"/>
          <w:szCs w:val="28"/>
          <w:lang w:val="en-US" w:eastAsia="zh-CN"/>
        </w:rPr>
        <w:t>）；</w:t>
      </w:r>
    </w:p>
    <w:p w14:paraId="298E4F76">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《信号报警及联锁系统设计规范》（HG/T20511-2014）；</w:t>
      </w:r>
    </w:p>
    <w:p w14:paraId="538B3290">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eastAsia" w:cs="宋体"/>
          <w:szCs w:val="28"/>
          <w:lang w:val="en-US" w:eastAsia="zh-CN"/>
        </w:rPr>
        <w:t>爆炸性环境 第1部分：设备 通用要求</w:t>
      </w:r>
      <w:r>
        <w:rPr>
          <w:rFonts w:hint="eastAsia" w:ascii="宋体" w:hAnsi="宋体" w:eastAsia="宋体" w:cs="宋体"/>
          <w:szCs w:val="28"/>
          <w:lang w:val="en-US" w:eastAsia="zh-CN"/>
        </w:rPr>
        <w:t>》（</w:t>
      </w:r>
      <w:r>
        <w:rPr>
          <w:rFonts w:hint="eastAsia" w:cs="宋体"/>
          <w:szCs w:val="28"/>
          <w:lang w:val="en-US" w:eastAsia="zh-CN"/>
        </w:rPr>
        <w:t>GB/T 3836.1-2021</w:t>
      </w:r>
      <w:r>
        <w:rPr>
          <w:rFonts w:hint="eastAsia" w:ascii="宋体" w:hAnsi="宋体" w:eastAsia="宋体" w:cs="宋体"/>
          <w:szCs w:val="28"/>
          <w:lang w:val="en-US" w:eastAsia="zh-CN"/>
        </w:rPr>
        <w:t>）；</w:t>
      </w:r>
    </w:p>
    <w:p w14:paraId="1E1FB035">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《爆炸危险环境电力装置设计规范》（GB50058-2014）</w:t>
      </w:r>
      <w:r>
        <w:rPr>
          <w:rFonts w:hint="eastAsia" w:cs="宋体"/>
          <w:szCs w:val="28"/>
          <w:lang w:val="en-US" w:eastAsia="zh-CN"/>
        </w:rPr>
        <w:t>；</w:t>
      </w:r>
    </w:p>
    <w:p w14:paraId="40B79854">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《生产过程安全卫生要求总则》（GB/T 12801-2008）；</w:t>
      </w:r>
    </w:p>
    <w:p w14:paraId="5E5B9565">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《生产设备安全卫生设计总则》（GB5083-1999）；</w:t>
      </w:r>
    </w:p>
    <w:p w14:paraId="7A7F3D72">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eastAsia" w:cs="宋体"/>
          <w:szCs w:val="28"/>
          <w:lang w:val="en-US" w:eastAsia="zh-CN"/>
        </w:rPr>
        <w:t>机械安全 防护装置 固定式和活动式防护装置的设计与制造一般要求</w:t>
      </w:r>
      <w:r>
        <w:rPr>
          <w:rFonts w:hint="eastAsia" w:ascii="宋体" w:hAnsi="宋体" w:eastAsia="宋体" w:cs="宋体"/>
          <w:szCs w:val="28"/>
          <w:lang w:val="en-US" w:eastAsia="zh-CN"/>
        </w:rPr>
        <w:t>》（GB/T8196-2018）；</w:t>
      </w:r>
    </w:p>
    <w:p w14:paraId="7E6544FB">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《机械安全 危险能量控制方法上锁/挂牌》（GB/T33579-2017）；</w:t>
      </w:r>
    </w:p>
    <w:p w14:paraId="3DD085B6">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eastAsia" w:cs="宋体"/>
          <w:szCs w:val="28"/>
          <w:lang w:val="en-US" w:eastAsia="zh-CN"/>
        </w:rPr>
        <w:t>机械安全 接近机械的固定设施 第4部分：固定式直梯</w:t>
      </w:r>
      <w:r>
        <w:rPr>
          <w:rFonts w:hint="eastAsia" w:ascii="宋体" w:hAnsi="宋体" w:eastAsia="宋体" w:cs="宋体"/>
          <w:szCs w:val="28"/>
          <w:lang w:val="en-US" w:eastAsia="zh-CN"/>
        </w:rPr>
        <w:t>》（</w:t>
      </w:r>
      <w:r>
        <w:rPr>
          <w:rFonts w:hint="eastAsia" w:cs="宋体"/>
          <w:szCs w:val="28"/>
          <w:lang w:val="en-US" w:eastAsia="zh-CN"/>
        </w:rPr>
        <w:t>GB/T 17888.4-2020</w:t>
      </w:r>
      <w:r>
        <w:rPr>
          <w:rFonts w:hint="eastAsia" w:ascii="宋体" w:hAnsi="宋体" w:eastAsia="宋体" w:cs="宋体"/>
          <w:szCs w:val="28"/>
          <w:lang w:val="en-US" w:eastAsia="zh-CN"/>
        </w:rPr>
        <w:t>）；</w:t>
      </w:r>
    </w:p>
    <w:p w14:paraId="03A665CC">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《机械安全 接近机械的固定设施 第2部分：工作平台与通道》（GB/T 17888.2-2020）；</w:t>
      </w:r>
    </w:p>
    <w:p w14:paraId="219BEBF3">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《机械安全 防止上下肢触及危险区的安全距离》（GB/T 23821-2022）；</w:t>
      </w:r>
    </w:p>
    <w:p w14:paraId="75B77C86">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default" w:ascii="宋体" w:hAnsi="宋体" w:eastAsia="宋体" w:cs="宋体"/>
          <w:szCs w:val="28"/>
          <w:lang w:val="en-US" w:eastAsia="zh-CN"/>
        </w:rPr>
        <w:t>固定式钢梯及平台安全要求 第1部分：钢直梯</w:t>
      </w:r>
      <w:r>
        <w:rPr>
          <w:rFonts w:hint="eastAsia" w:ascii="宋体" w:hAnsi="宋体" w:eastAsia="宋体" w:cs="宋体"/>
          <w:szCs w:val="28"/>
          <w:lang w:val="en-US" w:eastAsia="zh-CN"/>
        </w:rPr>
        <w:t>》（GB4053.1-2009）；</w:t>
      </w:r>
    </w:p>
    <w:p w14:paraId="73C2DCCC">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default" w:ascii="宋体" w:hAnsi="宋体" w:eastAsia="宋体" w:cs="宋体"/>
          <w:szCs w:val="28"/>
          <w:lang w:val="en-US" w:eastAsia="zh-CN"/>
        </w:rPr>
      </w:pPr>
      <w:r>
        <w:rPr>
          <w:rFonts w:hint="eastAsia" w:ascii="宋体" w:hAnsi="宋体" w:eastAsia="宋体" w:cs="宋体"/>
          <w:szCs w:val="28"/>
          <w:lang w:val="en-US" w:eastAsia="zh-CN"/>
        </w:rPr>
        <w:t>《</w:t>
      </w:r>
      <w:r>
        <w:rPr>
          <w:rFonts w:hint="default" w:ascii="宋体" w:hAnsi="宋体" w:eastAsia="宋体" w:cs="宋体"/>
          <w:szCs w:val="28"/>
          <w:lang w:val="en-US" w:eastAsia="zh-CN"/>
        </w:rPr>
        <w:t>固定式钢梯及平台安全要求 第2部分：钢斜梯</w:t>
      </w:r>
      <w:r>
        <w:rPr>
          <w:rFonts w:hint="eastAsia" w:ascii="宋体" w:hAnsi="宋体" w:eastAsia="宋体" w:cs="宋体"/>
          <w:szCs w:val="28"/>
          <w:lang w:val="en-US" w:eastAsia="zh-CN"/>
        </w:rPr>
        <w:t>》（GB4053.2-2009）；</w:t>
      </w:r>
    </w:p>
    <w:p w14:paraId="0B6ACB28">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default" w:ascii="宋体" w:hAnsi="宋体" w:eastAsia="宋体" w:cs="宋体"/>
          <w:szCs w:val="28"/>
          <w:lang w:val="en-US" w:eastAsia="zh-CN"/>
        </w:rPr>
        <w:t>固定式钢梯及平台安全要求 第3部分：工业防护栏杆及钢平台</w:t>
      </w:r>
      <w:r>
        <w:rPr>
          <w:rFonts w:hint="eastAsia" w:ascii="宋体" w:hAnsi="宋体" w:eastAsia="宋体" w:cs="宋体"/>
          <w:szCs w:val="28"/>
          <w:lang w:val="en-US" w:eastAsia="zh-CN"/>
        </w:rPr>
        <w:t>》（GB4053.3-2009）；</w:t>
      </w:r>
    </w:p>
    <w:p w14:paraId="1B312A2D">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《现场设备、工业管道焊接工程施工规范》（GB50236-2011）；</w:t>
      </w:r>
    </w:p>
    <w:p w14:paraId="482BBFD0">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eastAsia" w:cs="宋体"/>
          <w:szCs w:val="28"/>
          <w:lang w:val="en-US" w:eastAsia="zh-CN"/>
        </w:rPr>
        <w:t>工业金属管道设计规范[2008年版]</w:t>
      </w:r>
      <w:r>
        <w:rPr>
          <w:rFonts w:hint="eastAsia" w:ascii="宋体" w:hAnsi="宋体" w:eastAsia="宋体" w:cs="宋体"/>
          <w:szCs w:val="28"/>
          <w:lang w:val="en-US" w:eastAsia="zh-CN"/>
        </w:rPr>
        <w:t>》（</w:t>
      </w:r>
      <w:r>
        <w:rPr>
          <w:rFonts w:hint="eastAsia" w:cs="宋体"/>
          <w:szCs w:val="28"/>
          <w:lang w:val="en-US" w:eastAsia="zh-CN"/>
        </w:rPr>
        <w:t>GB 50316-2000</w:t>
      </w:r>
      <w:r>
        <w:rPr>
          <w:rFonts w:hint="eastAsia" w:ascii="宋体" w:hAnsi="宋体" w:eastAsia="宋体" w:cs="宋体"/>
          <w:szCs w:val="28"/>
          <w:lang w:val="en-US" w:eastAsia="zh-CN"/>
        </w:rPr>
        <w:t>）；</w:t>
      </w:r>
    </w:p>
    <w:p w14:paraId="516A62A2">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eastAsia" w:cs="宋体"/>
          <w:szCs w:val="28"/>
          <w:lang w:val="en-US" w:eastAsia="zh-CN"/>
        </w:rPr>
        <w:t>工业金属管道工程施工规范</w:t>
      </w:r>
      <w:r>
        <w:rPr>
          <w:rFonts w:hint="eastAsia" w:ascii="宋体" w:hAnsi="宋体" w:eastAsia="宋体" w:cs="宋体"/>
          <w:szCs w:val="28"/>
          <w:lang w:val="en-US" w:eastAsia="zh-CN"/>
        </w:rPr>
        <w:t>》（GB50235-2010）；</w:t>
      </w:r>
    </w:p>
    <w:p w14:paraId="7956B30B">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《危险化学品重大危险源</w:t>
      </w:r>
      <w:r>
        <w:rPr>
          <w:rFonts w:hint="eastAsia" w:cs="宋体"/>
          <w:szCs w:val="28"/>
          <w:lang w:val="en-US" w:eastAsia="zh-CN"/>
        </w:rPr>
        <w:t>辨</w:t>
      </w:r>
      <w:r>
        <w:rPr>
          <w:rFonts w:hint="eastAsia" w:ascii="宋体" w:hAnsi="宋体" w:eastAsia="宋体" w:cs="宋体"/>
          <w:szCs w:val="28"/>
          <w:lang w:val="en-US" w:eastAsia="zh-CN"/>
        </w:rPr>
        <w:t>识》（GB 18218-2018）；</w:t>
      </w:r>
    </w:p>
    <w:p w14:paraId="0E1FB72B">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《化学品分类和危险性公示通则》（GB13690-2009）；</w:t>
      </w:r>
    </w:p>
    <w:p w14:paraId="71C29DFF">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《石油化工可燃气体和有毒气体检测报警设计标准》（GB/T50493-2019）；</w:t>
      </w:r>
    </w:p>
    <w:p w14:paraId="52343460">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《图形符号 安全色和安全标志 第5部分：安全标志使用原则与要求》（GB/T 2893.5-2020）；</w:t>
      </w:r>
    </w:p>
    <w:p w14:paraId="37CA20B7">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《生产过程危险和有害因素分类与代码》（GB/T13861-2022）；</w:t>
      </w:r>
    </w:p>
    <w:p w14:paraId="6055DE27">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《企业职工伤亡事故分类》（</w:t>
      </w:r>
      <w:r>
        <w:rPr>
          <w:rFonts w:hint="eastAsia" w:cs="宋体"/>
          <w:szCs w:val="28"/>
          <w:lang w:val="en-US" w:eastAsia="zh-CN"/>
        </w:rPr>
        <w:t>GB6441-1986</w:t>
      </w:r>
      <w:r>
        <w:rPr>
          <w:rFonts w:hint="eastAsia" w:ascii="宋体" w:hAnsi="宋体" w:eastAsia="宋体" w:cs="宋体"/>
          <w:szCs w:val="28"/>
          <w:lang w:val="en-US" w:eastAsia="zh-CN"/>
        </w:rPr>
        <w:t>）；</w:t>
      </w:r>
    </w:p>
    <w:p w14:paraId="5938578E">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《高处作业分级》（GB/T3608-2008）；</w:t>
      </w:r>
    </w:p>
    <w:p w14:paraId="6183D72C">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《个体防护装备配备规范 第1部分：总则》（GB 39800.1-2020）；</w:t>
      </w:r>
    </w:p>
    <w:p w14:paraId="19E2A51A">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eastAsia" w:cs="宋体"/>
          <w:szCs w:val="28"/>
          <w:lang w:val="en-US" w:eastAsia="zh-CN"/>
        </w:rPr>
        <w:t>个体防护装备 足部防护鞋（靴）的选择、使用和维护指南</w:t>
      </w:r>
      <w:r>
        <w:rPr>
          <w:rFonts w:hint="eastAsia" w:ascii="宋体" w:hAnsi="宋体" w:eastAsia="宋体" w:cs="宋体"/>
          <w:szCs w:val="28"/>
          <w:lang w:val="en-US" w:eastAsia="zh-CN"/>
        </w:rPr>
        <w:t>》（</w:t>
      </w:r>
      <w:r>
        <w:rPr>
          <w:rFonts w:hint="eastAsia" w:cs="宋体"/>
          <w:szCs w:val="28"/>
          <w:lang w:val="en-US" w:eastAsia="zh-CN"/>
        </w:rPr>
        <w:t>GB/T 28409-2012</w:t>
      </w:r>
      <w:r>
        <w:rPr>
          <w:rFonts w:hint="eastAsia" w:ascii="宋体" w:hAnsi="宋体" w:eastAsia="宋体" w:cs="宋体"/>
          <w:szCs w:val="28"/>
          <w:lang w:val="en-US" w:eastAsia="zh-CN"/>
        </w:rPr>
        <w:t>）；</w:t>
      </w:r>
    </w:p>
    <w:p w14:paraId="26E4A26D">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《工作场所有害因素职业接触限值第1部分</w:t>
      </w:r>
      <w:r>
        <w:rPr>
          <w:rFonts w:hint="eastAsia" w:cs="宋体"/>
          <w:szCs w:val="28"/>
          <w:lang w:val="en-US" w:eastAsia="zh-CN"/>
        </w:rPr>
        <w:t>：</w:t>
      </w:r>
      <w:r>
        <w:rPr>
          <w:rFonts w:hint="eastAsia" w:ascii="宋体" w:hAnsi="宋体" w:eastAsia="宋体" w:cs="宋体"/>
          <w:szCs w:val="28"/>
          <w:lang w:val="en-US" w:eastAsia="zh-CN"/>
        </w:rPr>
        <w:t>化学有害因素》（GBZ2.1-2019）；</w:t>
      </w:r>
    </w:p>
    <w:p w14:paraId="2C37EA1E">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《工作场所有害因素职业接触限值第2部分</w:t>
      </w:r>
      <w:r>
        <w:rPr>
          <w:rFonts w:hint="eastAsia" w:cs="宋体"/>
          <w:szCs w:val="28"/>
          <w:lang w:val="en-US" w:eastAsia="zh-CN"/>
        </w:rPr>
        <w:t>：</w:t>
      </w:r>
      <w:r>
        <w:rPr>
          <w:rFonts w:hint="eastAsia" w:ascii="宋体" w:hAnsi="宋体" w:eastAsia="宋体" w:cs="宋体"/>
          <w:szCs w:val="28"/>
          <w:lang w:val="en-US" w:eastAsia="zh-CN"/>
        </w:rPr>
        <w:t>物理因素》（GBZ2.2-2007）；</w:t>
      </w:r>
    </w:p>
    <w:p w14:paraId="781D556A">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eastAsia" w:cs="宋体"/>
          <w:szCs w:val="28"/>
          <w:lang w:val="en-US" w:eastAsia="zh-CN"/>
        </w:rPr>
        <w:t>生产经营单位生产安全事故应急预案编制导则</w:t>
      </w:r>
      <w:r>
        <w:rPr>
          <w:rFonts w:hint="eastAsia" w:ascii="宋体" w:hAnsi="宋体" w:eastAsia="宋体" w:cs="宋体"/>
          <w:szCs w:val="28"/>
          <w:lang w:val="en-US" w:eastAsia="zh-CN"/>
        </w:rPr>
        <w:t>》（GB/T29639-2020）；</w:t>
      </w:r>
    </w:p>
    <w:p w14:paraId="1862BF84">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《压缩空气站设计规范》（GB50029-2014）；</w:t>
      </w:r>
    </w:p>
    <w:p w14:paraId="5DE63F46">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《制冷设备、空气分离设备安装工程施工及验收规范》（GB50274-2010）；</w:t>
      </w:r>
    </w:p>
    <w:p w14:paraId="244CD222">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eastAsia" w:cs="宋体"/>
          <w:szCs w:val="28"/>
          <w:lang w:val="en-US" w:eastAsia="zh-CN"/>
        </w:rPr>
        <w:t>承压设备无损检测[合订本]</w:t>
      </w:r>
      <w:r>
        <w:rPr>
          <w:rFonts w:hint="eastAsia" w:ascii="宋体" w:hAnsi="宋体" w:eastAsia="宋体" w:cs="宋体"/>
          <w:szCs w:val="28"/>
          <w:lang w:val="en-US" w:eastAsia="zh-CN"/>
        </w:rPr>
        <w:t>》（</w:t>
      </w:r>
      <w:r>
        <w:rPr>
          <w:rFonts w:hint="eastAsia" w:cs="宋体"/>
          <w:szCs w:val="28"/>
          <w:lang w:val="en-US" w:eastAsia="zh-CN"/>
        </w:rPr>
        <w:t>JB/T 4730-2015</w:t>
      </w:r>
      <w:r>
        <w:rPr>
          <w:rFonts w:hint="eastAsia" w:ascii="宋体" w:hAnsi="宋体" w:eastAsia="宋体" w:cs="宋体"/>
          <w:szCs w:val="28"/>
          <w:lang w:val="en-US" w:eastAsia="zh-CN"/>
        </w:rPr>
        <w:t>）；</w:t>
      </w:r>
    </w:p>
    <w:p w14:paraId="32261FB8">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《气瓶安全技术规程》（TSG 23-2021）；</w:t>
      </w:r>
    </w:p>
    <w:p w14:paraId="7B9BA69D">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《头部防护 安全帽》（GB 2811-2019）；</w:t>
      </w:r>
    </w:p>
    <w:p w14:paraId="1D53CDE6">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《手持式电动工具的管理、使用、检查和维修安全技术规程》（GB/T3787-2017）；</w:t>
      </w:r>
    </w:p>
    <w:p w14:paraId="330EA395">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《消防应急救援装备配备指南》（GB/T29178-2012）；</w:t>
      </w:r>
    </w:p>
    <w:p w14:paraId="356A1EF9">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《固定的空气压缩机安全规则和操作规程》（GB/T 10892-2021）；</w:t>
      </w:r>
    </w:p>
    <w:p w14:paraId="3D935A07">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《风险管理 风险评估技术》（</w:t>
      </w:r>
      <w:r>
        <w:rPr>
          <w:rFonts w:hint="eastAsia" w:cs="宋体"/>
          <w:szCs w:val="28"/>
          <w:lang w:val="en-US" w:eastAsia="zh-CN"/>
        </w:rPr>
        <w:t>GB/T 27921-2023</w:t>
      </w:r>
      <w:r>
        <w:rPr>
          <w:rFonts w:hint="eastAsia" w:ascii="宋体" w:hAnsi="宋体" w:eastAsia="宋体" w:cs="宋体"/>
          <w:szCs w:val="28"/>
          <w:lang w:val="en-US" w:eastAsia="zh-CN"/>
        </w:rPr>
        <w:t>）；</w:t>
      </w:r>
    </w:p>
    <w:p w14:paraId="121B7553">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《工业电视系统工程设计标准》（GB/T 50115-2019）；</w:t>
      </w:r>
    </w:p>
    <w:p w14:paraId="4F61CD47">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《带式输送机安全规范》（GB14784-2013）；</w:t>
      </w:r>
    </w:p>
    <w:p w14:paraId="0A6FAD0B">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《眼面部防护 应急喷淋和洗眼设备 第1部分：技术要求》（GB/T 38144.1-2019）；</w:t>
      </w:r>
    </w:p>
    <w:p w14:paraId="26C1BDA5">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w:t>
      </w:r>
      <w:r>
        <w:rPr>
          <w:rFonts w:hint="eastAsia" w:cs="宋体"/>
          <w:szCs w:val="28"/>
          <w:lang w:val="en-US" w:eastAsia="zh-CN"/>
        </w:rPr>
        <w:t>图形符号 安全色和安全标志 第5部分：安全标志使用原则与要求</w:t>
      </w:r>
      <w:r>
        <w:rPr>
          <w:rFonts w:hint="eastAsia" w:ascii="宋体" w:hAnsi="宋体" w:eastAsia="宋体" w:cs="宋体"/>
          <w:szCs w:val="28"/>
          <w:lang w:val="en-US" w:eastAsia="zh-CN"/>
        </w:rPr>
        <w:t>》（GB/T2893.5-2020）；</w:t>
      </w:r>
    </w:p>
    <w:p w14:paraId="56F39DCA">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《工业管道的基本识别色、识别符号和安全标识》（GB7231-2003）；</w:t>
      </w:r>
    </w:p>
    <w:p w14:paraId="3FF8908C">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《安全色》（GB2893-2008）；</w:t>
      </w:r>
    </w:p>
    <w:p w14:paraId="3C53CC1A">
      <w:pPr>
        <w:keepNext w:val="0"/>
        <w:keepLines w:val="0"/>
        <w:pageBreakBefore w:val="0"/>
        <w:widowControl w:val="0"/>
        <w:numPr>
          <w:ilvl w:val="0"/>
          <w:numId w:val="7"/>
        </w:numPr>
        <w:tabs>
          <w:tab w:val="left" w:pos="0"/>
          <w:tab w:val="left" w:pos="630"/>
          <w:tab w:val="left" w:pos="735"/>
          <w:tab w:val="left" w:pos="840"/>
          <w:tab w:val="left" w:pos="988"/>
        </w:tabs>
        <w:kinsoku/>
        <w:wordWrap/>
        <w:overflowPunct/>
        <w:topLinePunct/>
        <w:autoSpaceDE/>
        <w:autoSpaceDN/>
        <w:bidi w:val="0"/>
        <w:adjustRightInd w:val="0"/>
        <w:snapToGrid w:val="0"/>
        <w:spacing w:line="500" w:lineRule="exact"/>
        <w:ind w:left="0" w:leftChars="0" w:firstLine="560" w:firstLineChars="200"/>
        <w:jc w:val="left"/>
        <w:textAlignment w:val="auto"/>
        <w:rPr>
          <w:rFonts w:hint="eastAsia" w:ascii="宋体" w:hAnsi="宋体" w:eastAsia="宋体" w:cs="宋体"/>
          <w:szCs w:val="28"/>
          <w:lang w:val="en-US" w:eastAsia="zh-CN"/>
        </w:rPr>
      </w:pPr>
      <w:r>
        <w:rPr>
          <w:rFonts w:hint="eastAsia" w:ascii="宋体" w:hAnsi="宋体" w:eastAsia="宋体" w:cs="宋体"/>
          <w:szCs w:val="28"/>
          <w:lang w:val="en-US" w:eastAsia="zh-CN"/>
        </w:rPr>
        <w:t>《电熔氧化锆》（GB/T 26563-2011）。</w:t>
      </w:r>
    </w:p>
    <w:bookmarkEnd w:id="92"/>
    <w:bookmarkEnd w:id="93"/>
    <w:p w14:paraId="1EEB6E22">
      <w:pPr>
        <w:pStyle w:val="4"/>
        <w:keepNext w:val="0"/>
        <w:keepLines w:val="0"/>
        <w:pageBreakBefore w:val="0"/>
        <w:widowControl w:val="0"/>
        <w:kinsoku/>
        <w:wordWrap/>
        <w:overflowPunct/>
        <w:autoSpaceDE/>
        <w:autoSpaceDN/>
        <w:bidi w:val="0"/>
        <w:spacing w:line="500" w:lineRule="exact"/>
        <w:textAlignment w:val="auto"/>
        <w:rPr>
          <w:rFonts w:hint="eastAsia" w:ascii="宋体" w:hAnsi="宋体" w:eastAsia="宋体" w:cs="宋体"/>
        </w:rPr>
      </w:pPr>
      <w:bookmarkStart w:id="110" w:name="_Toc31815"/>
      <w:r>
        <w:rPr>
          <w:rFonts w:hint="eastAsia" w:cs="宋体"/>
          <w:lang w:val="en-US" w:eastAsia="zh-CN"/>
        </w:rPr>
        <w:t>行业规范</w:t>
      </w:r>
      <w:bookmarkEnd w:id="110"/>
    </w:p>
    <w:p w14:paraId="393900C5">
      <w:pPr>
        <w:keepNext w:val="0"/>
        <w:keepLines w:val="0"/>
        <w:pageBreakBefore w:val="0"/>
        <w:widowControl w:val="0"/>
        <w:numPr>
          <w:ilvl w:val="0"/>
          <w:numId w:val="8"/>
        </w:numPr>
        <w:kinsoku/>
        <w:wordWrap/>
        <w:overflowPunct/>
        <w:topLinePunct w:val="0"/>
        <w:autoSpaceDE/>
        <w:autoSpaceDN/>
        <w:bidi w:val="0"/>
        <w:adjustRightInd w:val="0"/>
        <w:snapToGrid w:val="0"/>
        <w:ind w:left="0"/>
        <w:textAlignment w:val="auto"/>
        <w:rPr>
          <w:rFonts w:hint="eastAsia"/>
          <w:lang w:val="en-US" w:eastAsia="zh-CN"/>
        </w:rPr>
      </w:pPr>
      <w:r>
        <w:rPr>
          <w:rFonts w:hint="eastAsia"/>
          <w:lang w:val="en-US" w:eastAsia="zh-CN"/>
        </w:rPr>
        <w:t>《特种设备使用管理规则》（TSG08-2017）；</w:t>
      </w:r>
    </w:p>
    <w:p w14:paraId="45DD640B">
      <w:pPr>
        <w:keepNext w:val="0"/>
        <w:keepLines w:val="0"/>
        <w:pageBreakBefore w:val="0"/>
        <w:widowControl w:val="0"/>
        <w:numPr>
          <w:ilvl w:val="0"/>
          <w:numId w:val="8"/>
        </w:numPr>
        <w:kinsoku/>
        <w:wordWrap/>
        <w:overflowPunct/>
        <w:topLinePunct w:val="0"/>
        <w:autoSpaceDE/>
        <w:autoSpaceDN/>
        <w:bidi w:val="0"/>
        <w:adjustRightInd w:val="0"/>
        <w:snapToGrid w:val="0"/>
        <w:ind w:left="0"/>
        <w:textAlignment w:val="auto"/>
        <w:rPr>
          <w:rFonts w:hint="default"/>
          <w:lang w:val="en-US" w:eastAsia="zh-CN"/>
        </w:rPr>
      </w:pPr>
      <w:r>
        <w:rPr>
          <w:rFonts w:hint="eastAsia"/>
          <w:lang w:val="en-US" w:eastAsia="zh-CN"/>
        </w:rPr>
        <w:t>《固定式压力容器安全技术监察规程》（TSG21-2016/XG1-2020）；</w:t>
      </w:r>
    </w:p>
    <w:p w14:paraId="72E76E3E">
      <w:pPr>
        <w:keepNext w:val="0"/>
        <w:keepLines w:val="0"/>
        <w:pageBreakBefore w:val="0"/>
        <w:widowControl w:val="0"/>
        <w:numPr>
          <w:ilvl w:val="0"/>
          <w:numId w:val="8"/>
        </w:numPr>
        <w:kinsoku/>
        <w:wordWrap/>
        <w:overflowPunct/>
        <w:topLinePunct w:val="0"/>
        <w:autoSpaceDE/>
        <w:autoSpaceDN/>
        <w:bidi w:val="0"/>
        <w:adjustRightInd w:val="0"/>
        <w:snapToGrid w:val="0"/>
        <w:ind w:left="0"/>
        <w:textAlignment w:val="auto"/>
        <w:rPr>
          <w:rFonts w:hint="default"/>
          <w:lang w:val="en-US" w:eastAsia="zh-CN"/>
        </w:rPr>
      </w:pPr>
      <w:r>
        <w:rPr>
          <w:rFonts w:hint="eastAsia"/>
          <w:lang w:val="en-US" w:eastAsia="zh-CN"/>
        </w:rPr>
        <w:t>《压力管道安全技术监察规程—工业管道》（TSGD0001-2009）；</w:t>
      </w:r>
    </w:p>
    <w:p w14:paraId="3B80B868">
      <w:pPr>
        <w:keepNext w:val="0"/>
        <w:keepLines w:val="0"/>
        <w:pageBreakBefore w:val="0"/>
        <w:widowControl w:val="0"/>
        <w:numPr>
          <w:ilvl w:val="0"/>
          <w:numId w:val="8"/>
        </w:numPr>
        <w:kinsoku/>
        <w:wordWrap/>
        <w:overflowPunct/>
        <w:topLinePunct w:val="0"/>
        <w:autoSpaceDE/>
        <w:autoSpaceDN/>
        <w:bidi w:val="0"/>
        <w:adjustRightInd w:val="0"/>
        <w:snapToGrid w:val="0"/>
        <w:ind w:left="0"/>
        <w:textAlignment w:val="auto"/>
        <w:rPr>
          <w:rFonts w:hint="default"/>
          <w:lang w:val="en-US" w:eastAsia="zh-CN"/>
        </w:rPr>
      </w:pPr>
      <w:r>
        <w:rPr>
          <w:rFonts w:hint="eastAsia"/>
          <w:lang w:val="en-US" w:eastAsia="zh-CN"/>
        </w:rPr>
        <w:t>《仓储场所消防安全管理通则》（XF1131-2014）。</w:t>
      </w:r>
    </w:p>
    <w:p w14:paraId="6837882A">
      <w:pPr>
        <w:pStyle w:val="4"/>
        <w:keepNext w:val="0"/>
        <w:keepLines w:val="0"/>
        <w:pageBreakBefore w:val="0"/>
        <w:widowControl w:val="0"/>
        <w:kinsoku/>
        <w:wordWrap/>
        <w:overflowPunct/>
        <w:autoSpaceDE/>
        <w:autoSpaceDN/>
        <w:bidi w:val="0"/>
        <w:spacing w:line="500" w:lineRule="exact"/>
        <w:textAlignment w:val="auto"/>
        <w:rPr>
          <w:rFonts w:hint="eastAsia"/>
          <w:lang w:val="en-US" w:eastAsia="zh-CN"/>
        </w:rPr>
      </w:pPr>
      <w:bookmarkStart w:id="111" w:name="_Toc60925326"/>
      <w:bookmarkStart w:id="112" w:name="_Toc55567339"/>
      <w:bookmarkStart w:id="113" w:name="_Toc55033274"/>
      <w:bookmarkStart w:id="114" w:name="_Toc18662"/>
      <w:bookmarkStart w:id="115" w:name="_Toc531271031"/>
      <w:bookmarkStart w:id="116" w:name="_Toc55945220"/>
      <w:bookmarkStart w:id="117" w:name="_Toc26933"/>
      <w:bookmarkStart w:id="118" w:name="_Toc23016"/>
      <w:r>
        <w:rPr>
          <w:lang w:val="en-US" w:eastAsia="zh-CN"/>
        </w:rPr>
        <w:t>建设项目依据的批准文件或相关合法证明文件</w:t>
      </w:r>
      <w:bookmarkEnd w:id="68"/>
      <w:bookmarkEnd w:id="69"/>
      <w:bookmarkEnd w:id="70"/>
      <w:bookmarkEnd w:id="71"/>
      <w:bookmarkEnd w:id="111"/>
      <w:bookmarkEnd w:id="112"/>
      <w:bookmarkEnd w:id="113"/>
      <w:bookmarkEnd w:id="114"/>
      <w:bookmarkEnd w:id="115"/>
      <w:bookmarkEnd w:id="116"/>
      <w:bookmarkEnd w:id="117"/>
      <w:bookmarkEnd w:id="118"/>
    </w:p>
    <w:p w14:paraId="124E6345">
      <w:pPr>
        <w:bidi w:val="0"/>
        <w:rPr>
          <w:rFonts w:hint="eastAsia"/>
        </w:rPr>
      </w:pPr>
      <w:r>
        <w:rPr>
          <w:rFonts w:hint="eastAsia"/>
        </w:rPr>
        <w:t>202</w:t>
      </w:r>
      <w:r>
        <w:t>1</w:t>
      </w:r>
      <w:r>
        <w:rPr>
          <w:rFonts w:hint="eastAsia"/>
        </w:rPr>
        <w:t>年</w:t>
      </w:r>
      <w:r>
        <w:t>4</w:t>
      </w:r>
      <w:r>
        <w:rPr>
          <w:rFonts w:hint="eastAsia"/>
        </w:rPr>
        <w:t>月25日经</w:t>
      </w:r>
      <w:r>
        <w:rPr>
          <w:rFonts w:hint="eastAsia"/>
          <w:lang w:eastAsia="zh-CN"/>
        </w:rPr>
        <w:t>禄丰市发展和改革局</w:t>
      </w:r>
      <w:r>
        <w:rPr>
          <w:rFonts w:hint="eastAsia"/>
        </w:rPr>
        <w:t>备案，取得《投资项目备案证》（项目代码：2104-532331-04-01-901488）。</w:t>
      </w:r>
    </w:p>
    <w:p w14:paraId="1C9D7B62">
      <w:pPr>
        <w:pStyle w:val="4"/>
        <w:keepNext w:val="0"/>
        <w:keepLines w:val="0"/>
        <w:pageBreakBefore w:val="0"/>
        <w:widowControl w:val="0"/>
        <w:kinsoku/>
        <w:wordWrap/>
        <w:overflowPunct/>
        <w:autoSpaceDE/>
        <w:autoSpaceDN/>
        <w:bidi w:val="0"/>
        <w:spacing w:line="500" w:lineRule="exact"/>
        <w:textAlignment w:val="auto"/>
        <w:rPr>
          <w:lang w:val="en-US" w:eastAsia="zh-CN"/>
        </w:rPr>
      </w:pPr>
      <w:bookmarkStart w:id="119" w:name="_Toc11427"/>
      <w:bookmarkStart w:id="120" w:name="_Toc55945221"/>
      <w:bookmarkStart w:id="121" w:name="_Toc60925327"/>
      <w:bookmarkStart w:id="122" w:name="_Toc2612"/>
      <w:bookmarkStart w:id="123" w:name="_Toc15354"/>
      <w:r>
        <w:rPr>
          <w:rFonts w:hint="eastAsia"/>
          <w:lang w:val="en-US" w:eastAsia="zh-CN"/>
        </w:rPr>
        <w:t>建设项目技术资料</w:t>
      </w:r>
      <w:bookmarkEnd w:id="119"/>
      <w:bookmarkEnd w:id="120"/>
      <w:bookmarkEnd w:id="121"/>
      <w:bookmarkEnd w:id="122"/>
      <w:bookmarkEnd w:id="123"/>
    </w:p>
    <w:p w14:paraId="75D01511">
      <w:pPr>
        <w:keepNext w:val="0"/>
        <w:keepLines w:val="0"/>
        <w:pageBreakBefore w:val="0"/>
        <w:widowControl w:val="0"/>
        <w:numPr>
          <w:ilvl w:val="0"/>
          <w:numId w:val="9"/>
        </w:numPr>
        <w:kinsoku/>
        <w:wordWrap/>
        <w:overflowPunct/>
        <w:topLinePunct w:val="0"/>
        <w:autoSpaceDE/>
        <w:autoSpaceDN/>
        <w:bidi w:val="0"/>
        <w:adjustRightInd w:val="0"/>
        <w:snapToGrid/>
        <w:ind w:left="0"/>
        <w:textAlignment w:val="auto"/>
        <w:rPr>
          <w:rFonts w:hint="eastAsia"/>
        </w:rPr>
      </w:pPr>
      <w:r>
        <w:rPr>
          <w:rFonts w:hint="eastAsia"/>
        </w:rPr>
        <w:t>《年产3万吨电熔氧化锆产业基地建设项目（一期）拟建场地岩土工程勘察报告</w:t>
      </w:r>
      <w:r>
        <w:rPr>
          <w:rFonts w:hint="eastAsia"/>
          <w:lang w:eastAsia="zh-CN"/>
        </w:rPr>
        <w:t>（详细勘察阶段）</w:t>
      </w:r>
      <w:r>
        <w:rPr>
          <w:rFonts w:hint="eastAsia"/>
        </w:rPr>
        <w:t>》（楚雄有色勘测工程有限公司，2021年5月）</w:t>
      </w:r>
      <w:r>
        <w:rPr>
          <w:rFonts w:hint="eastAsia"/>
          <w:lang w:eastAsia="zh-CN"/>
        </w:rPr>
        <w:t>；</w:t>
      </w:r>
    </w:p>
    <w:p w14:paraId="543EDC46">
      <w:pPr>
        <w:keepNext w:val="0"/>
        <w:keepLines w:val="0"/>
        <w:pageBreakBefore w:val="0"/>
        <w:widowControl w:val="0"/>
        <w:numPr>
          <w:ilvl w:val="0"/>
          <w:numId w:val="9"/>
        </w:numPr>
        <w:kinsoku/>
        <w:wordWrap/>
        <w:overflowPunct/>
        <w:topLinePunct w:val="0"/>
        <w:autoSpaceDE/>
        <w:autoSpaceDN/>
        <w:bidi w:val="0"/>
        <w:adjustRightInd w:val="0"/>
        <w:snapToGrid/>
        <w:ind w:left="0"/>
        <w:textAlignment w:val="auto"/>
        <w:rPr>
          <w:rFonts w:hint="eastAsia"/>
        </w:rPr>
      </w:pPr>
      <w:r>
        <w:rPr>
          <w:rFonts w:hint="eastAsia"/>
        </w:rPr>
        <w:t>《云南东锆新材料有限公司年产3万吨电熔氧化锆陶瓷产业基地建设项目安全预评价报告》（昭通市鼎安科技有限公司，2021年8月）；</w:t>
      </w:r>
    </w:p>
    <w:p w14:paraId="3C579A65">
      <w:pPr>
        <w:keepNext w:val="0"/>
        <w:keepLines w:val="0"/>
        <w:pageBreakBefore w:val="0"/>
        <w:widowControl w:val="0"/>
        <w:numPr>
          <w:ilvl w:val="0"/>
          <w:numId w:val="9"/>
        </w:numPr>
        <w:kinsoku/>
        <w:wordWrap/>
        <w:overflowPunct/>
        <w:topLinePunct w:val="0"/>
        <w:autoSpaceDE/>
        <w:autoSpaceDN/>
        <w:bidi w:val="0"/>
        <w:adjustRightInd w:val="0"/>
        <w:snapToGrid/>
        <w:ind w:left="0"/>
        <w:textAlignment w:val="auto"/>
        <w:rPr>
          <w:rFonts w:hint="eastAsia"/>
        </w:rPr>
      </w:pPr>
      <w:r>
        <w:rPr>
          <w:rFonts w:hint="eastAsia"/>
        </w:rPr>
        <w:t>《</w:t>
      </w:r>
      <w:r>
        <w:rPr>
          <w:rFonts w:hint="eastAsia"/>
          <w:lang w:eastAsia="zh-CN"/>
        </w:rPr>
        <w:t>云南东锆新材料有限公司年产3万吨电熔氧化锆陶瓷产业基地建设项目</w:t>
      </w:r>
      <w:r>
        <w:rPr>
          <w:rFonts w:hint="eastAsia"/>
        </w:rPr>
        <w:t>安全设施设计》（智诚建科设计有限公司，</w:t>
      </w:r>
      <w:r>
        <w:rPr>
          <w:rFonts w:hint="eastAsia"/>
          <w:lang w:val="en-US" w:eastAsia="zh-CN"/>
        </w:rPr>
        <w:t>2024年4月</w:t>
      </w:r>
      <w:r>
        <w:rPr>
          <w:rFonts w:hint="eastAsia"/>
        </w:rPr>
        <w:t>）；</w:t>
      </w:r>
    </w:p>
    <w:p w14:paraId="65882BBF">
      <w:pPr>
        <w:keepNext w:val="0"/>
        <w:keepLines w:val="0"/>
        <w:pageBreakBefore w:val="0"/>
        <w:widowControl w:val="0"/>
        <w:numPr>
          <w:ilvl w:val="0"/>
          <w:numId w:val="9"/>
        </w:numPr>
        <w:kinsoku/>
        <w:wordWrap/>
        <w:overflowPunct/>
        <w:topLinePunct w:val="0"/>
        <w:autoSpaceDE/>
        <w:autoSpaceDN/>
        <w:bidi w:val="0"/>
        <w:adjustRightInd w:val="0"/>
        <w:snapToGrid/>
        <w:ind w:left="0"/>
        <w:textAlignment w:val="auto"/>
        <w:rPr>
          <w:rFonts w:hint="eastAsia"/>
        </w:rPr>
      </w:pPr>
      <w:r>
        <w:rPr>
          <w:rFonts w:hint="eastAsia"/>
        </w:rPr>
        <w:t>防雷</w:t>
      </w:r>
      <w:r>
        <w:rPr>
          <w:rFonts w:hint="eastAsia"/>
          <w:lang w:val="en-US" w:eastAsia="zh-CN"/>
        </w:rPr>
        <w:t>接地</w:t>
      </w:r>
      <w:r>
        <w:rPr>
          <w:rFonts w:hint="eastAsia"/>
        </w:rPr>
        <w:t>检测报告；</w:t>
      </w:r>
    </w:p>
    <w:p w14:paraId="4F22617D">
      <w:pPr>
        <w:keepNext w:val="0"/>
        <w:keepLines w:val="0"/>
        <w:pageBreakBefore w:val="0"/>
        <w:widowControl w:val="0"/>
        <w:numPr>
          <w:ilvl w:val="0"/>
          <w:numId w:val="9"/>
        </w:numPr>
        <w:kinsoku/>
        <w:wordWrap/>
        <w:overflowPunct/>
        <w:topLinePunct w:val="0"/>
        <w:autoSpaceDE/>
        <w:autoSpaceDN/>
        <w:bidi w:val="0"/>
        <w:adjustRightInd w:val="0"/>
        <w:snapToGrid/>
        <w:ind w:left="0"/>
        <w:textAlignment w:val="auto"/>
        <w:rPr>
          <w:rFonts w:hint="eastAsia"/>
        </w:rPr>
      </w:pPr>
      <w:r>
        <w:rPr>
          <w:rFonts w:hint="eastAsia"/>
        </w:rPr>
        <w:t>竣工图；</w:t>
      </w:r>
    </w:p>
    <w:p w14:paraId="021A2D58">
      <w:pPr>
        <w:keepNext w:val="0"/>
        <w:keepLines w:val="0"/>
        <w:pageBreakBefore w:val="0"/>
        <w:widowControl w:val="0"/>
        <w:numPr>
          <w:ilvl w:val="0"/>
          <w:numId w:val="9"/>
        </w:numPr>
        <w:kinsoku/>
        <w:wordWrap/>
        <w:overflowPunct/>
        <w:topLinePunct w:val="0"/>
        <w:autoSpaceDE/>
        <w:autoSpaceDN/>
        <w:bidi w:val="0"/>
        <w:adjustRightInd w:val="0"/>
        <w:snapToGrid/>
        <w:ind w:left="0"/>
        <w:textAlignment w:val="auto"/>
        <w:rPr>
          <w:rFonts w:hint="eastAsia"/>
        </w:rPr>
      </w:pPr>
      <w:r>
        <w:rPr>
          <w:rFonts w:hint="eastAsia"/>
        </w:rPr>
        <w:t>竣工报告；</w:t>
      </w:r>
    </w:p>
    <w:p w14:paraId="746CE564">
      <w:pPr>
        <w:keepNext w:val="0"/>
        <w:keepLines w:val="0"/>
        <w:pageBreakBefore w:val="0"/>
        <w:widowControl w:val="0"/>
        <w:numPr>
          <w:ilvl w:val="0"/>
          <w:numId w:val="9"/>
        </w:numPr>
        <w:kinsoku/>
        <w:wordWrap/>
        <w:overflowPunct/>
        <w:topLinePunct w:val="0"/>
        <w:autoSpaceDE/>
        <w:autoSpaceDN/>
        <w:bidi w:val="0"/>
        <w:adjustRightInd w:val="0"/>
        <w:snapToGrid/>
        <w:ind w:left="0"/>
        <w:textAlignment w:val="auto"/>
        <w:rPr>
          <w:rFonts w:hint="eastAsia"/>
        </w:rPr>
      </w:pPr>
      <w:r>
        <w:rPr>
          <w:rFonts w:hint="eastAsia"/>
        </w:rPr>
        <w:t>监理报告；</w:t>
      </w:r>
    </w:p>
    <w:p w14:paraId="04C1DB6A">
      <w:pPr>
        <w:keepNext w:val="0"/>
        <w:keepLines w:val="0"/>
        <w:pageBreakBefore w:val="0"/>
        <w:widowControl w:val="0"/>
        <w:numPr>
          <w:ilvl w:val="0"/>
          <w:numId w:val="9"/>
        </w:numPr>
        <w:kinsoku/>
        <w:wordWrap/>
        <w:overflowPunct/>
        <w:topLinePunct w:val="0"/>
        <w:autoSpaceDE/>
        <w:autoSpaceDN/>
        <w:bidi w:val="0"/>
        <w:adjustRightInd w:val="0"/>
        <w:snapToGrid/>
        <w:ind w:left="0"/>
        <w:textAlignment w:val="auto"/>
      </w:pPr>
      <w:r>
        <w:rPr>
          <w:rFonts w:hint="eastAsia"/>
        </w:rPr>
        <w:t>类似工程资料及参考文献。</w:t>
      </w:r>
    </w:p>
    <w:p w14:paraId="5ED7779B">
      <w:pPr>
        <w:pStyle w:val="3"/>
        <w:keepNext w:val="0"/>
        <w:keepLines w:val="0"/>
        <w:pageBreakBefore w:val="0"/>
        <w:widowControl w:val="0"/>
        <w:kinsoku/>
        <w:wordWrap/>
        <w:overflowPunct/>
        <w:autoSpaceDE/>
        <w:autoSpaceDN/>
        <w:bidi w:val="0"/>
        <w:spacing w:line="500" w:lineRule="exact"/>
        <w:textAlignment w:val="auto"/>
        <w:rPr>
          <w:lang w:val="en-US" w:eastAsia="zh-CN"/>
        </w:rPr>
      </w:pPr>
      <w:bookmarkStart w:id="124" w:name="_Toc413501807"/>
      <w:bookmarkStart w:id="125" w:name="_Toc522811410"/>
      <w:bookmarkStart w:id="126" w:name="_Toc60925329"/>
      <w:bookmarkStart w:id="127" w:name="_Toc55567342"/>
      <w:bookmarkStart w:id="128" w:name="_Toc7139"/>
      <w:bookmarkStart w:id="129" w:name="_Toc55945223"/>
      <w:bookmarkStart w:id="130" w:name="_Toc531271034"/>
      <w:bookmarkStart w:id="131" w:name="_Toc30370"/>
      <w:bookmarkStart w:id="132" w:name="_Toc55033277"/>
      <w:bookmarkStart w:id="133" w:name="_Toc13207"/>
      <w:r>
        <w:rPr>
          <w:rFonts w:hint="eastAsia"/>
          <w:lang w:val="en-US" w:eastAsia="zh-CN"/>
        </w:rPr>
        <w:t>评价</w:t>
      </w:r>
      <w:r>
        <w:rPr>
          <w:lang w:val="en-US" w:eastAsia="zh-CN"/>
        </w:rPr>
        <w:t>程序</w:t>
      </w:r>
      <w:bookmarkEnd w:id="124"/>
      <w:bookmarkEnd w:id="125"/>
      <w:bookmarkEnd w:id="126"/>
      <w:bookmarkEnd w:id="127"/>
      <w:bookmarkEnd w:id="128"/>
      <w:bookmarkEnd w:id="129"/>
      <w:bookmarkEnd w:id="130"/>
      <w:bookmarkEnd w:id="131"/>
      <w:bookmarkEnd w:id="132"/>
      <w:bookmarkEnd w:id="133"/>
    </w:p>
    <w:p w14:paraId="7761E4B6">
      <w:pPr>
        <w:keepNext w:val="0"/>
        <w:keepLines w:val="0"/>
        <w:pageBreakBefore w:val="0"/>
        <w:widowControl w:val="0"/>
        <w:tabs>
          <w:tab w:val="left" w:pos="420"/>
        </w:tabs>
        <w:kinsoku/>
        <w:wordWrap/>
        <w:overflowPunct/>
        <w:topLinePunct/>
        <w:autoSpaceDE/>
        <w:autoSpaceDN/>
        <w:bidi w:val="0"/>
        <w:adjustRightInd w:val="0"/>
        <w:snapToGrid/>
        <w:spacing w:line="500" w:lineRule="exact"/>
        <w:ind w:firstLine="560"/>
        <w:jc w:val="left"/>
        <w:textAlignment w:val="auto"/>
        <w:rPr>
          <w:rFonts w:hint="eastAsia" w:ascii="Times New Roman" w:hAnsi="Times New Roman" w:eastAsia="宋体" w:cs="Times New Roman"/>
          <w:szCs w:val="28"/>
        </w:rPr>
      </w:pPr>
      <w:r>
        <w:rPr>
          <w:rFonts w:hint="eastAsia" w:ascii="Times New Roman" w:hAnsi="Times New Roman" w:eastAsia="宋体" w:cs="Times New Roman"/>
          <w:szCs w:val="28"/>
        </w:rPr>
        <w:t>依据《安全评价通则》（AQ8001-2007）、《安全验收评价导则》（AQ8003-2007）的相关规定，安全设施竣工验收程序主要分为前期准备；辨识与分析</w:t>
      </w:r>
      <w:r>
        <w:rPr>
          <w:rFonts w:hint="eastAsia" w:ascii="Times New Roman" w:hAnsi="Times New Roman" w:eastAsia="宋体" w:cs="Times New Roman"/>
          <w:szCs w:val="28"/>
          <w:lang w:eastAsia="zh-CN"/>
        </w:rPr>
        <w:t>危险有害因素</w:t>
      </w:r>
      <w:r>
        <w:rPr>
          <w:rFonts w:hint="eastAsia" w:ascii="Times New Roman" w:hAnsi="Times New Roman" w:eastAsia="宋体" w:cs="Times New Roman"/>
          <w:szCs w:val="28"/>
        </w:rPr>
        <w:t>；划分分析单元；选择</w:t>
      </w:r>
      <w:r>
        <w:rPr>
          <w:rFonts w:hint="eastAsia" w:ascii="Times New Roman" w:hAnsi="Times New Roman" w:eastAsia="宋体" w:cs="Times New Roman"/>
          <w:szCs w:val="28"/>
          <w:lang w:eastAsia="zh-CN"/>
        </w:rPr>
        <w:t>评价方法</w:t>
      </w:r>
      <w:r>
        <w:rPr>
          <w:rFonts w:hint="eastAsia" w:ascii="Times New Roman" w:hAnsi="Times New Roman" w:eastAsia="宋体" w:cs="Times New Roman"/>
          <w:szCs w:val="28"/>
        </w:rPr>
        <w:t>；定性定量分析；提出对策措施建议；作出分析结论；编制安全设施竣工验收报告等。安全设施竣工验收程序如图1-1所示。</w:t>
      </w:r>
    </w:p>
    <w:p w14:paraId="7B904F06">
      <w:pPr>
        <w:keepNext w:val="0"/>
        <w:keepLines w:val="0"/>
        <w:pageBreakBefore w:val="0"/>
        <w:widowControl w:val="0"/>
        <w:kinsoku/>
        <w:wordWrap/>
        <w:bidi w:val="0"/>
        <w:spacing w:before="0" w:beforeLines="-2147483648" w:line="240" w:lineRule="auto"/>
        <w:ind w:firstLine="0" w:firstLineChars="0"/>
        <w:jc w:val="center"/>
        <w:rPr>
          <w:rFonts w:ascii="宋体" w:hAnsi="宋体" w:eastAsia="宋体" w:cs="宋体"/>
          <w:b/>
          <w:kern w:val="2"/>
          <w:sz w:val="24"/>
          <w:szCs w:val="28"/>
          <w:lang w:val="en-US" w:eastAsia="zh-CN" w:bidi="ar-SA"/>
        </w:rPr>
      </w:pPr>
      <w:r>
        <w:rPr>
          <w:rFonts w:ascii="宋体" w:hAnsi="宋体" w:eastAsia="宋体" w:cs="宋体"/>
          <w:b/>
          <w:kern w:val="2"/>
          <w:sz w:val="24"/>
          <w:szCs w:val="28"/>
          <w:lang w:val="en-US" w:eastAsia="zh-CN" w:bidi="ar-SA"/>
        </w:rPr>
        <w:drawing>
          <wp:inline distT="0" distB="0" distL="114300" distR="114300">
            <wp:extent cx="1823085" cy="4156075"/>
            <wp:effectExtent l="0" t="0" r="0" b="0"/>
            <wp:docPr id="6"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6"/>
                    <pic:cNvPicPr>
                      <a:picLocks noChangeAspect="1"/>
                    </pic:cNvPicPr>
                  </pic:nvPicPr>
                  <pic:blipFill>
                    <a:blip r:embed="rId46"/>
                    <a:stretch>
                      <a:fillRect/>
                    </a:stretch>
                  </pic:blipFill>
                  <pic:spPr>
                    <a:xfrm>
                      <a:off x="0" y="0"/>
                      <a:ext cx="1823085" cy="4156075"/>
                    </a:xfrm>
                    <a:prstGeom prst="rect">
                      <a:avLst/>
                    </a:prstGeom>
                    <a:noFill/>
                    <a:ln>
                      <a:noFill/>
                    </a:ln>
                  </pic:spPr>
                </pic:pic>
              </a:graphicData>
            </a:graphic>
          </wp:inline>
        </w:drawing>
      </w:r>
    </w:p>
    <w:p w14:paraId="4E32BAD2">
      <w:pPr>
        <w:pStyle w:val="12"/>
        <w:keepNext w:val="0"/>
        <w:keepLines w:val="0"/>
        <w:pageBreakBefore w:val="0"/>
        <w:widowControl w:val="0"/>
        <w:kinsoku/>
        <w:bidi w:val="0"/>
        <w:rPr>
          <w:lang w:val="en-US" w:eastAsia="zh-CN"/>
        </w:rPr>
      </w:pPr>
      <w:r>
        <w:t xml:space="preserve">图 </w:t>
      </w:r>
      <w:r>
        <w:fldChar w:fldCharType="begin"/>
      </w:r>
      <w:r>
        <w:instrText xml:space="preserve"> STYLEREF 1 \s </w:instrText>
      </w:r>
      <w:r>
        <w:fldChar w:fldCharType="separate"/>
      </w:r>
      <w:r>
        <w:t>1</w:t>
      </w:r>
      <w:r>
        <w:fldChar w:fldCharType="end"/>
      </w:r>
      <w:r>
        <w:rPr>
          <w:rFonts w:hint="eastAsia"/>
          <w:lang w:eastAsia="zh-CN"/>
        </w:rPr>
        <w:t>-</w:t>
      </w:r>
      <w:r>
        <w:fldChar w:fldCharType="begin"/>
      </w:r>
      <w:r>
        <w:instrText xml:space="preserve"> SEQ 图 \* ARABIC \s 1 </w:instrText>
      </w:r>
      <w:r>
        <w:fldChar w:fldCharType="separate"/>
      </w:r>
      <w:r>
        <w:t>1</w:t>
      </w:r>
      <w:r>
        <w:fldChar w:fldCharType="end"/>
      </w:r>
      <w:r>
        <w:rPr>
          <w:rFonts w:hint="eastAsia"/>
          <w:lang w:val="en-US" w:eastAsia="zh-CN"/>
        </w:rPr>
        <w:t>安全设施竣工验收</w:t>
      </w:r>
      <w:r>
        <w:rPr>
          <w:lang w:val="en-US" w:eastAsia="zh-CN"/>
        </w:rPr>
        <w:t>程序图</w:t>
      </w:r>
    </w:p>
    <w:p w14:paraId="7522C267">
      <w:pPr>
        <w:pStyle w:val="3"/>
        <w:keepNext w:val="0"/>
        <w:keepLines w:val="0"/>
        <w:pageBreakBefore w:val="0"/>
        <w:widowControl w:val="0"/>
        <w:kinsoku/>
        <w:bidi w:val="0"/>
        <w:rPr>
          <w:lang w:val="en-US" w:eastAsia="zh-CN"/>
        </w:rPr>
      </w:pPr>
      <w:bookmarkStart w:id="134" w:name="_Toc20100"/>
      <w:bookmarkStart w:id="135" w:name="_Toc1514"/>
      <w:bookmarkStart w:id="136" w:name="_Toc1844"/>
      <w:bookmarkStart w:id="137" w:name="_Toc407"/>
      <w:r>
        <w:rPr>
          <w:rFonts w:hint="eastAsia"/>
          <w:lang w:val="en-US" w:eastAsia="zh-CN"/>
        </w:rPr>
        <w:t>评价报告使用权声明</w:t>
      </w:r>
      <w:bookmarkEnd w:id="134"/>
      <w:bookmarkEnd w:id="135"/>
      <w:bookmarkEnd w:id="136"/>
    </w:p>
    <w:p w14:paraId="05C17033">
      <w:pPr>
        <w:keepNext w:val="0"/>
        <w:keepLines w:val="0"/>
        <w:pageBreakBefore w:val="0"/>
        <w:widowControl w:val="0"/>
        <w:kinsoku/>
        <w:wordWrap/>
        <w:bidi w:val="0"/>
        <w:ind w:firstLine="560"/>
        <w:jc w:val="left"/>
        <w:rPr>
          <w:rFonts w:hint="eastAsia" w:ascii="宋体" w:hAnsi="宋体" w:eastAsia="宋体" w:cs="宋体"/>
        </w:rPr>
      </w:pPr>
      <w:r>
        <w:rPr>
          <w:rFonts w:hint="eastAsia" w:ascii="宋体" w:hAnsi="宋体" w:eastAsia="宋体" w:cs="宋体"/>
        </w:rPr>
        <w:t>本评价报告是受</w:t>
      </w:r>
      <w:r>
        <w:rPr>
          <w:rFonts w:hint="eastAsia" w:ascii="宋体" w:hAnsi="宋体" w:eastAsia="宋体" w:cs="宋体"/>
          <w:lang w:eastAsia="zh-CN"/>
        </w:rPr>
        <w:t>云南东锆新材料有限公司</w:t>
      </w:r>
      <w:r>
        <w:rPr>
          <w:rFonts w:hint="eastAsia" w:ascii="宋体" w:hAnsi="宋体" w:eastAsia="宋体" w:cs="宋体"/>
        </w:rPr>
        <w:t>委托而编制的，专属委托方使用。除按规定上报各级应急部门外，昭通市鼎安科技有限公司不会将本评价报告内容向其他任何单位和个人提供，也不会将本评价报告的全部或部分内容在媒体上或以其他形式公开发表（安全评价技术研究成果除外）。</w:t>
      </w:r>
    </w:p>
    <w:p w14:paraId="3D444C59">
      <w:pPr>
        <w:pStyle w:val="3"/>
        <w:keepNext w:val="0"/>
        <w:keepLines w:val="0"/>
        <w:pageBreakBefore w:val="0"/>
        <w:widowControl w:val="0"/>
        <w:kinsoku/>
        <w:bidi w:val="0"/>
        <w:rPr>
          <w:lang w:val="en-US" w:eastAsia="zh-CN"/>
        </w:rPr>
      </w:pPr>
      <w:bookmarkStart w:id="138" w:name="_Toc3341"/>
      <w:bookmarkStart w:id="139" w:name="_Toc19181"/>
      <w:bookmarkStart w:id="140" w:name="_Toc24881"/>
      <w:r>
        <w:rPr>
          <w:rFonts w:hint="eastAsia"/>
          <w:lang w:val="en-US" w:eastAsia="zh-CN"/>
        </w:rPr>
        <w:t>评价基准日</w:t>
      </w:r>
      <w:bookmarkEnd w:id="137"/>
      <w:bookmarkEnd w:id="138"/>
      <w:bookmarkEnd w:id="139"/>
      <w:bookmarkEnd w:id="140"/>
    </w:p>
    <w:p w14:paraId="1257058E">
      <w:pPr>
        <w:bidi w:val="0"/>
        <w:rPr>
          <w:rFonts w:hint="eastAsia"/>
        </w:rPr>
        <w:sectPr>
          <w:footerReference r:id="rId13" w:type="default"/>
          <w:pgSz w:w="11907" w:h="16840"/>
          <w:pgMar w:top="1440" w:right="1800" w:bottom="1440" w:left="1800" w:header="850" w:footer="992" w:gutter="0"/>
          <w:pgBorders>
            <w:top w:val="none" w:sz="0" w:space="0"/>
            <w:left w:val="none" w:sz="0" w:space="0"/>
            <w:bottom w:val="none" w:sz="0" w:space="0"/>
            <w:right w:val="none" w:sz="0" w:space="0"/>
          </w:pgBorders>
          <w:pgNumType w:fmt="decimal" w:start="1"/>
          <w:cols w:space="720" w:num="1"/>
          <w:docGrid w:linePitch="312" w:charSpace="0"/>
        </w:sectPr>
      </w:pPr>
      <w:r>
        <w:rPr>
          <w:rFonts w:hint="eastAsia"/>
        </w:rPr>
        <w:t>202</w:t>
      </w:r>
      <w:r>
        <w:rPr>
          <w:rFonts w:hint="eastAsia"/>
          <w:lang w:val="en-US" w:eastAsia="zh-CN"/>
        </w:rPr>
        <w:t>4</w:t>
      </w:r>
      <w:r>
        <w:rPr>
          <w:rFonts w:hint="eastAsia"/>
        </w:rPr>
        <w:t>年</w:t>
      </w:r>
      <w:r>
        <w:rPr>
          <w:rFonts w:hint="eastAsia"/>
          <w:lang w:val="en-US" w:eastAsia="zh-CN"/>
        </w:rPr>
        <w:t>7</w:t>
      </w:r>
      <w:r>
        <w:rPr>
          <w:rFonts w:hint="eastAsia"/>
        </w:rPr>
        <w:t>月</w:t>
      </w:r>
      <w:r>
        <w:rPr>
          <w:rFonts w:hint="eastAsia"/>
          <w:lang w:val="en-US" w:eastAsia="zh-CN"/>
        </w:rPr>
        <w:t>25</w:t>
      </w:r>
      <w:r>
        <w:rPr>
          <w:rFonts w:hint="eastAsia"/>
        </w:rPr>
        <w:t>日。</w:t>
      </w:r>
    </w:p>
    <w:p w14:paraId="496BFA3F">
      <w:pPr>
        <w:pStyle w:val="2"/>
        <w:keepNext w:val="0"/>
        <w:keepLines w:val="0"/>
        <w:pageBreakBefore w:val="0"/>
        <w:widowControl w:val="0"/>
        <w:kinsoku/>
        <w:bidi w:val="0"/>
        <w:rPr>
          <w:lang w:val="en-US" w:eastAsia="zh-CN"/>
        </w:rPr>
      </w:pPr>
      <w:bookmarkStart w:id="141" w:name="_Toc55567345"/>
      <w:bookmarkStart w:id="142" w:name="_Toc55033280"/>
      <w:bookmarkStart w:id="143" w:name="_Toc55945224"/>
      <w:bookmarkStart w:id="144" w:name="_Toc60925330"/>
      <w:bookmarkStart w:id="145" w:name="_Toc413501809"/>
      <w:bookmarkStart w:id="146" w:name="_Toc13131"/>
      <w:bookmarkStart w:id="147" w:name="_Toc522811413"/>
      <w:bookmarkStart w:id="148" w:name="_Toc26075"/>
      <w:bookmarkStart w:id="149" w:name="_Toc531271037"/>
      <w:bookmarkStart w:id="150" w:name="_Toc2088"/>
      <w:r>
        <w:rPr>
          <w:rFonts w:hint="eastAsia"/>
          <w:lang w:val="en-US" w:eastAsia="zh-CN"/>
        </w:rPr>
        <w:t>建设项目概况</w:t>
      </w:r>
      <w:bookmarkEnd w:id="141"/>
      <w:bookmarkEnd w:id="142"/>
      <w:bookmarkEnd w:id="143"/>
      <w:bookmarkEnd w:id="144"/>
      <w:bookmarkEnd w:id="145"/>
      <w:bookmarkEnd w:id="146"/>
      <w:bookmarkEnd w:id="147"/>
      <w:bookmarkEnd w:id="148"/>
      <w:bookmarkEnd w:id="149"/>
      <w:bookmarkEnd w:id="150"/>
      <w:bookmarkStart w:id="151" w:name="_Toc531271038"/>
      <w:bookmarkStart w:id="152" w:name="_Toc522811414"/>
      <w:bookmarkStart w:id="153" w:name="_Toc55033281"/>
      <w:bookmarkStart w:id="154" w:name="_Toc60925331"/>
      <w:bookmarkStart w:id="155" w:name="_Toc413501810"/>
      <w:bookmarkStart w:id="156" w:name="_Toc55945225"/>
      <w:bookmarkStart w:id="157" w:name="_Toc55567346"/>
    </w:p>
    <w:bookmarkEnd w:id="151"/>
    <w:bookmarkEnd w:id="152"/>
    <w:bookmarkEnd w:id="153"/>
    <w:bookmarkEnd w:id="154"/>
    <w:bookmarkEnd w:id="155"/>
    <w:bookmarkEnd w:id="156"/>
    <w:bookmarkEnd w:id="157"/>
    <w:p w14:paraId="75421C4C">
      <w:pPr>
        <w:pStyle w:val="3"/>
        <w:keepNext w:val="0"/>
        <w:keepLines w:val="0"/>
        <w:pageBreakBefore w:val="0"/>
        <w:widowControl w:val="0"/>
        <w:kinsoku/>
        <w:bidi w:val="0"/>
        <w:rPr>
          <w:rFonts w:hint="default"/>
          <w:lang w:val="en-US" w:eastAsia="zh-CN"/>
        </w:rPr>
      </w:pPr>
      <w:bookmarkStart w:id="158" w:name="_Toc6700"/>
      <w:r>
        <w:rPr>
          <w:rFonts w:hint="eastAsia"/>
          <w:lang w:val="en-US" w:eastAsia="zh-CN"/>
        </w:rPr>
        <w:t>建设单位基本情况表</w:t>
      </w:r>
      <w:bookmarkEnd w:id="158"/>
    </w:p>
    <w:p w14:paraId="4F4193F5">
      <w:pPr>
        <w:keepNext w:val="0"/>
        <w:keepLines w:val="0"/>
        <w:pageBreakBefore w:val="0"/>
        <w:widowControl w:val="0"/>
        <w:kinsoku/>
        <w:wordWrap/>
        <w:overflowPunct/>
        <w:topLinePunct w:val="0"/>
        <w:autoSpaceDE/>
        <w:autoSpaceDN/>
        <w:bidi w:val="0"/>
        <w:adjustRightInd w:val="0"/>
        <w:snapToGrid/>
        <w:ind w:firstLine="562"/>
        <w:textAlignment w:val="auto"/>
        <w:rPr>
          <w:rFonts w:hint="eastAsia" w:ascii="宋体" w:hAnsi="宋体" w:eastAsia="宋体" w:cs="宋体"/>
          <w:b/>
          <w:bCs/>
          <w:color w:val="000000"/>
          <w:szCs w:val="28"/>
          <w:lang w:eastAsia="zh-CN"/>
        </w:rPr>
      </w:pPr>
      <w:r>
        <w:rPr>
          <w:rFonts w:hint="eastAsia" w:ascii="宋体" w:hAnsi="宋体" w:cs="宋体"/>
          <w:b/>
          <w:bCs/>
          <w:color w:val="000000"/>
          <w:szCs w:val="28"/>
        </w:rPr>
        <w:t>企业营业执照信息</w:t>
      </w:r>
      <w:r>
        <w:rPr>
          <w:rFonts w:hint="eastAsia" w:ascii="宋体" w:hAnsi="宋体" w:cs="宋体"/>
          <w:b/>
          <w:bCs/>
          <w:color w:val="000000"/>
          <w:szCs w:val="28"/>
          <w:lang w:eastAsia="zh-CN"/>
        </w:rPr>
        <w:t>：</w:t>
      </w:r>
    </w:p>
    <w:p w14:paraId="3F47A3BD">
      <w:pPr>
        <w:keepNext w:val="0"/>
        <w:keepLines w:val="0"/>
        <w:pageBreakBefore w:val="0"/>
        <w:widowControl w:val="0"/>
        <w:kinsoku/>
        <w:wordWrap/>
        <w:overflowPunct/>
        <w:topLinePunct w:val="0"/>
        <w:autoSpaceDE/>
        <w:autoSpaceDN/>
        <w:bidi w:val="0"/>
        <w:adjustRightInd w:val="0"/>
        <w:snapToGrid/>
        <w:ind w:firstLine="562"/>
        <w:jc w:val="left"/>
        <w:textAlignment w:val="auto"/>
        <w:rPr>
          <w:rFonts w:hint="eastAsia" w:ascii="宋体" w:hAnsi="宋体" w:eastAsia="宋体" w:cs="宋体"/>
          <w:color w:val="000000"/>
          <w:szCs w:val="28"/>
          <w:lang w:eastAsia="zh-CN"/>
        </w:rPr>
      </w:pPr>
      <w:r>
        <w:rPr>
          <w:rFonts w:hint="eastAsia" w:ascii="宋体" w:hAnsi="宋体" w:cs="宋体"/>
          <w:b/>
          <w:bCs/>
          <w:color w:val="000000"/>
          <w:szCs w:val="28"/>
        </w:rPr>
        <w:t>统一社会信用代码：</w:t>
      </w:r>
      <w:r>
        <w:rPr>
          <w:rFonts w:hint="eastAsia" w:cs="宋体"/>
          <w:color w:val="000000"/>
          <w:szCs w:val="28"/>
          <w:lang w:eastAsia="zh-CN"/>
        </w:rPr>
        <w:t>91532331MA6Q1R7A71</w:t>
      </w:r>
    </w:p>
    <w:p w14:paraId="127EC885">
      <w:pPr>
        <w:keepNext w:val="0"/>
        <w:keepLines w:val="0"/>
        <w:pageBreakBefore w:val="0"/>
        <w:widowControl w:val="0"/>
        <w:kinsoku/>
        <w:wordWrap/>
        <w:overflowPunct/>
        <w:topLinePunct w:val="0"/>
        <w:autoSpaceDE/>
        <w:autoSpaceDN/>
        <w:bidi w:val="0"/>
        <w:adjustRightInd w:val="0"/>
        <w:snapToGrid/>
        <w:ind w:firstLine="562"/>
        <w:textAlignment w:val="auto"/>
        <w:rPr>
          <w:rFonts w:hint="eastAsia" w:ascii="宋体" w:hAnsi="宋体" w:eastAsia="宋体" w:cs="宋体"/>
          <w:color w:val="000000"/>
          <w:szCs w:val="28"/>
          <w:lang w:eastAsia="zh-CN"/>
        </w:rPr>
      </w:pPr>
      <w:r>
        <w:rPr>
          <w:rFonts w:hint="eastAsia" w:ascii="宋体" w:hAnsi="宋体" w:cs="宋体"/>
          <w:b/>
          <w:bCs/>
          <w:color w:val="000000"/>
          <w:szCs w:val="28"/>
        </w:rPr>
        <w:t>名    称：</w:t>
      </w:r>
      <w:r>
        <w:rPr>
          <w:rFonts w:hint="eastAsia" w:cs="宋体"/>
          <w:color w:val="000000"/>
          <w:szCs w:val="28"/>
          <w:lang w:eastAsia="zh-CN"/>
        </w:rPr>
        <w:t>云南东锆新材料有限公司</w:t>
      </w:r>
    </w:p>
    <w:p w14:paraId="5795B3BE">
      <w:pPr>
        <w:keepNext w:val="0"/>
        <w:keepLines w:val="0"/>
        <w:pageBreakBefore w:val="0"/>
        <w:widowControl w:val="0"/>
        <w:kinsoku/>
        <w:wordWrap/>
        <w:overflowPunct/>
        <w:topLinePunct w:val="0"/>
        <w:autoSpaceDE/>
        <w:autoSpaceDN/>
        <w:bidi w:val="0"/>
        <w:adjustRightInd w:val="0"/>
        <w:snapToGrid/>
        <w:ind w:firstLine="562"/>
        <w:textAlignment w:val="auto"/>
        <w:rPr>
          <w:rFonts w:hint="eastAsia" w:ascii="宋体" w:hAnsi="宋体" w:eastAsia="宋体" w:cs="宋体"/>
          <w:color w:val="000000"/>
          <w:szCs w:val="28"/>
          <w:lang w:eastAsia="zh-CN"/>
        </w:rPr>
      </w:pPr>
      <w:r>
        <w:rPr>
          <w:rFonts w:hint="eastAsia" w:ascii="宋体" w:hAnsi="宋体" w:cs="宋体"/>
          <w:b/>
          <w:bCs/>
          <w:color w:val="000000"/>
          <w:szCs w:val="28"/>
        </w:rPr>
        <w:t>类    型：</w:t>
      </w:r>
      <w:r>
        <w:rPr>
          <w:rFonts w:hint="eastAsia" w:cs="宋体"/>
          <w:color w:val="000000"/>
          <w:szCs w:val="28"/>
          <w:lang w:eastAsia="zh-CN"/>
        </w:rPr>
        <w:t>有限责任公司（非自然人投资或控股的法人独资）</w:t>
      </w:r>
    </w:p>
    <w:p w14:paraId="21EFF10D">
      <w:pPr>
        <w:keepNext w:val="0"/>
        <w:keepLines w:val="0"/>
        <w:pageBreakBefore w:val="0"/>
        <w:widowControl w:val="0"/>
        <w:kinsoku/>
        <w:wordWrap/>
        <w:overflowPunct/>
        <w:topLinePunct w:val="0"/>
        <w:autoSpaceDE/>
        <w:autoSpaceDN/>
        <w:bidi w:val="0"/>
        <w:adjustRightInd w:val="0"/>
        <w:snapToGrid/>
        <w:ind w:firstLine="562"/>
        <w:textAlignment w:val="auto"/>
        <w:rPr>
          <w:rFonts w:hint="eastAsia" w:ascii="宋体" w:hAnsi="宋体" w:eastAsia="宋体" w:cs="宋体"/>
          <w:color w:val="000000"/>
          <w:szCs w:val="28"/>
          <w:lang w:eastAsia="zh-CN"/>
        </w:rPr>
      </w:pPr>
      <w:r>
        <w:rPr>
          <w:rFonts w:hint="eastAsia" w:ascii="宋体" w:hAnsi="宋体" w:cs="宋体"/>
          <w:b/>
          <w:bCs/>
          <w:color w:val="000000"/>
          <w:szCs w:val="28"/>
        </w:rPr>
        <w:t>法定代表人：</w:t>
      </w:r>
      <w:r>
        <w:rPr>
          <w:rFonts w:hint="eastAsia" w:cs="宋体"/>
          <w:color w:val="000000"/>
          <w:szCs w:val="28"/>
          <w:lang w:eastAsia="zh-CN"/>
        </w:rPr>
        <w:t>赵康康</w:t>
      </w:r>
    </w:p>
    <w:p w14:paraId="6193C547">
      <w:pPr>
        <w:keepNext w:val="0"/>
        <w:keepLines w:val="0"/>
        <w:pageBreakBefore w:val="0"/>
        <w:widowControl w:val="0"/>
        <w:kinsoku/>
        <w:wordWrap/>
        <w:overflowPunct/>
        <w:topLinePunct w:val="0"/>
        <w:autoSpaceDE/>
        <w:autoSpaceDN/>
        <w:bidi w:val="0"/>
        <w:adjustRightInd w:val="0"/>
        <w:snapToGrid/>
        <w:ind w:firstLine="562"/>
        <w:textAlignment w:val="auto"/>
        <w:rPr>
          <w:rFonts w:hint="eastAsia" w:ascii="宋体" w:hAnsi="宋体" w:cs="宋体"/>
          <w:color w:val="000000"/>
          <w:szCs w:val="28"/>
        </w:rPr>
      </w:pPr>
      <w:r>
        <w:rPr>
          <w:rFonts w:hint="eastAsia" w:ascii="宋体" w:hAnsi="宋体" w:cs="宋体"/>
          <w:b/>
          <w:bCs/>
          <w:color w:val="000000"/>
          <w:szCs w:val="28"/>
        </w:rPr>
        <w:t>注册资本：</w:t>
      </w:r>
      <w:r>
        <w:rPr>
          <w:rFonts w:hint="eastAsia" w:cs="宋体"/>
          <w:color w:val="000000"/>
          <w:szCs w:val="28"/>
          <w:lang w:eastAsia="zh-CN"/>
        </w:rPr>
        <w:t>5,000万（元）</w:t>
      </w:r>
    </w:p>
    <w:p w14:paraId="0DB6E9B9">
      <w:pPr>
        <w:keepNext w:val="0"/>
        <w:keepLines w:val="0"/>
        <w:pageBreakBefore w:val="0"/>
        <w:widowControl w:val="0"/>
        <w:kinsoku/>
        <w:wordWrap/>
        <w:overflowPunct/>
        <w:topLinePunct w:val="0"/>
        <w:autoSpaceDE/>
        <w:autoSpaceDN/>
        <w:bidi w:val="0"/>
        <w:adjustRightInd w:val="0"/>
        <w:snapToGrid/>
        <w:ind w:firstLine="562"/>
        <w:textAlignment w:val="auto"/>
        <w:rPr>
          <w:rFonts w:hint="eastAsia" w:ascii="宋体" w:hAnsi="宋体" w:eastAsia="宋体" w:cs="宋体"/>
          <w:color w:val="000000"/>
          <w:szCs w:val="28"/>
          <w:lang w:eastAsia="zh-CN"/>
        </w:rPr>
      </w:pPr>
      <w:r>
        <w:rPr>
          <w:rFonts w:hint="eastAsia" w:ascii="宋体" w:hAnsi="宋体" w:cs="宋体"/>
          <w:b/>
          <w:bCs/>
          <w:color w:val="000000"/>
          <w:szCs w:val="28"/>
        </w:rPr>
        <w:t>成立日期：</w:t>
      </w:r>
      <w:r>
        <w:rPr>
          <w:rFonts w:hint="eastAsia" w:cs="宋体"/>
          <w:color w:val="000000"/>
          <w:szCs w:val="28"/>
          <w:lang w:eastAsia="zh-CN"/>
        </w:rPr>
        <w:t>2021年01月15日</w:t>
      </w:r>
    </w:p>
    <w:p w14:paraId="5E9E8A9B">
      <w:pPr>
        <w:keepNext w:val="0"/>
        <w:keepLines w:val="0"/>
        <w:pageBreakBefore w:val="0"/>
        <w:widowControl w:val="0"/>
        <w:kinsoku/>
        <w:wordWrap/>
        <w:overflowPunct/>
        <w:topLinePunct w:val="0"/>
        <w:autoSpaceDE/>
        <w:autoSpaceDN/>
        <w:bidi w:val="0"/>
        <w:adjustRightInd w:val="0"/>
        <w:snapToGrid/>
        <w:ind w:firstLine="562"/>
        <w:textAlignment w:val="auto"/>
        <w:rPr>
          <w:rFonts w:hint="eastAsia" w:ascii="宋体" w:hAnsi="宋体" w:eastAsia="宋体" w:cs="宋体"/>
          <w:color w:val="000000"/>
          <w:szCs w:val="28"/>
          <w:lang w:eastAsia="zh-CN"/>
        </w:rPr>
      </w:pPr>
      <w:r>
        <w:rPr>
          <w:rFonts w:hint="eastAsia" w:ascii="宋体" w:hAnsi="宋体" w:cs="宋体"/>
          <w:b/>
          <w:bCs/>
          <w:color w:val="000000"/>
          <w:szCs w:val="28"/>
        </w:rPr>
        <w:t>住    所：</w:t>
      </w:r>
      <w:r>
        <w:rPr>
          <w:rFonts w:hint="eastAsia" w:cs="宋体"/>
          <w:color w:val="000000"/>
          <w:szCs w:val="28"/>
          <w:lang w:eastAsia="zh-CN"/>
        </w:rPr>
        <w:t>云南省楚雄彝族自治州禄丰县勤丰镇羊街村</w:t>
      </w:r>
    </w:p>
    <w:p w14:paraId="40EB075C">
      <w:pPr>
        <w:keepNext w:val="0"/>
        <w:keepLines w:val="0"/>
        <w:pageBreakBefore w:val="0"/>
        <w:widowControl w:val="0"/>
        <w:kinsoku/>
        <w:wordWrap/>
        <w:overflowPunct/>
        <w:topLinePunct w:val="0"/>
        <w:autoSpaceDE/>
        <w:autoSpaceDN/>
        <w:bidi w:val="0"/>
        <w:adjustRightInd w:val="0"/>
        <w:snapToGrid/>
        <w:textAlignment w:val="auto"/>
        <w:rPr>
          <w:rFonts w:hint="eastAsia"/>
        </w:rPr>
      </w:pPr>
      <w:r>
        <w:rPr>
          <w:rFonts w:hint="eastAsia"/>
          <w:b/>
          <w:bCs/>
        </w:rPr>
        <w:t>经营范围：</w:t>
      </w:r>
      <w:r>
        <w:rPr>
          <w:rFonts w:hint="eastAsia"/>
          <w:lang w:eastAsia="zh-CN"/>
        </w:rPr>
        <w:t>二氧化锆系列制品的研制开发、生产、销售及技术服务。（依法须经批准的项目，经相关部门批准后方可开展经营活动）</w:t>
      </w:r>
      <w:r>
        <w:rPr>
          <w:rFonts w:hint="eastAsia"/>
        </w:rPr>
        <w:t>。</w:t>
      </w:r>
    </w:p>
    <w:p w14:paraId="1CE81971">
      <w:pPr>
        <w:keepNext w:val="0"/>
        <w:keepLines w:val="0"/>
        <w:pageBreakBefore w:val="0"/>
        <w:widowControl w:val="0"/>
        <w:kinsoku/>
        <w:wordWrap/>
        <w:overflowPunct/>
        <w:topLinePunct w:val="0"/>
        <w:autoSpaceDE/>
        <w:autoSpaceDN/>
        <w:bidi w:val="0"/>
        <w:adjustRightInd w:val="0"/>
        <w:snapToGrid/>
        <w:textAlignment w:val="auto"/>
        <w:rPr>
          <w:rFonts w:hint="default"/>
          <w:lang w:val="en-US" w:eastAsia="zh-CN"/>
        </w:rPr>
      </w:pPr>
      <w:r>
        <w:rPr>
          <w:rFonts w:hint="eastAsia"/>
          <w:lang w:eastAsia="zh-CN"/>
        </w:rPr>
        <w:t>云南东锆新材料有限公司是广东东方锆业科技股份有限公司的全资子公司，是国内锆行业中技术领先、规模居前，具有核心竞争力和综合实力的知名企业，更是同行中品种最齐全的锆制品生产商之一。随着经济的发展，目前，国内建筑用氧化钙材料需求量越来越大，经济效益相当可观，市场前景十分广阔。为了抓住这一市场机遇，云南东锆新材料有限公司投资69736.30万</w:t>
      </w:r>
      <w:r>
        <w:rPr>
          <w:rFonts w:hint="eastAsia"/>
          <w:lang w:val="en-US" w:eastAsia="zh-CN"/>
        </w:rPr>
        <w:t>元</w:t>
      </w:r>
      <w:r>
        <w:rPr>
          <w:rFonts w:hint="eastAsia"/>
          <w:lang w:eastAsia="zh-CN"/>
        </w:rPr>
        <w:t>，建设年产3万吨电熔氧化锆陶瓷产业基地建设项目（以下简称“该项目”），项目分为两期建设（一期：10000t/a 单斜电熔锆装置及配套设施，以及必要的辅助生产设施；二期建设10000t/a单斜电熔锆装置、10000t/a稳定电熔锆装置及配套）。</w:t>
      </w:r>
    </w:p>
    <w:p w14:paraId="1E5F6C4C">
      <w:pPr>
        <w:pStyle w:val="3"/>
        <w:keepNext w:val="0"/>
        <w:keepLines w:val="0"/>
        <w:pageBreakBefore w:val="0"/>
        <w:widowControl w:val="0"/>
        <w:kinsoku/>
        <w:bidi w:val="0"/>
        <w:rPr>
          <w:rFonts w:hint="eastAsia"/>
          <w:lang w:val="en-US" w:eastAsia="zh-CN"/>
        </w:rPr>
      </w:pPr>
      <w:bookmarkStart w:id="159" w:name="_Toc4949"/>
      <w:bookmarkStart w:id="160" w:name="_Toc60925332"/>
      <w:bookmarkStart w:id="161" w:name="_Toc13574"/>
      <w:bookmarkStart w:id="162" w:name="_Toc55945226"/>
      <w:bookmarkStart w:id="163" w:name="_Toc7770"/>
      <w:r>
        <w:rPr>
          <w:rFonts w:hint="eastAsia"/>
          <w:lang w:val="en-US" w:eastAsia="zh-CN"/>
        </w:rPr>
        <w:t>建设项目性质</w:t>
      </w:r>
      <w:bookmarkEnd w:id="159"/>
      <w:bookmarkEnd w:id="160"/>
      <w:bookmarkEnd w:id="161"/>
      <w:bookmarkEnd w:id="162"/>
      <w:bookmarkEnd w:id="163"/>
    </w:p>
    <w:p w14:paraId="0E3ADE76">
      <w:pPr>
        <w:keepNext w:val="0"/>
        <w:keepLines w:val="0"/>
        <w:pageBreakBefore w:val="0"/>
        <w:widowControl w:val="0"/>
        <w:kinsoku/>
        <w:wordWrap/>
        <w:overflowPunct/>
        <w:topLinePunct w:val="0"/>
        <w:autoSpaceDE/>
        <w:autoSpaceDN/>
        <w:bidi w:val="0"/>
        <w:adjustRightInd w:val="0"/>
        <w:snapToGrid/>
        <w:textAlignment w:val="auto"/>
        <w:rPr>
          <w:rFonts w:hint="eastAsia" w:ascii="宋体" w:hAnsi="宋体" w:eastAsia="宋体" w:cs="Times New Roman"/>
          <w:lang w:eastAsia="zh-CN"/>
        </w:rPr>
      </w:pPr>
      <w:r>
        <w:rPr>
          <w:rFonts w:hint="eastAsia" w:ascii="宋体" w:hAnsi="宋体" w:eastAsia="宋体" w:cs="Times New Roman"/>
          <w:lang w:eastAsia="zh-CN"/>
        </w:rPr>
        <w:t>建设项目性质：新建。</w:t>
      </w:r>
    </w:p>
    <w:p w14:paraId="4871AA08">
      <w:pPr>
        <w:pStyle w:val="3"/>
        <w:keepNext w:val="0"/>
        <w:keepLines w:val="0"/>
        <w:pageBreakBefore w:val="0"/>
        <w:widowControl w:val="0"/>
        <w:kinsoku/>
        <w:bidi w:val="0"/>
        <w:rPr>
          <w:rFonts w:hint="default"/>
          <w:lang w:val="en-US" w:eastAsia="zh-CN"/>
        </w:rPr>
      </w:pPr>
      <w:bookmarkStart w:id="164" w:name="_Toc7339"/>
      <w:bookmarkStart w:id="165" w:name="_Toc12353"/>
      <w:bookmarkStart w:id="166" w:name="_Toc13903"/>
      <w:bookmarkStart w:id="167" w:name="_Toc15411"/>
      <w:bookmarkStart w:id="168" w:name="_Toc7298"/>
      <w:r>
        <w:rPr>
          <w:rFonts w:hint="default"/>
          <w:lang w:val="en-US" w:eastAsia="zh-CN"/>
        </w:rPr>
        <w:t>产业政策</w:t>
      </w:r>
      <w:bookmarkEnd w:id="164"/>
      <w:bookmarkEnd w:id="165"/>
      <w:bookmarkEnd w:id="166"/>
    </w:p>
    <w:p w14:paraId="7929D0F5">
      <w:pPr>
        <w:keepNext w:val="0"/>
        <w:keepLines w:val="0"/>
        <w:pageBreakBefore w:val="0"/>
        <w:widowControl w:val="0"/>
        <w:kinsoku/>
        <w:wordWrap/>
        <w:overflowPunct/>
        <w:topLinePunct w:val="0"/>
        <w:autoSpaceDE/>
        <w:autoSpaceDN/>
        <w:bidi w:val="0"/>
        <w:adjustRightInd w:val="0"/>
        <w:snapToGrid/>
        <w:textAlignment w:val="auto"/>
        <w:rPr>
          <w:rFonts w:hint="eastAsia" w:ascii="宋体" w:hAnsi="宋体" w:eastAsia="宋体" w:cs="Times New Roman"/>
          <w:lang w:eastAsia="zh-CN"/>
        </w:rPr>
      </w:pPr>
      <w:r>
        <w:rPr>
          <w:rFonts w:hint="eastAsia" w:ascii="宋体" w:hAnsi="宋体" w:eastAsia="宋体" w:cs="Times New Roman"/>
          <w:lang w:eastAsia="zh-CN"/>
        </w:rPr>
        <w:t>本项目</w:t>
      </w:r>
      <w:r>
        <w:rPr>
          <w:rFonts w:hint="eastAsia" w:ascii="宋体" w:hAnsi="宋体" w:eastAsia="宋体" w:cs="Times New Roman"/>
          <w:lang w:val="en-US" w:eastAsia="zh-CN"/>
        </w:rPr>
        <w:t>不在</w:t>
      </w:r>
      <w:r>
        <w:rPr>
          <w:rFonts w:hint="eastAsia" w:ascii="宋体" w:hAnsi="宋体" w:eastAsia="宋体" w:cs="Times New Roman"/>
          <w:lang w:eastAsia="zh-CN"/>
        </w:rPr>
        <w:t>《产业结构调整指导目录（20</w:t>
      </w:r>
      <w:r>
        <w:rPr>
          <w:rFonts w:hint="eastAsia" w:ascii="宋体" w:hAnsi="宋体" w:eastAsia="宋体" w:cs="Times New Roman"/>
          <w:lang w:val="en-US" w:eastAsia="zh-CN"/>
        </w:rPr>
        <w:t>24</w:t>
      </w:r>
      <w:r>
        <w:rPr>
          <w:rFonts w:hint="eastAsia" w:ascii="宋体" w:hAnsi="宋体" w:eastAsia="宋体" w:cs="Times New Roman"/>
          <w:lang w:eastAsia="zh-CN"/>
        </w:rPr>
        <w:t>年本）》</w:t>
      </w:r>
      <w:r>
        <w:rPr>
          <w:rFonts w:hint="eastAsia" w:ascii="宋体" w:hAnsi="宋体" w:eastAsia="宋体" w:cs="Times New Roman"/>
          <w:lang w:val="en-US" w:eastAsia="zh-CN"/>
        </w:rPr>
        <w:t>的限制类、淘汰类目录中，</w:t>
      </w:r>
      <w:r>
        <w:rPr>
          <w:rFonts w:hint="eastAsia" w:ascii="宋体" w:hAnsi="宋体" w:eastAsia="宋体" w:cs="Times New Roman"/>
          <w:lang w:eastAsia="zh-CN"/>
        </w:rPr>
        <w:t>符合国家产业政策。</w:t>
      </w:r>
    </w:p>
    <w:p w14:paraId="6C48F16E">
      <w:pPr>
        <w:pStyle w:val="3"/>
        <w:bidi w:val="0"/>
        <w:rPr>
          <w:lang w:val="en-US" w:eastAsia="zh-CN"/>
        </w:rPr>
      </w:pPr>
      <w:bookmarkStart w:id="169" w:name="_Toc18276"/>
      <w:r>
        <w:rPr>
          <w:rFonts w:hint="eastAsia"/>
          <w:lang w:val="en-US" w:eastAsia="zh-CN"/>
        </w:rPr>
        <w:t>建设内容</w:t>
      </w:r>
      <w:bookmarkEnd w:id="167"/>
      <w:bookmarkEnd w:id="168"/>
      <w:bookmarkEnd w:id="169"/>
    </w:p>
    <w:p w14:paraId="0AEF13A7">
      <w:pPr>
        <w:keepNext w:val="0"/>
        <w:keepLines w:val="0"/>
        <w:pageBreakBefore w:val="0"/>
        <w:widowControl w:val="0"/>
        <w:kinsoku/>
        <w:bidi w:val="0"/>
        <w:rPr>
          <w:rFonts w:hint="eastAsia"/>
          <w:lang w:val="en-US" w:eastAsia="zh-CN"/>
        </w:rPr>
      </w:pPr>
      <w:r>
        <w:rPr>
          <w:rFonts w:hint="eastAsia"/>
          <w:lang w:val="en-US" w:eastAsia="zh-CN"/>
        </w:rPr>
        <w:t>本项目一期主要建设内容见下表：</w:t>
      </w:r>
    </w:p>
    <w:p w14:paraId="0B645ACB">
      <w:pPr>
        <w:pStyle w:val="12"/>
        <w:rPr>
          <w:rFonts w:hint="eastAsia" w:eastAsia="宋体"/>
          <w:lang w:eastAsia="zh-CN"/>
        </w:rP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1</w:t>
      </w:r>
      <w:r>
        <w:fldChar w:fldCharType="end"/>
      </w:r>
      <w:r>
        <w:rPr>
          <w:rFonts w:hint="eastAsia"/>
          <w:lang w:eastAsia="zh-CN"/>
        </w:rPr>
        <w:t xml:space="preserve"> 一期项目建设内容表</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079"/>
        <w:gridCol w:w="2670"/>
        <w:gridCol w:w="814"/>
        <w:gridCol w:w="814"/>
        <w:gridCol w:w="846"/>
        <w:gridCol w:w="814"/>
        <w:gridCol w:w="814"/>
      </w:tblGrid>
      <w:tr w14:paraId="399D71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4" w:type="pct"/>
            <w:tcBorders>
              <w:tl2br w:val="nil"/>
              <w:tr2bl w:val="nil"/>
            </w:tcBorders>
            <w:shd w:val="clear" w:color="auto" w:fill="auto"/>
            <w:vAlign w:val="center"/>
          </w:tcPr>
          <w:p w14:paraId="2CAA6441">
            <w:pPr>
              <w:suppressLineNumbers w:val="0"/>
              <w:adjustRightInd w:val="0"/>
              <w:spacing w:before="0" w:beforeAutospacing="0" w:after="0" w:afterAutospacing="0" w:line="240" w:lineRule="auto"/>
              <w:ind w:left="0" w:leftChars="0" w:right="0" w:firstLine="0" w:firstLineChars="0"/>
              <w:jc w:val="center"/>
              <w:textAlignment w:val="baseline"/>
              <w:rPr>
                <w:rFonts w:hint="eastAsia"/>
                <w:b/>
                <w:bCs/>
                <w:sz w:val="21"/>
                <w:szCs w:val="21"/>
                <w:lang w:val="en-US" w:eastAsia="zh-CN"/>
              </w:rPr>
            </w:pPr>
            <w:r>
              <w:rPr>
                <w:rFonts w:hint="eastAsia"/>
                <w:b/>
                <w:bCs/>
                <w:sz w:val="21"/>
                <w:szCs w:val="21"/>
                <w:lang w:val="en-US" w:eastAsia="zh-CN"/>
              </w:rPr>
              <w:t>类型</w:t>
            </w:r>
          </w:p>
        </w:tc>
        <w:tc>
          <w:tcPr>
            <w:tcW w:w="633" w:type="pct"/>
            <w:tcBorders>
              <w:tl2br w:val="nil"/>
              <w:tr2bl w:val="nil"/>
            </w:tcBorders>
            <w:shd w:val="clear" w:color="auto" w:fill="auto"/>
            <w:vAlign w:val="center"/>
          </w:tcPr>
          <w:p w14:paraId="4196C9A6">
            <w:pPr>
              <w:suppressLineNumbers w:val="0"/>
              <w:adjustRightInd w:val="0"/>
              <w:spacing w:before="0" w:beforeAutospacing="0" w:after="0" w:afterAutospacing="0" w:line="240" w:lineRule="auto"/>
              <w:ind w:left="0" w:leftChars="0" w:right="0" w:firstLine="0" w:firstLineChars="0"/>
              <w:jc w:val="center"/>
              <w:textAlignment w:val="baseline"/>
              <w:rPr>
                <w:rFonts w:hint="default"/>
                <w:b/>
                <w:bCs/>
                <w:sz w:val="21"/>
                <w:szCs w:val="21"/>
              </w:rPr>
            </w:pPr>
            <w:r>
              <w:rPr>
                <w:rFonts w:hint="eastAsia"/>
                <w:b/>
                <w:bCs/>
                <w:sz w:val="21"/>
                <w:szCs w:val="21"/>
                <w:lang w:val="en-US" w:eastAsia="zh-CN"/>
              </w:rPr>
              <w:t>建筑名称</w:t>
            </w:r>
          </w:p>
        </w:tc>
        <w:tc>
          <w:tcPr>
            <w:tcW w:w="1565" w:type="pct"/>
            <w:tcBorders>
              <w:tl2br w:val="nil"/>
              <w:tr2bl w:val="nil"/>
            </w:tcBorders>
            <w:shd w:val="clear" w:color="auto" w:fill="auto"/>
            <w:vAlign w:val="center"/>
          </w:tcPr>
          <w:p w14:paraId="50C2AD4F">
            <w:pPr>
              <w:suppressLineNumbers w:val="0"/>
              <w:adjustRightInd w:val="0"/>
              <w:spacing w:before="0" w:beforeAutospacing="0" w:after="0" w:afterAutospacing="0" w:line="240" w:lineRule="auto"/>
              <w:ind w:left="0" w:leftChars="0" w:right="0" w:firstLine="0" w:firstLineChars="0"/>
              <w:jc w:val="center"/>
              <w:textAlignment w:val="baseline"/>
              <w:rPr>
                <w:rFonts w:hint="default"/>
                <w:b/>
                <w:bCs/>
                <w:sz w:val="21"/>
                <w:szCs w:val="21"/>
              </w:rPr>
            </w:pPr>
            <w:r>
              <w:rPr>
                <w:rFonts w:hint="default"/>
                <w:b/>
                <w:bCs/>
                <w:sz w:val="21"/>
                <w:szCs w:val="21"/>
              </w:rPr>
              <w:t>主要建设内容</w:t>
            </w:r>
          </w:p>
        </w:tc>
        <w:tc>
          <w:tcPr>
            <w:tcW w:w="477" w:type="pct"/>
            <w:tcBorders>
              <w:tl2br w:val="nil"/>
              <w:tr2bl w:val="nil"/>
            </w:tcBorders>
            <w:shd w:val="clear" w:color="auto" w:fill="auto"/>
            <w:vAlign w:val="center"/>
          </w:tcPr>
          <w:p w14:paraId="4DA18ABC">
            <w:pPr>
              <w:suppressLineNumbers w:val="0"/>
              <w:adjustRightInd w:val="0"/>
              <w:spacing w:before="0" w:beforeAutospacing="0" w:after="0" w:afterAutospacing="0" w:line="240" w:lineRule="auto"/>
              <w:ind w:left="0" w:leftChars="0" w:right="0" w:firstLine="0" w:firstLineChars="0"/>
              <w:jc w:val="center"/>
              <w:textAlignment w:val="baseline"/>
              <w:rPr>
                <w:rFonts w:hint="eastAsia"/>
                <w:b/>
                <w:bCs/>
                <w:sz w:val="21"/>
                <w:szCs w:val="21"/>
                <w:lang w:val="en-US" w:eastAsia="zh-CN"/>
              </w:rPr>
            </w:pPr>
            <w:r>
              <w:rPr>
                <w:rFonts w:hint="eastAsia"/>
                <w:b/>
                <w:bCs/>
                <w:sz w:val="21"/>
                <w:szCs w:val="21"/>
                <w:lang w:val="en-US" w:eastAsia="zh-CN"/>
              </w:rPr>
              <w:t>结构</w:t>
            </w:r>
          </w:p>
          <w:p w14:paraId="64F61F35">
            <w:pPr>
              <w:suppressLineNumbers w:val="0"/>
              <w:adjustRightInd w:val="0"/>
              <w:spacing w:before="0" w:beforeAutospacing="0" w:after="0" w:afterAutospacing="0" w:line="240" w:lineRule="auto"/>
              <w:ind w:left="0" w:leftChars="0" w:right="0" w:firstLine="0" w:firstLineChars="0"/>
              <w:jc w:val="center"/>
              <w:textAlignment w:val="baseline"/>
              <w:rPr>
                <w:rFonts w:hint="eastAsia"/>
                <w:b/>
                <w:bCs/>
                <w:sz w:val="21"/>
                <w:szCs w:val="21"/>
                <w:lang w:val="en-US" w:eastAsia="zh-CN"/>
              </w:rPr>
            </w:pPr>
            <w:r>
              <w:rPr>
                <w:rFonts w:hint="eastAsia"/>
                <w:b/>
                <w:bCs/>
                <w:sz w:val="21"/>
                <w:szCs w:val="21"/>
                <w:lang w:val="en-US" w:eastAsia="zh-CN"/>
              </w:rPr>
              <w:t>形式</w:t>
            </w:r>
          </w:p>
        </w:tc>
        <w:tc>
          <w:tcPr>
            <w:tcW w:w="477" w:type="pct"/>
            <w:tcBorders>
              <w:tl2br w:val="nil"/>
              <w:tr2bl w:val="nil"/>
            </w:tcBorders>
            <w:shd w:val="clear" w:color="auto" w:fill="auto"/>
            <w:vAlign w:val="center"/>
          </w:tcPr>
          <w:p w14:paraId="25E6AD2E">
            <w:pPr>
              <w:suppressLineNumbers w:val="0"/>
              <w:adjustRightInd w:val="0"/>
              <w:spacing w:before="0" w:beforeAutospacing="0" w:after="0" w:afterAutospacing="0" w:line="240" w:lineRule="auto"/>
              <w:ind w:left="0" w:leftChars="0" w:right="0" w:firstLine="0" w:firstLineChars="0"/>
              <w:jc w:val="center"/>
              <w:textAlignment w:val="baseline"/>
              <w:rPr>
                <w:rFonts w:hint="eastAsia"/>
                <w:b/>
                <w:bCs/>
                <w:sz w:val="21"/>
                <w:szCs w:val="21"/>
                <w:lang w:val="en-US" w:eastAsia="zh-CN"/>
              </w:rPr>
            </w:pPr>
            <w:r>
              <w:rPr>
                <w:rFonts w:hint="eastAsia"/>
                <w:b/>
                <w:bCs/>
                <w:sz w:val="21"/>
                <w:szCs w:val="21"/>
                <w:lang w:val="en-US" w:eastAsia="zh-CN"/>
              </w:rPr>
              <w:t>层数</w:t>
            </w:r>
          </w:p>
        </w:tc>
        <w:tc>
          <w:tcPr>
            <w:tcW w:w="496" w:type="pct"/>
            <w:tcBorders>
              <w:tl2br w:val="nil"/>
              <w:tr2bl w:val="nil"/>
            </w:tcBorders>
            <w:shd w:val="clear" w:color="auto" w:fill="auto"/>
            <w:vAlign w:val="center"/>
          </w:tcPr>
          <w:p w14:paraId="688924A0">
            <w:pPr>
              <w:suppressLineNumbers w:val="0"/>
              <w:adjustRightInd w:val="0"/>
              <w:spacing w:before="0" w:beforeAutospacing="0" w:after="0" w:afterAutospacing="0" w:line="240" w:lineRule="auto"/>
              <w:ind w:left="0" w:leftChars="0" w:right="0" w:firstLine="0" w:firstLineChars="0"/>
              <w:jc w:val="center"/>
              <w:textAlignment w:val="baseline"/>
              <w:rPr>
                <w:rFonts w:hint="eastAsia"/>
                <w:b/>
                <w:bCs/>
                <w:sz w:val="21"/>
                <w:szCs w:val="21"/>
                <w:lang w:val="en-US" w:eastAsia="zh-CN"/>
              </w:rPr>
            </w:pPr>
            <w:r>
              <w:rPr>
                <w:rFonts w:hint="eastAsia"/>
                <w:b/>
                <w:bCs/>
                <w:sz w:val="21"/>
                <w:szCs w:val="21"/>
                <w:lang w:val="en-US" w:eastAsia="zh-CN"/>
              </w:rPr>
              <w:t>高度</w:t>
            </w:r>
          </w:p>
        </w:tc>
        <w:tc>
          <w:tcPr>
            <w:tcW w:w="477" w:type="pct"/>
            <w:tcBorders>
              <w:tl2br w:val="nil"/>
              <w:tr2bl w:val="nil"/>
            </w:tcBorders>
            <w:shd w:val="clear" w:color="auto" w:fill="auto"/>
            <w:vAlign w:val="center"/>
          </w:tcPr>
          <w:p w14:paraId="12F57C94">
            <w:pPr>
              <w:suppressLineNumbers w:val="0"/>
              <w:adjustRightInd w:val="0"/>
              <w:spacing w:before="0" w:beforeAutospacing="0" w:after="0" w:afterAutospacing="0" w:line="240" w:lineRule="auto"/>
              <w:ind w:left="0" w:leftChars="0" w:right="0" w:firstLine="0" w:firstLineChars="0"/>
              <w:jc w:val="center"/>
              <w:textAlignment w:val="baseline"/>
              <w:rPr>
                <w:rFonts w:hint="eastAsia"/>
                <w:b/>
                <w:bCs/>
                <w:sz w:val="21"/>
                <w:szCs w:val="21"/>
                <w:lang w:val="en-US" w:eastAsia="zh-CN"/>
              </w:rPr>
            </w:pPr>
            <w:r>
              <w:rPr>
                <w:rFonts w:hint="eastAsia"/>
                <w:b/>
                <w:bCs/>
                <w:sz w:val="21"/>
                <w:szCs w:val="21"/>
                <w:lang w:val="en-US" w:eastAsia="zh-CN"/>
              </w:rPr>
              <w:t>火灾</w:t>
            </w:r>
          </w:p>
          <w:p w14:paraId="5307255D">
            <w:pPr>
              <w:suppressLineNumbers w:val="0"/>
              <w:adjustRightInd w:val="0"/>
              <w:spacing w:before="0" w:beforeAutospacing="0" w:after="0" w:afterAutospacing="0" w:line="240" w:lineRule="auto"/>
              <w:ind w:left="0" w:leftChars="0" w:right="0" w:firstLine="0" w:firstLineChars="0"/>
              <w:jc w:val="center"/>
              <w:textAlignment w:val="baseline"/>
              <w:rPr>
                <w:rFonts w:hint="eastAsia"/>
                <w:b/>
                <w:bCs/>
                <w:sz w:val="21"/>
                <w:szCs w:val="21"/>
                <w:lang w:val="en-US" w:eastAsia="zh-CN"/>
              </w:rPr>
            </w:pPr>
            <w:r>
              <w:rPr>
                <w:rFonts w:hint="eastAsia"/>
                <w:b/>
                <w:bCs/>
                <w:sz w:val="21"/>
                <w:szCs w:val="21"/>
                <w:lang w:val="en-US" w:eastAsia="zh-CN"/>
              </w:rPr>
              <w:t>类别</w:t>
            </w:r>
          </w:p>
        </w:tc>
        <w:tc>
          <w:tcPr>
            <w:tcW w:w="477" w:type="pct"/>
            <w:tcBorders>
              <w:tl2br w:val="nil"/>
              <w:tr2bl w:val="nil"/>
            </w:tcBorders>
            <w:shd w:val="clear" w:color="auto" w:fill="auto"/>
            <w:vAlign w:val="center"/>
          </w:tcPr>
          <w:p w14:paraId="6AF98E13">
            <w:pPr>
              <w:suppressLineNumbers w:val="0"/>
              <w:adjustRightInd w:val="0"/>
              <w:spacing w:before="0" w:beforeAutospacing="0" w:after="0" w:afterAutospacing="0" w:line="240" w:lineRule="auto"/>
              <w:ind w:left="0" w:leftChars="0" w:right="0" w:firstLine="0" w:firstLineChars="0"/>
              <w:jc w:val="center"/>
              <w:textAlignment w:val="baseline"/>
              <w:rPr>
                <w:rFonts w:hint="eastAsia"/>
                <w:b/>
                <w:bCs/>
                <w:sz w:val="21"/>
                <w:szCs w:val="21"/>
                <w:lang w:val="en-US" w:eastAsia="zh-CN"/>
              </w:rPr>
            </w:pPr>
            <w:r>
              <w:rPr>
                <w:rFonts w:hint="eastAsia"/>
                <w:b/>
                <w:bCs/>
                <w:sz w:val="21"/>
                <w:szCs w:val="21"/>
                <w:lang w:val="en-US" w:eastAsia="zh-CN"/>
              </w:rPr>
              <w:t>耐火</w:t>
            </w:r>
          </w:p>
          <w:p w14:paraId="5B20445E">
            <w:pPr>
              <w:suppressLineNumbers w:val="0"/>
              <w:adjustRightInd w:val="0"/>
              <w:spacing w:before="0" w:beforeAutospacing="0" w:after="0" w:afterAutospacing="0" w:line="240" w:lineRule="auto"/>
              <w:ind w:left="0" w:leftChars="0" w:right="0" w:firstLine="0" w:firstLineChars="0"/>
              <w:jc w:val="center"/>
              <w:textAlignment w:val="baseline"/>
              <w:rPr>
                <w:rFonts w:hint="eastAsia"/>
                <w:b/>
                <w:bCs/>
                <w:sz w:val="21"/>
                <w:szCs w:val="21"/>
                <w:lang w:val="en-US" w:eastAsia="zh-CN"/>
              </w:rPr>
            </w:pPr>
            <w:r>
              <w:rPr>
                <w:rFonts w:hint="eastAsia"/>
                <w:b/>
                <w:bCs/>
                <w:sz w:val="21"/>
                <w:szCs w:val="21"/>
                <w:lang w:val="en-US" w:eastAsia="zh-CN"/>
              </w:rPr>
              <w:t>等级</w:t>
            </w:r>
          </w:p>
        </w:tc>
      </w:tr>
      <w:tr w14:paraId="4A97B7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4" w:type="pct"/>
            <w:vMerge w:val="restart"/>
            <w:tcBorders>
              <w:tl2br w:val="nil"/>
              <w:tr2bl w:val="nil"/>
            </w:tcBorders>
            <w:shd w:val="clear" w:color="auto" w:fill="auto"/>
            <w:vAlign w:val="center"/>
          </w:tcPr>
          <w:p w14:paraId="55FF7FF2">
            <w:pPr>
              <w:suppressLineNumbers w:val="0"/>
              <w:adjustRightInd w:val="0"/>
              <w:spacing w:before="0" w:beforeAutospacing="0" w:after="0" w:afterAutospacing="0" w:line="240" w:lineRule="auto"/>
              <w:ind w:left="0" w:leftChars="0" w:right="0" w:firstLine="0" w:firstLineChars="0"/>
              <w:jc w:val="center"/>
              <w:textAlignment w:val="baseline"/>
              <w:rPr>
                <w:rFonts w:hint="default"/>
                <w:b/>
                <w:bCs/>
                <w:sz w:val="21"/>
                <w:szCs w:val="21"/>
              </w:rPr>
            </w:pPr>
            <w:r>
              <w:rPr>
                <w:rFonts w:hint="default"/>
                <w:b/>
                <w:bCs/>
                <w:sz w:val="21"/>
                <w:szCs w:val="21"/>
              </w:rPr>
              <w:t>主体工程</w:t>
            </w:r>
          </w:p>
        </w:tc>
        <w:tc>
          <w:tcPr>
            <w:tcW w:w="633" w:type="pct"/>
            <w:tcBorders>
              <w:tl2br w:val="nil"/>
              <w:tr2bl w:val="nil"/>
            </w:tcBorders>
            <w:vAlign w:val="center"/>
          </w:tcPr>
          <w:p w14:paraId="2FD20516">
            <w:pPr>
              <w:suppressLineNumbers w:val="0"/>
              <w:adjustRightInd w:val="0"/>
              <w:spacing w:before="0" w:beforeAutospacing="0" w:after="0" w:afterAutospacing="0" w:line="240" w:lineRule="auto"/>
              <w:ind w:left="0" w:leftChars="0" w:right="0" w:firstLine="0" w:firstLineChars="0"/>
              <w:jc w:val="center"/>
              <w:textAlignment w:val="baseline"/>
              <w:rPr>
                <w:rFonts w:hint="default"/>
                <w:sz w:val="21"/>
                <w:szCs w:val="21"/>
              </w:rPr>
            </w:pPr>
            <w:r>
              <w:rPr>
                <w:rFonts w:hint="eastAsia"/>
                <w:sz w:val="21"/>
                <w:szCs w:val="21"/>
              </w:rPr>
              <w:t>1#联合车间</w:t>
            </w:r>
          </w:p>
        </w:tc>
        <w:tc>
          <w:tcPr>
            <w:tcW w:w="1565" w:type="pct"/>
            <w:tcBorders>
              <w:tl2br w:val="nil"/>
              <w:tr2bl w:val="nil"/>
            </w:tcBorders>
            <w:vAlign w:val="center"/>
          </w:tcPr>
          <w:p w14:paraId="2719E287">
            <w:pPr>
              <w:suppressLineNumbers w:val="0"/>
              <w:adjustRightInd w:val="0"/>
              <w:spacing w:before="0" w:beforeAutospacing="0" w:after="0" w:afterAutospacing="0" w:line="240" w:lineRule="auto"/>
              <w:ind w:left="0" w:leftChars="0" w:right="0" w:firstLine="0" w:firstLineChars="0"/>
              <w:jc w:val="both"/>
              <w:textAlignment w:val="baseline"/>
              <w:rPr>
                <w:rFonts w:hint="default"/>
                <w:color w:val="auto"/>
                <w:sz w:val="21"/>
                <w:szCs w:val="21"/>
              </w:rPr>
            </w:pPr>
            <w:r>
              <w:rPr>
                <w:rFonts w:hint="eastAsia"/>
                <w:color w:val="auto"/>
                <w:sz w:val="21"/>
                <w:szCs w:val="21"/>
              </w:rPr>
              <w:t>位于原料仓库北侧，建筑面积</w:t>
            </w:r>
            <w:r>
              <w:rPr>
                <w:rFonts w:hint="eastAsia" w:cs="宋体"/>
                <w:snapToGrid w:val="0"/>
                <w:color w:val="auto"/>
                <w:kern w:val="0"/>
                <w:sz w:val="21"/>
                <w:szCs w:val="21"/>
                <w:lang w:val="en-US" w:eastAsia="zh-CN"/>
              </w:rPr>
              <w:t>5868.61</w:t>
            </w:r>
            <w:r>
              <w:rPr>
                <w:rFonts w:hint="eastAsia" w:ascii="宋体" w:hAnsi="宋体" w:eastAsia="宋体" w:cs="宋体"/>
                <w:snapToGrid w:val="0"/>
                <w:color w:val="auto"/>
                <w:kern w:val="0"/>
                <w:sz w:val="21"/>
                <w:szCs w:val="21"/>
                <w:lang w:val="en-US" w:eastAsia="zh-CN"/>
              </w:rPr>
              <w:t>㎡</w:t>
            </w:r>
            <w:r>
              <w:rPr>
                <w:rFonts w:hint="eastAsia"/>
                <w:color w:val="auto"/>
                <w:sz w:val="21"/>
                <w:szCs w:val="21"/>
              </w:rPr>
              <w:t>，主要设备为2台电弧炉、2台振动筛、2台粉磨机。</w:t>
            </w:r>
          </w:p>
        </w:tc>
        <w:tc>
          <w:tcPr>
            <w:tcW w:w="477" w:type="pct"/>
            <w:tcBorders>
              <w:tl2br w:val="nil"/>
              <w:tr2bl w:val="nil"/>
            </w:tcBorders>
            <w:vAlign w:val="center"/>
          </w:tcPr>
          <w:p w14:paraId="790489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rPr>
              <w:t>钢结构</w:t>
            </w:r>
          </w:p>
        </w:tc>
        <w:tc>
          <w:tcPr>
            <w:tcW w:w="477" w:type="pct"/>
            <w:tcBorders>
              <w:tl2br w:val="nil"/>
              <w:tr2bl w:val="nil"/>
            </w:tcBorders>
            <w:vAlign w:val="center"/>
          </w:tcPr>
          <w:p w14:paraId="02F114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rPr>
              <w:t>1层</w:t>
            </w:r>
          </w:p>
        </w:tc>
        <w:tc>
          <w:tcPr>
            <w:tcW w:w="496" w:type="pct"/>
            <w:tcBorders>
              <w:tl2br w:val="nil"/>
              <w:tr2bl w:val="nil"/>
            </w:tcBorders>
            <w:vAlign w:val="center"/>
          </w:tcPr>
          <w:p w14:paraId="2B0B89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cs="宋体"/>
                <w:snapToGrid w:val="0"/>
                <w:color w:val="auto"/>
                <w:kern w:val="0"/>
                <w:sz w:val="21"/>
                <w:szCs w:val="21"/>
                <w:lang w:val="en-US" w:eastAsia="zh-CN"/>
              </w:rPr>
              <w:t>15.40</w:t>
            </w:r>
            <w:r>
              <w:rPr>
                <w:rFonts w:hint="eastAsia" w:ascii="宋体" w:hAnsi="宋体" w:eastAsia="宋体" w:cs="宋体"/>
                <w:snapToGrid w:val="0"/>
                <w:color w:val="auto"/>
                <w:kern w:val="0"/>
                <w:sz w:val="21"/>
                <w:szCs w:val="21"/>
                <w:lang w:val="en-US" w:eastAsia="zh-CN"/>
              </w:rPr>
              <w:t>m</w:t>
            </w:r>
          </w:p>
        </w:tc>
        <w:tc>
          <w:tcPr>
            <w:tcW w:w="477" w:type="pct"/>
            <w:tcBorders>
              <w:tl2br w:val="nil"/>
              <w:tr2bl w:val="nil"/>
            </w:tcBorders>
            <w:vAlign w:val="center"/>
          </w:tcPr>
          <w:p w14:paraId="3E364D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rPr>
              <w:t>丁类</w:t>
            </w:r>
          </w:p>
        </w:tc>
        <w:tc>
          <w:tcPr>
            <w:tcW w:w="477" w:type="pct"/>
            <w:tcBorders>
              <w:tl2br w:val="nil"/>
              <w:tr2bl w:val="nil"/>
            </w:tcBorders>
            <w:vAlign w:val="center"/>
          </w:tcPr>
          <w:p w14:paraId="781900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rPr>
              <w:t>二级</w:t>
            </w:r>
          </w:p>
        </w:tc>
      </w:tr>
      <w:tr w14:paraId="0FCD9D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4" w:type="pct"/>
            <w:vMerge w:val="continue"/>
            <w:tcBorders>
              <w:tl2br w:val="nil"/>
              <w:tr2bl w:val="nil"/>
            </w:tcBorders>
            <w:shd w:val="clear" w:color="auto" w:fill="auto"/>
            <w:vAlign w:val="center"/>
          </w:tcPr>
          <w:p w14:paraId="39CBA1EE">
            <w:pPr>
              <w:suppressLineNumbers w:val="0"/>
              <w:adjustRightInd w:val="0"/>
              <w:spacing w:before="0" w:beforeAutospacing="0" w:after="0" w:afterAutospacing="0" w:line="240" w:lineRule="auto"/>
              <w:ind w:left="0" w:leftChars="0" w:right="0" w:firstLine="0" w:firstLineChars="0"/>
              <w:jc w:val="center"/>
              <w:textAlignment w:val="baseline"/>
              <w:rPr>
                <w:rFonts w:hint="default"/>
                <w:b/>
                <w:bCs/>
                <w:sz w:val="21"/>
                <w:szCs w:val="21"/>
              </w:rPr>
            </w:pPr>
          </w:p>
        </w:tc>
        <w:tc>
          <w:tcPr>
            <w:tcW w:w="633" w:type="pct"/>
            <w:tcBorders>
              <w:tl2br w:val="nil"/>
              <w:tr2bl w:val="nil"/>
            </w:tcBorders>
            <w:vAlign w:val="center"/>
          </w:tcPr>
          <w:p w14:paraId="5BF1321C">
            <w:pPr>
              <w:suppressLineNumbers w:val="0"/>
              <w:adjustRightInd w:val="0"/>
              <w:spacing w:before="0" w:beforeAutospacing="0" w:after="0" w:afterAutospacing="0" w:line="240" w:lineRule="auto"/>
              <w:ind w:left="0" w:leftChars="0" w:right="0" w:firstLine="0" w:firstLineChars="0"/>
              <w:jc w:val="center"/>
              <w:textAlignment w:val="baseline"/>
              <w:rPr>
                <w:rFonts w:hint="default"/>
                <w:sz w:val="21"/>
                <w:szCs w:val="21"/>
              </w:rPr>
            </w:pPr>
            <w:r>
              <w:rPr>
                <w:rFonts w:hint="eastAsia"/>
                <w:sz w:val="21"/>
                <w:szCs w:val="21"/>
              </w:rPr>
              <w:t>1#成品车间</w:t>
            </w:r>
          </w:p>
        </w:tc>
        <w:tc>
          <w:tcPr>
            <w:tcW w:w="1565" w:type="pct"/>
            <w:tcBorders>
              <w:tl2br w:val="nil"/>
              <w:tr2bl w:val="nil"/>
            </w:tcBorders>
            <w:vAlign w:val="center"/>
          </w:tcPr>
          <w:p w14:paraId="4F1C40BA">
            <w:pPr>
              <w:suppressLineNumbers w:val="0"/>
              <w:adjustRightInd w:val="0"/>
              <w:spacing w:before="0" w:beforeAutospacing="0" w:after="0" w:afterAutospacing="0" w:line="240" w:lineRule="auto"/>
              <w:ind w:left="0" w:leftChars="0" w:right="0" w:firstLine="0" w:firstLineChars="0"/>
              <w:jc w:val="both"/>
              <w:textAlignment w:val="baseline"/>
              <w:rPr>
                <w:rFonts w:hint="eastAsia" w:eastAsia="宋体"/>
                <w:color w:val="auto"/>
                <w:sz w:val="21"/>
                <w:szCs w:val="21"/>
                <w:lang w:eastAsia="zh-CN"/>
              </w:rPr>
            </w:pPr>
            <w:r>
              <w:rPr>
                <w:rFonts w:hint="eastAsia"/>
                <w:color w:val="auto"/>
                <w:sz w:val="21"/>
                <w:szCs w:val="21"/>
              </w:rPr>
              <w:t>位于联合车间北侧，建筑面积</w:t>
            </w:r>
            <w:r>
              <w:rPr>
                <w:rFonts w:hint="eastAsia" w:cs="宋体"/>
                <w:snapToGrid w:val="0"/>
                <w:color w:val="auto"/>
                <w:kern w:val="0"/>
                <w:sz w:val="21"/>
                <w:szCs w:val="21"/>
                <w:lang w:val="en-US" w:eastAsia="zh-CN"/>
              </w:rPr>
              <w:t>3562.24</w:t>
            </w:r>
            <w:r>
              <w:rPr>
                <w:rFonts w:hint="eastAsia" w:ascii="宋体" w:hAnsi="宋体" w:eastAsia="宋体" w:cs="宋体"/>
                <w:snapToGrid w:val="0"/>
                <w:color w:val="auto"/>
                <w:kern w:val="0"/>
                <w:sz w:val="21"/>
                <w:szCs w:val="21"/>
                <w:lang w:val="en-US" w:eastAsia="zh-CN"/>
              </w:rPr>
              <w:t>㎡</w:t>
            </w:r>
          </w:p>
        </w:tc>
        <w:tc>
          <w:tcPr>
            <w:tcW w:w="477" w:type="pct"/>
            <w:tcBorders>
              <w:tl2br w:val="nil"/>
              <w:tr2bl w:val="nil"/>
            </w:tcBorders>
            <w:vAlign w:val="center"/>
          </w:tcPr>
          <w:p w14:paraId="0A7D5D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rPr>
              <w:t>钢结构</w:t>
            </w:r>
          </w:p>
        </w:tc>
        <w:tc>
          <w:tcPr>
            <w:tcW w:w="477" w:type="pct"/>
            <w:tcBorders>
              <w:tl2br w:val="nil"/>
              <w:tr2bl w:val="nil"/>
            </w:tcBorders>
            <w:vAlign w:val="center"/>
          </w:tcPr>
          <w:p w14:paraId="070C3A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rPr>
              <w:t>1层</w:t>
            </w:r>
          </w:p>
        </w:tc>
        <w:tc>
          <w:tcPr>
            <w:tcW w:w="496" w:type="pct"/>
            <w:tcBorders>
              <w:tl2br w:val="nil"/>
              <w:tr2bl w:val="nil"/>
            </w:tcBorders>
            <w:vAlign w:val="center"/>
          </w:tcPr>
          <w:p w14:paraId="742888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cs="宋体"/>
                <w:snapToGrid w:val="0"/>
                <w:color w:val="auto"/>
                <w:kern w:val="0"/>
                <w:sz w:val="21"/>
                <w:szCs w:val="21"/>
                <w:lang w:val="en-US" w:eastAsia="zh-CN"/>
              </w:rPr>
              <w:t>11.10</w:t>
            </w:r>
            <w:r>
              <w:rPr>
                <w:rFonts w:hint="eastAsia" w:ascii="宋体" w:hAnsi="宋体" w:eastAsia="宋体" w:cs="宋体"/>
                <w:snapToGrid w:val="0"/>
                <w:color w:val="auto"/>
                <w:kern w:val="0"/>
                <w:sz w:val="21"/>
                <w:szCs w:val="21"/>
                <w:lang w:val="en-US" w:eastAsia="zh-CN"/>
              </w:rPr>
              <w:t>m</w:t>
            </w:r>
          </w:p>
        </w:tc>
        <w:tc>
          <w:tcPr>
            <w:tcW w:w="477" w:type="pct"/>
            <w:tcBorders>
              <w:tl2br w:val="nil"/>
              <w:tr2bl w:val="nil"/>
            </w:tcBorders>
            <w:vAlign w:val="center"/>
          </w:tcPr>
          <w:p w14:paraId="6910F9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cs="Times New Roman"/>
                <w:color w:val="auto"/>
                <w:kern w:val="0"/>
                <w:sz w:val="24"/>
                <w:szCs w:val="24"/>
              </w:rPr>
              <w:t>戊类</w:t>
            </w:r>
          </w:p>
        </w:tc>
        <w:tc>
          <w:tcPr>
            <w:tcW w:w="477" w:type="pct"/>
            <w:tcBorders>
              <w:tl2br w:val="nil"/>
              <w:tr2bl w:val="nil"/>
            </w:tcBorders>
            <w:vAlign w:val="center"/>
          </w:tcPr>
          <w:p w14:paraId="74CB1A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rPr>
              <w:t>二级</w:t>
            </w:r>
          </w:p>
        </w:tc>
      </w:tr>
      <w:tr w14:paraId="4F6BF7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4" w:type="pct"/>
            <w:vMerge w:val="restart"/>
            <w:tcBorders>
              <w:tl2br w:val="nil"/>
              <w:tr2bl w:val="nil"/>
            </w:tcBorders>
            <w:shd w:val="clear" w:color="auto" w:fill="auto"/>
            <w:vAlign w:val="center"/>
          </w:tcPr>
          <w:p w14:paraId="49D382BE">
            <w:pPr>
              <w:suppressLineNumbers w:val="0"/>
              <w:adjustRightInd w:val="0"/>
              <w:spacing w:before="0" w:beforeAutospacing="0" w:after="0" w:afterAutospacing="0" w:line="240" w:lineRule="auto"/>
              <w:ind w:left="0" w:leftChars="0" w:right="0" w:firstLine="0" w:firstLineChars="0"/>
              <w:jc w:val="center"/>
              <w:textAlignment w:val="baseline"/>
              <w:rPr>
                <w:rFonts w:hint="default"/>
                <w:b/>
                <w:bCs/>
                <w:sz w:val="21"/>
                <w:szCs w:val="21"/>
              </w:rPr>
            </w:pPr>
            <w:r>
              <w:rPr>
                <w:rFonts w:hint="default"/>
                <w:b/>
                <w:bCs/>
                <w:sz w:val="21"/>
                <w:szCs w:val="21"/>
              </w:rPr>
              <w:t>辅助工程</w:t>
            </w:r>
          </w:p>
        </w:tc>
        <w:tc>
          <w:tcPr>
            <w:tcW w:w="633" w:type="pct"/>
            <w:tcBorders>
              <w:tl2br w:val="nil"/>
              <w:tr2bl w:val="nil"/>
            </w:tcBorders>
            <w:vAlign w:val="center"/>
          </w:tcPr>
          <w:p w14:paraId="37B28898">
            <w:pPr>
              <w:suppressLineNumbers w:val="0"/>
              <w:adjustRightInd w:val="0"/>
              <w:spacing w:before="0" w:beforeAutospacing="0" w:after="0" w:afterAutospacing="0" w:line="240" w:lineRule="auto"/>
              <w:ind w:left="0" w:leftChars="0" w:right="0" w:firstLine="0" w:firstLineChars="0"/>
              <w:jc w:val="center"/>
              <w:textAlignment w:val="baseline"/>
              <w:rPr>
                <w:rFonts w:hint="default"/>
                <w:sz w:val="21"/>
                <w:szCs w:val="21"/>
              </w:rPr>
            </w:pPr>
            <w:r>
              <w:rPr>
                <w:rFonts w:hint="eastAsia"/>
                <w:sz w:val="21"/>
                <w:szCs w:val="21"/>
              </w:rPr>
              <w:t>变电站</w:t>
            </w:r>
          </w:p>
        </w:tc>
        <w:tc>
          <w:tcPr>
            <w:tcW w:w="1565" w:type="pct"/>
            <w:tcBorders>
              <w:tl2br w:val="nil"/>
              <w:tr2bl w:val="nil"/>
            </w:tcBorders>
            <w:vAlign w:val="center"/>
          </w:tcPr>
          <w:p w14:paraId="572F108D">
            <w:pPr>
              <w:suppressLineNumbers w:val="0"/>
              <w:adjustRightInd w:val="0"/>
              <w:spacing w:before="0" w:beforeAutospacing="0" w:after="0" w:afterAutospacing="0" w:line="240" w:lineRule="auto"/>
              <w:ind w:left="0" w:leftChars="0" w:right="0" w:firstLine="0" w:firstLineChars="0"/>
              <w:jc w:val="both"/>
              <w:textAlignment w:val="baseline"/>
              <w:rPr>
                <w:rFonts w:hint="eastAsia" w:eastAsia="宋体"/>
                <w:color w:val="auto"/>
                <w:sz w:val="21"/>
                <w:szCs w:val="21"/>
                <w:lang w:eastAsia="zh-CN"/>
              </w:rPr>
            </w:pPr>
            <w:r>
              <w:rPr>
                <w:rFonts w:hint="eastAsia"/>
                <w:color w:val="auto"/>
                <w:sz w:val="21"/>
                <w:szCs w:val="21"/>
              </w:rPr>
              <w:t>位于原料仓库西侧，建筑面积</w:t>
            </w:r>
            <w:r>
              <w:rPr>
                <w:rFonts w:hint="eastAsia" w:cs="宋体"/>
                <w:snapToGrid w:val="0"/>
                <w:color w:val="auto"/>
                <w:kern w:val="0"/>
                <w:sz w:val="21"/>
                <w:szCs w:val="21"/>
                <w:lang w:val="en-US" w:eastAsia="zh-CN"/>
              </w:rPr>
              <w:t>1633.19</w:t>
            </w:r>
            <w:r>
              <w:rPr>
                <w:rFonts w:hint="eastAsia" w:ascii="宋体" w:hAnsi="宋体" w:eastAsia="宋体" w:cs="宋体"/>
                <w:snapToGrid w:val="0"/>
                <w:color w:val="auto"/>
                <w:kern w:val="0"/>
                <w:sz w:val="21"/>
                <w:szCs w:val="21"/>
                <w:lang w:val="en-US" w:eastAsia="zh-CN"/>
              </w:rPr>
              <w:t>㎡</w:t>
            </w:r>
          </w:p>
        </w:tc>
        <w:tc>
          <w:tcPr>
            <w:tcW w:w="477" w:type="pct"/>
            <w:tcBorders>
              <w:tl2br w:val="nil"/>
              <w:tr2bl w:val="nil"/>
            </w:tcBorders>
            <w:vAlign w:val="center"/>
          </w:tcPr>
          <w:p w14:paraId="6AD38B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napToGrid w:val="0"/>
                <w:color w:val="auto"/>
                <w:kern w:val="0"/>
                <w:sz w:val="21"/>
                <w:szCs w:val="21"/>
                <w:lang w:val="en-US" w:eastAsia="zh-CN" w:bidi="ar-SA"/>
              </w:rPr>
            </w:pPr>
            <w:r>
              <w:rPr>
                <w:rFonts w:hint="eastAsia" w:cs="宋体"/>
                <w:snapToGrid w:val="0"/>
                <w:color w:val="auto"/>
                <w:kern w:val="0"/>
                <w:sz w:val="21"/>
                <w:szCs w:val="21"/>
                <w:lang w:val="en-US" w:eastAsia="zh-CN" w:bidi="ar-SA"/>
              </w:rPr>
              <w:t>混凝土框架</w:t>
            </w:r>
          </w:p>
        </w:tc>
        <w:tc>
          <w:tcPr>
            <w:tcW w:w="477" w:type="pct"/>
            <w:tcBorders>
              <w:tl2br w:val="nil"/>
              <w:tr2bl w:val="nil"/>
            </w:tcBorders>
            <w:vAlign w:val="center"/>
          </w:tcPr>
          <w:p w14:paraId="64FFCA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cs="宋体"/>
                <w:snapToGrid w:val="0"/>
                <w:color w:val="auto"/>
                <w:kern w:val="0"/>
                <w:sz w:val="21"/>
                <w:szCs w:val="21"/>
                <w:lang w:val="en-US" w:eastAsia="zh-CN"/>
              </w:rPr>
              <w:t>2</w:t>
            </w:r>
            <w:r>
              <w:rPr>
                <w:rFonts w:hint="eastAsia" w:ascii="宋体" w:hAnsi="宋体" w:eastAsia="宋体" w:cs="宋体"/>
                <w:snapToGrid w:val="0"/>
                <w:color w:val="auto"/>
                <w:kern w:val="0"/>
                <w:sz w:val="21"/>
                <w:szCs w:val="21"/>
                <w:lang w:val="en-US" w:eastAsia="zh-CN"/>
              </w:rPr>
              <w:t>层</w:t>
            </w:r>
          </w:p>
        </w:tc>
        <w:tc>
          <w:tcPr>
            <w:tcW w:w="496" w:type="pct"/>
            <w:tcBorders>
              <w:tl2br w:val="nil"/>
              <w:tr2bl w:val="nil"/>
            </w:tcBorders>
            <w:vAlign w:val="center"/>
          </w:tcPr>
          <w:p w14:paraId="21B0F7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cs="宋体"/>
                <w:snapToGrid w:val="0"/>
                <w:color w:val="auto"/>
                <w:kern w:val="0"/>
                <w:sz w:val="21"/>
                <w:szCs w:val="21"/>
                <w:lang w:val="en-US" w:eastAsia="zh-CN"/>
              </w:rPr>
              <w:t>12.25</w:t>
            </w:r>
            <w:r>
              <w:rPr>
                <w:rFonts w:hint="eastAsia" w:ascii="宋体" w:hAnsi="宋体" w:eastAsia="宋体" w:cs="宋体"/>
                <w:snapToGrid w:val="0"/>
                <w:color w:val="auto"/>
                <w:kern w:val="0"/>
                <w:sz w:val="21"/>
                <w:szCs w:val="21"/>
                <w:lang w:val="en-US" w:eastAsia="zh-CN"/>
              </w:rPr>
              <w:t>m</w:t>
            </w:r>
          </w:p>
        </w:tc>
        <w:tc>
          <w:tcPr>
            <w:tcW w:w="477" w:type="pct"/>
            <w:tcBorders>
              <w:tl2br w:val="nil"/>
              <w:tr2bl w:val="nil"/>
            </w:tcBorders>
            <w:vAlign w:val="center"/>
          </w:tcPr>
          <w:p w14:paraId="34E0D3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rPr>
              <w:t>丙类</w:t>
            </w:r>
          </w:p>
        </w:tc>
        <w:tc>
          <w:tcPr>
            <w:tcW w:w="477" w:type="pct"/>
            <w:tcBorders>
              <w:tl2br w:val="nil"/>
              <w:tr2bl w:val="nil"/>
            </w:tcBorders>
            <w:vAlign w:val="center"/>
          </w:tcPr>
          <w:p w14:paraId="7A75C0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rPr>
              <w:t>二级</w:t>
            </w:r>
          </w:p>
        </w:tc>
      </w:tr>
      <w:tr w14:paraId="3406A4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4" w:type="pct"/>
            <w:vMerge w:val="continue"/>
            <w:tcBorders>
              <w:tl2br w:val="nil"/>
              <w:tr2bl w:val="nil"/>
            </w:tcBorders>
            <w:shd w:val="clear" w:color="auto" w:fill="auto"/>
            <w:vAlign w:val="center"/>
          </w:tcPr>
          <w:p w14:paraId="4A79D29D">
            <w:pPr>
              <w:suppressLineNumbers w:val="0"/>
              <w:adjustRightInd w:val="0"/>
              <w:spacing w:before="0" w:beforeAutospacing="0" w:after="0" w:afterAutospacing="0" w:line="240" w:lineRule="auto"/>
              <w:ind w:left="0" w:leftChars="0" w:right="0" w:firstLine="0" w:firstLineChars="0"/>
              <w:jc w:val="center"/>
              <w:textAlignment w:val="baseline"/>
              <w:rPr>
                <w:rFonts w:hint="default"/>
                <w:sz w:val="21"/>
                <w:szCs w:val="21"/>
              </w:rPr>
            </w:pPr>
          </w:p>
        </w:tc>
        <w:tc>
          <w:tcPr>
            <w:tcW w:w="633" w:type="pct"/>
            <w:tcBorders>
              <w:tl2br w:val="nil"/>
              <w:tr2bl w:val="nil"/>
            </w:tcBorders>
            <w:vAlign w:val="center"/>
          </w:tcPr>
          <w:p w14:paraId="6293DDD7">
            <w:pPr>
              <w:suppressLineNumbers w:val="0"/>
              <w:adjustRightInd w:val="0"/>
              <w:spacing w:before="0" w:beforeAutospacing="0" w:after="0" w:afterAutospacing="0" w:line="240" w:lineRule="auto"/>
              <w:ind w:left="0" w:leftChars="0" w:right="0" w:firstLine="0" w:firstLineChars="0"/>
              <w:jc w:val="center"/>
              <w:textAlignment w:val="baseline"/>
              <w:rPr>
                <w:rFonts w:hint="default"/>
                <w:sz w:val="21"/>
                <w:szCs w:val="21"/>
              </w:rPr>
            </w:pPr>
            <w:r>
              <w:rPr>
                <w:rFonts w:hint="eastAsia"/>
                <w:sz w:val="21"/>
                <w:szCs w:val="21"/>
              </w:rPr>
              <w:t>供水</w:t>
            </w:r>
          </w:p>
        </w:tc>
        <w:tc>
          <w:tcPr>
            <w:tcW w:w="1565" w:type="pct"/>
            <w:tcBorders>
              <w:tl2br w:val="nil"/>
              <w:tr2bl w:val="nil"/>
            </w:tcBorders>
            <w:vAlign w:val="center"/>
          </w:tcPr>
          <w:p w14:paraId="5DB27E89">
            <w:pPr>
              <w:suppressLineNumbers w:val="0"/>
              <w:adjustRightInd w:val="0"/>
              <w:spacing w:before="0" w:beforeAutospacing="0" w:after="0" w:afterAutospacing="0" w:line="240" w:lineRule="auto"/>
              <w:ind w:left="0" w:leftChars="0" w:right="0" w:firstLine="0" w:firstLineChars="0"/>
              <w:jc w:val="both"/>
              <w:textAlignment w:val="baseline"/>
              <w:rPr>
                <w:rFonts w:hint="default"/>
                <w:color w:val="auto"/>
                <w:sz w:val="21"/>
                <w:szCs w:val="21"/>
              </w:rPr>
            </w:pPr>
            <w:r>
              <w:rPr>
                <w:rFonts w:hint="eastAsia"/>
                <w:color w:val="auto"/>
                <w:sz w:val="21"/>
                <w:szCs w:val="21"/>
              </w:rPr>
              <w:t>项目区生产、生活用水来源于羊街村委会的供水管网</w:t>
            </w:r>
          </w:p>
        </w:tc>
        <w:tc>
          <w:tcPr>
            <w:tcW w:w="477" w:type="pct"/>
            <w:tcBorders>
              <w:tl2br w:val="nil"/>
              <w:tr2bl w:val="nil"/>
            </w:tcBorders>
            <w:vAlign w:val="center"/>
          </w:tcPr>
          <w:p w14:paraId="4E58FC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181A80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96" w:type="pct"/>
            <w:tcBorders>
              <w:tl2br w:val="nil"/>
              <w:tr2bl w:val="nil"/>
            </w:tcBorders>
            <w:vAlign w:val="center"/>
          </w:tcPr>
          <w:p w14:paraId="0D87D0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091B8A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5DFFF6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r>
      <w:tr w14:paraId="64103B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4" w:type="pct"/>
            <w:vMerge w:val="continue"/>
            <w:tcBorders>
              <w:tl2br w:val="nil"/>
              <w:tr2bl w:val="nil"/>
            </w:tcBorders>
            <w:shd w:val="clear" w:color="auto" w:fill="auto"/>
            <w:vAlign w:val="center"/>
          </w:tcPr>
          <w:p w14:paraId="1AD3DB8B">
            <w:pPr>
              <w:suppressLineNumbers w:val="0"/>
              <w:adjustRightInd w:val="0"/>
              <w:spacing w:before="0" w:beforeAutospacing="0" w:after="0" w:afterAutospacing="0" w:line="240" w:lineRule="auto"/>
              <w:ind w:left="0" w:leftChars="0" w:right="0" w:firstLine="0" w:firstLineChars="0"/>
              <w:jc w:val="center"/>
              <w:textAlignment w:val="baseline"/>
              <w:rPr>
                <w:rFonts w:hint="default"/>
                <w:sz w:val="21"/>
                <w:szCs w:val="21"/>
              </w:rPr>
            </w:pPr>
          </w:p>
        </w:tc>
        <w:tc>
          <w:tcPr>
            <w:tcW w:w="633" w:type="pct"/>
            <w:tcBorders>
              <w:tl2br w:val="nil"/>
              <w:tr2bl w:val="nil"/>
            </w:tcBorders>
            <w:vAlign w:val="center"/>
          </w:tcPr>
          <w:p w14:paraId="3537888B">
            <w:pPr>
              <w:suppressLineNumbers w:val="0"/>
              <w:adjustRightInd w:val="0"/>
              <w:spacing w:before="0" w:beforeAutospacing="0" w:after="0" w:afterAutospacing="0" w:line="240" w:lineRule="auto"/>
              <w:ind w:left="0" w:leftChars="0" w:right="0" w:firstLine="0" w:firstLineChars="0"/>
              <w:jc w:val="center"/>
              <w:textAlignment w:val="baseline"/>
              <w:rPr>
                <w:rFonts w:hint="default"/>
                <w:sz w:val="21"/>
                <w:szCs w:val="21"/>
              </w:rPr>
            </w:pPr>
            <w:r>
              <w:rPr>
                <w:rFonts w:hint="eastAsia"/>
                <w:sz w:val="21"/>
                <w:szCs w:val="21"/>
              </w:rPr>
              <w:t>供电</w:t>
            </w:r>
          </w:p>
        </w:tc>
        <w:tc>
          <w:tcPr>
            <w:tcW w:w="1565" w:type="pct"/>
            <w:tcBorders>
              <w:tl2br w:val="nil"/>
              <w:tr2bl w:val="nil"/>
            </w:tcBorders>
            <w:vAlign w:val="center"/>
          </w:tcPr>
          <w:p w14:paraId="2E7E03C1">
            <w:pPr>
              <w:suppressLineNumbers w:val="0"/>
              <w:adjustRightInd w:val="0"/>
              <w:spacing w:before="0" w:beforeAutospacing="0" w:after="0" w:afterAutospacing="0" w:line="240" w:lineRule="auto"/>
              <w:ind w:left="0" w:leftChars="0" w:right="0" w:firstLine="0" w:firstLineChars="0"/>
              <w:jc w:val="both"/>
              <w:textAlignment w:val="baseline"/>
              <w:rPr>
                <w:rFonts w:hint="default"/>
                <w:color w:val="auto"/>
                <w:sz w:val="21"/>
                <w:szCs w:val="21"/>
              </w:rPr>
            </w:pPr>
            <w:r>
              <w:rPr>
                <w:rFonts w:hint="eastAsia"/>
                <w:color w:val="auto"/>
                <w:sz w:val="21"/>
                <w:szCs w:val="21"/>
              </w:rPr>
              <w:t>建立独立的变电站进行供电</w:t>
            </w:r>
          </w:p>
        </w:tc>
        <w:tc>
          <w:tcPr>
            <w:tcW w:w="477" w:type="pct"/>
            <w:tcBorders>
              <w:tl2br w:val="nil"/>
              <w:tr2bl w:val="nil"/>
            </w:tcBorders>
            <w:vAlign w:val="center"/>
          </w:tcPr>
          <w:p w14:paraId="73E3D0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0972A7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96" w:type="pct"/>
            <w:tcBorders>
              <w:tl2br w:val="nil"/>
              <w:tr2bl w:val="nil"/>
            </w:tcBorders>
            <w:vAlign w:val="center"/>
          </w:tcPr>
          <w:p w14:paraId="5D86F3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5510E1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57FBCC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r>
      <w:tr w14:paraId="4ED8E6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4" w:type="pct"/>
            <w:vMerge w:val="continue"/>
            <w:tcBorders>
              <w:tl2br w:val="nil"/>
              <w:tr2bl w:val="nil"/>
            </w:tcBorders>
            <w:shd w:val="clear" w:color="auto" w:fill="auto"/>
            <w:vAlign w:val="center"/>
          </w:tcPr>
          <w:p w14:paraId="5134A372">
            <w:pPr>
              <w:suppressLineNumbers w:val="0"/>
              <w:adjustRightInd w:val="0"/>
              <w:spacing w:before="0" w:beforeAutospacing="0" w:after="0" w:afterAutospacing="0" w:line="240" w:lineRule="auto"/>
              <w:ind w:left="0" w:leftChars="0" w:right="0" w:firstLine="0" w:firstLineChars="0"/>
              <w:jc w:val="center"/>
              <w:textAlignment w:val="baseline"/>
              <w:rPr>
                <w:rFonts w:hint="default"/>
                <w:sz w:val="21"/>
                <w:szCs w:val="21"/>
              </w:rPr>
            </w:pPr>
          </w:p>
        </w:tc>
        <w:tc>
          <w:tcPr>
            <w:tcW w:w="633" w:type="pct"/>
            <w:tcBorders>
              <w:tl2br w:val="nil"/>
              <w:tr2bl w:val="nil"/>
            </w:tcBorders>
            <w:vAlign w:val="center"/>
          </w:tcPr>
          <w:p w14:paraId="77503013">
            <w:pPr>
              <w:suppressLineNumbers w:val="0"/>
              <w:adjustRightInd w:val="0"/>
              <w:spacing w:before="0" w:beforeAutospacing="0" w:after="0" w:afterAutospacing="0" w:line="240" w:lineRule="auto"/>
              <w:ind w:left="0" w:leftChars="0" w:right="0" w:firstLine="0" w:firstLineChars="0"/>
              <w:jc w:val="center"/>
              <w:textAlignment w:val="baseline"/>
              <w:rPr>
                <w:rFonts w:hint="default"/>
                <w:sz w:val="21"/>
                <w:szCs w:val="21"/>
              </w:rPr>
            </w:pPr>
            <w:r>
              <w:rPr>
                <w:rFonts w:hint="eastAsia"/>
                <w:sz w:val="21"/>
                <w:szCs w:val="21"/>
                <w:lang w:eastAsia="zh-CN"/>
              </w:rPr>
              <w:t>循环水池</w:t>
            </w:r>
            <w:r>
              <w:rPr>
                <w:rFonts w:hint="eastAsia"/>
                <w:sz w:val="21"/>
                <w:szCs w:val="21"/>
              </w:rPr>
              <w:t>1#</w:t>
            </w:r>
          </w:p>
        </w:tc>
        <w:tc>
          <w:tcPr>
            <w:tcW w:w="1565" w:type="pct"/>
            <w:vMerge w:val="restart"/>
            <w:tcBorders>
              <w:tl2br w:val="nil"/>
              <w:tr2bl w:val="nil"/>
            </w:tcBorders>
            <w:vAlign w:val="center"/>
          </w:tcPr>
          <w:p w14:paraId="5A5147D4">
            <w:pPr>
              <w:suppressLineNumbers w:val="0"/>
              <w:adjustRightInd w:val="0"/>
              <w:spacing w:before="0" w:beforeAutospacing="0" w:after="0" w:afterAutospacing="0" w:line="240" w:lineRule="auto"/>
              <w:ind w:left="0" w:leftChars="0" w:right="0" w:firstLine="0" w:firstLineChars="0"/>
              <w:jc w:val="both"/>
              <w:textAlignment w:val="baseline"/>
              <w:rPr>
                <w:rFonts w:hint="default"/>
                <w:color w:val="auto"/>
                <w:sz w:val="21"/>
                <w:szCs w:val="21"/>
              </w:rPr>
            </w:pPr>
            <w:r>
              <w:rPr>
                <w:rFonts w:hint="eastAsia"/>
                <w:color w:val="auto"/>
                <w:sz w:val="21"/>
                <w:szCs w:val="21"/>
              </w:rPr>
              <w:t>占地面积</w:t>
            </w:r>
            <w:r>
              <w:rPr>
                <w:rFonts w:hint="eastAsia" w:cs="宋体"/>
                <w:snapToGrid w:val="0"/>
                <w:color w:val="auto"/>
                <w:kern w:val="0"/>
                <w:sz w:val="21"/>
                <w:szCs w:val="21"/>
                <w:lang w:val="en-US" w:eastAsia="zh-CN"/>
              </w:rPr>
              <w:t>567.16</w:t>
            </w:r>
            <w:r>
              <w:rPr>
                <w:rFonts w:hint="eastAsia" w:ascii="宋体" w:hAnsi="宋体" w:eastAsia="宋体" w:cs="宋体"/>
                <w:snapToGrid w:val="0"/>
                <w:color w:val="auto"/>
                <w:kern w:val="0"/>
                <w:sz w:val="21"/>
                <w:szCs w:val="21"/>
                <w:lang w:val="en-US" w:eastAsia="zh-CN"/>
              </w:rPr>
              <w:t>㎡</w:t>
            </w:r>
            <w:r>
              <w:rPr>
                <w:rFonts w:hint="eastAsia"/>
                <w:color w:val="auto"/>
                <w:sz w:val="21"/>
                <w:szCs w:val="21"/>
              </w:rPr>
              <w:t>，位于1#联合车间西侧</w:t>
            </w:r>
          </w:p>
        </w:tc>
        <w:tc>
          <w:tcPr>
            <w:tcW w:w="477" w:type="pct"/>
            <w:tcBorders>
              <w:tl2br w:val="nil"/>
              <w:tr2bl w:val="nil"/>
            </w:tcBorders>
            <w:vAlign w:val="center"/>
          </w:tcPr>
          <w:p w14:paraId="37F6F0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03F754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96" w:type="pct"/>
            <w:tcBorders>
              <w:tl2br w:val="nil"/>
              <w:tr2bl w:val="nil"/>
            </w:tcBorders>
            <w:vAlign w:val="center"/>
          </w:tcPr>
          <w:p w14:paraId="24D48E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321D4E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4AD469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r>
      <w:tr w14:paraId="139B20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4" w:type="pct"/>
            <w:vMerge w:val="continue"/>
            <w:tcBorders>
              <w:tl2br w:val="nil"/>
              <w:tr2bl w:val="nil"/>
            </w:tcBorders>
            <w:shd w:val="clear" w:color="auto" w:fill="auto"/>
            <w:vAlign w:val="center"/>
          </w:tcPr>
          <w:p w14:paraId="514CCE65">
            <w:pPr>
              <w:suppressLineNumbers w:val="0"/>
              <w:adjustRightInd w:val="0"/>
              <w:spacing w:before="0" w:beforeAutospacing="0" w:after="0" w:afterAutospacing="0" w:line="240" w:lineRule="auto"/>
              <w:ind w:left="0" w:leftChars="0" w:right="0" w:firstLine="0" w:firstLineChars="0"/>
              <w:jc w:val="center"/>
              <w:textAlignment w:val="baseline"/>
              <w:rPr>
                <w:rFonts w:hint="default"/>
                <w:sz w:val="21"/>
                <w:szCs w:val="21"/>
              </w:rPr>
            </w:pPr>
          </w:p>
        </w:tc>
        <w:tc>
          <w:tcPr>
            <w:tcW w:w="633" w:type="pct"/>
            <w:tcBorders>
              <w:tl2br w:val="nil"/>
              <w:tr2bl w:val="nil"/>
            </w:tcBorders>
            <w:vAlign w:val="center"/>
          </w:tcPr>
          <w:p w14:paraId="596EFCB1">
            <w:pPr>
              <w:suppressLineNumbers w:val="0"/>
              <w:adjustRightInd w:val="0"/>
              <w:spacing w:before="0" w:beforeAutospacing="0" w:after="0" w:afterAutospacing="0" w:line="240" w:lineRule="auto"/>
              <w:ind w:left="0" w:leftChars="0" w:right="0" w:firstLine="0" w:firstLineChars="0"/>
              <w:jc w:val="center"/>
              <w:textAlignment w:val="baseline"/>
              <w:rPr>
                <w:rFonts w:hint="default"/>
                <w:sz w:val="21"/>
                <w:szCs w:val="21"/>
              </w:rPr>
            </w:pPr>
            <w:r>
              <w:rPr>
                <w:rFonts w:hint="eastAsia"/>
                <w:sz w:val="21"/>
                <w:szCs w:val="21"/>
              </w:rPr>
              <w:t>冷却塔1#</w:t>
            </w:r>
          </w:p>
        </w:tc>
        <w:tc>
          <w:tcPr>
            <w:tcW w:w="1565" w:type="pct"/>
            <w:vMerge w:val="continue"/>
            <w:tcBorders>
              <w:tl2br w:val="nil"/>
              <w:tr2bl w:val="nil"/>
            </w:tcBorders>
            <w:vAlign w:val="center"/>
          </w:tcPr>
          <w:p w14:paraId="11E10578">
            <w:pPr>
              <w:suppressLineNumbers w:val="0"/>
              <w:adjustRightInd w:val="0"/>
              <w:spacing w:before="0" w:beforeAutospacing="0" w:after="0" w:afterAutospacing="0" w:line="240" w:lineRule="auto"/>
              <w:ind w:left="0" w:leftChars="0" w:right="0" w:firstLine="0" w:firstLineChars="0"/>
              <w:jc w:val="both"/>
              <w:textAlignment w:val="baseline"/>
              <w:rPr>
                <w:rFonts w:hint="default"/>
                <w:sz w:val="21"/>
                <w:szCs w:val="21"/>
              </w:rPr>
            </w:pPr>
          </w:p>
        </w:tc>
        <w:tc>
          <w:tcPr>
            <w:tcW w:w="477" w:type="pct"/>
            <w:tcBorders>
              <w:tl2br w:val="nil"/>
              <w:tr2bl w:val="nil"/>
            </w:tcBorders>
            <w:vAlign w:val="center"/>
          </w:tcPr>
          <w:p w14:paraId="75ED05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6712FC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96" w:type="pct"/>
            <w:tcBorders>
              <w:tl2br w:val="nil"/>
              <w:tr2bl w:val="nil"/>
            </w:tcBorders>
            <w:vAlign w:val="center"/>
          </w:tcPr>
          <w:p w14:paraId="28E70B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05FE4D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2E86D2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r>
      <w:tr w14:paraId="0634B1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4" w:type="pct"/>
            <w:vMerge w:val="continue"/>
            <w:tcBorders>
              <w:tl2br w:val="nil"/>
              <w:tr2bl w:val="nil"/>
            </w:tcBorders>
            <w:shd w:val="clear" w:color="auto" w:fill="auto"/>
            <w:vAlign w:val="center"/>
          </w:tcPr>
          <w:p w14:paraId="41A9D188">
            <w:pPr>
              <w:suppressLineNumbers w:val="0"/>
              <w:adjustRightInd w:val="0"/>
              <w:spacing w:before="0" w:beforeAutospacing="0" w:after="0" w:afterAutospacing="0" w:line="240" w:lineRule="auto"/>
              <w:ind w:left="0" w:leftChars="0" w:right="0" w:firstLine="0" w:firstLineChars="0"/>
              <w:jc w:val="center"/>
              <w:textAlignment w:val="baseline"/>
              <w:rPr>
                <w:rFonts w:hint="default"/>
                <w:sz w:val="21"/>
                <w:szCs w:val="21"/>
              </w:rPr>
            </w:pPr>
          </w:p>
        </w:tc>
        <w:tc>
          <w:tcPr>
            <w:tcW w:w="633" w:type="pct"/>
            <w:tcBorders>
              <w:tl2br w:val="nil"/>
              <w:tr2bl w:val="nil"/>
            </w:tcBorders>
            <w:vAlign w:val="center"/>
          </w:tcPr>
          <w:p w14:paraId="1C27C87F">
            <w:pPr>
              <w:suppressLineNumbers w:val="0"/>
              <w:adjustRightInd w:val="0"/>
              <w:spacing w:before="0" w:beforeAutospacing="0" w:after="0" w:afterAutospacing="0" w:line="240" w:lineRule="auto"/>
              <w:ind w:left="0" w:leftChars="0" w:right="0" w:firstLine="0" w:firstLineChars="0"/>
              <w:jc w:val="center"/>
              <w:textAlignment w:val="baseline"/>
              <w:rPr>
                <w:rFonts w:hint="default"/>
                <w:sz w:val="21"/>
                <w:szCs w:val="21"/>
              </w:rPr>
            </w:pPr>
            <w:r>
              <w:rPr>
                <w:rFonts w:hint="eastAsia"/>
                <w:sz w:val="21"/>
                <w:szCs w:val="21"/>
              </w:rPr>
              <w:t>电弧炉废气</w:t>
            </w:r>
          </w:p>
        </w:tc>
        <w:tc>
          <w:tcPr>
            <w:tcW w:w="1565" w:type="pct"/>
            <w:tcBorders>
              <w:tl2br w:val="nil"/>
              <w:tr2bl w:val="nil"/>
            </w:tcBorders>
            <w:vAlign w:val="center"/>
          </w:tcPr>
          <w:p w14:paraId="3D436A35">
            <w:pPr>
              <w:suppressLineNumbers w:val="0"/>
              <w:adjustRightInd w:val="0"/>
              <w:spacing w:before="0" w:beforeAutospacing="0" w:after="0" w:afterAutospacing="0" w:line="240" w:lineRule="auto"/>
              <w:ind w:left="0" w:leftChars="0" w:right="0" w:firstLine="0" w:firstLineChars="0"/>
              <w:jc w:val="both"/>
              <w:textAlignment w:val="baseline"/>
              <w:rPr>
                <w:rFonts w:hint="default"/>
                <w:sz w:val="21"/>
                <w:szCs w:val="21"/>
              </w:rPr>
            </w:pPr>
            <w:r>
              <w:rPr>
                <w:rFonts w:hint="eastAsia"/>
                <w:sz w:val="21"/>
                <w:szCs w:val="21"/>
              </w:rPr>
              <w:t>电弧炉废气分别经除（收）尘效率为99%，风机风量为24万</w:t>
            </w:r>
            <w:r>
              <w:rPr>
                <w:rFonts w:hint="eastAsia"/>
                <w:sz w:val="21"/>
                <w:szCs w:val="21"/>
                <w:lang w:eastAsia="zh-CN"/>
              </w:rPr>
              <w:t>m³</w:t>
            </w:r>
            <w:r>
              <w:rPr>
                <w:rFonts w:hint="eastAsia"/>
                <w:sz w:val="21"/>
                <w:szCs w:val="21"/>
              </w:rPr>
              <w:t>/h，处理效率为99%的“旋风除尘器”处理后高空（20m）排放</w:t>
            </w:r>
          </w:p>
        </w:tc>
        <w:tc>
          <w:tcPr>
            <w:tcW w:w="477" w:type="pct"/>
            <w:tcBorders>
              <w:tl2br w:val="nil"/>
              <w:tr2bl w:val="nil"/>
            </w:tcBorders>
            <w:vAlign w:val="center"/>
          </w:tcPr>
          <w:p w14:paraId="6186D8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51FE8E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96" w:type="pct"/>
            <w:tcBorders>
              <w:tl2br w:val="nil"/>
              <w:tr2bl w:val="nil"/>
            </w:tcBorders>
            <w:vAlign w:val="center"/>
          </w:tcPr>
          <w:p w14:paraId="6107CE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53190D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c>
          <w:tcPr>
            <w:tcW w:w="477" w:type="pct"/>
            <w:tcBorders>
              <w:tl2br w:val="nil"/>
              <w:tr2bl w:val="nil"/>
            </w:tcBorders>
            <w:vAlign w:val="center"/>
          </w:tcPr>
          <w:p w14:paraId="072770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auto"/>
                <w:kern w:val="0"/>
                <w:sz w:val="21"/>
                <w:szCs w:val="21"/>
                <w:lang w:val="en-US" w:eastAsia="zh-CN" w:bidi="ar-SA"/>
              </w:rPr>
            </w:pPr>
            <w:r>
              <w:rPr>
                <w:rFonts w:hint="eastAsia" w:ascii="宋体" w:hAnsi="宋体" w:eastAsia="宋体" w:cs="宋体"/>
                <w:snapToGrid w:val="0"/>
                <w:color w:val="auto"/>
                <w:kern w:val="0"/>
                <w:sz w:val="21"/>
                <w:szCs w:val="21"/>
                <w:lang w:val="en-US" w:eastAsia="zh-CN" w:bidi="ar-SA"/>
              </w:rPr>
              <w:t>-</w:t>
            </w:r>
          </w:p>
        </w:tc>
      </w:tr>
    </w:tbl>
    <w:p w14:paraId="6DC36F9B">
      <w:pPr>
        <w:pStyle w:val="3"/>
        <w:bidi w:val="0"/>
        <w:rPr>
          <w:rFonts w:hint="eastAsia"/>
          <w:lang w:val="en-US" w:eastAsia="zh-CN"/>
        </w:rPr>
      </w:pPr>
      <w:bookmarkStart w:id="170" w:name="_Toc15865"/>
      <w:bookmarkStart w:id="171" w:name="_Toc3309"/>
      <w:bookmarkStart w:id="172" w:name="_Toc30203"/>
      <w:r>
        <w:rPr>
          <w:rFonts w:hint="eastAsia"/>
          <w:lang w:val="en-US" w:eastAsia="zh-CN"/>
        </w:rPr>
        <w:t>建设规模和</w:t>
      </w:r>
      <w:bookmarkEnd w:id="170"/>
      <w:bookmarkEnd w:id="171"/>
      <w:r>
        <w:rPr>
          <w:rFonts w:hint="eastAsia"/>
          <w:lang w:val="en-US" w:eastAsia="zh-CN"/>
        </w:rPr>
        <w:t>产品方案</w:t>
      </w:r>
      <w:bookmarkEnd w:id="172"/>
    </w:p>
    <w:p w14:paraId="258C1F29">
      <w:pPr>
        <w:bidi w:val="0"/>
        <w:rPr>
          <w:rFonts w:hint="eastAsia"/>
          <w:lang w:val="en-US" w:eastAsia="zh-CN"/>
        </w:rPr>
      </w:pPr>
      <w:r>
        <w:rPr>
          <w:rFonts w:hint="eastAsia"/>
        </w:rPr>
        <w:t>本项目一期建设规模：</w:t>
      </w:r>
      <w:r>
        <w:rPr>
          <w:rFonts w:hint="eastAsia"/>
          <w:lang w:eastAsia="zh-CN"/>
        </w:rPr>
        <w:t>年产</w:t>
      </w:r>
      <w:r>
        <w:rPr>
          <w:rFonts w:hint="eastAsia"/>
          <w:lang w:val="en-US" w:eastAsia="zh-CN"/>
        </w:rPr>
        <w:t>1</w:t>
      </w:r>
      <w:r>
        <w:rPr>
          <w:rFonts w:hint="eastAsia"/>
          <w:lang w:eastAsia="zh-CN"/>
        </w:rPr>
        <w:t>万吨</w:t>
      </w:r>
      <w:r>
        <w:rPr>
          <w:rFonts w:hint="eastAsia"/>
        </w:rPr>
        <w:t>单斜电熔氧化锆。</w:t>
      </w:r>
    </w:p>
    <w:p w14:paraId="463A1E75">
      <w:pPr>
        <w:bidi w:val="0"/>
        <w:rPr>
          <w:rFonts w:hint="eastAsia"/>
          <w:lang w:val="en-US" w:eastAsia="zh-CN"/>
        </w:rPr>
      </w:pPr>
      <w:r>
        <w:rPr>
          <w:rFonts w:hint="eastAsia"/>
        </w:rPr>
        <w:t>产品方案：</w:t>
      </w:r>
      <w:r>
        <w:rPr>
          <w:rFonts w:hint="eastAsia"/>
          <w:lang w:val="en-US" w:eastAsia="zh-CN"/>
        </w:rPr>
        <w:t>电熔氧化锆</w:t>
      </w:r>
      <w:r>
        <w:rPr>
          <w:rFonts w:hint="eastAsia"/>
          <w:lang w:eastAsia="zh-CN"/>
        </w:rPr>
        <w:t>、</w:t>
      </w:r>
      <w:r>
        <w:rPr>
          <w:rFonts w:hint="eastAsia"/>
        </w:rPr>
        <w:t>SiO</w:t>
      </w:r>
      <w:r>
        <w:rPr>
          <w:rFonts w:hint="eastAsia"/>
          <w:vertAlign w:val="subscript"/>
        </w:rPr>
        <w:t>2</w:t>
      </w:r>
      <w:r>
        <w:rPr>
          <w:rFonts w:hint="eastAsia"/>
        </w:rPr>
        <w:t>。产品方案见表</w:t>
      </w:r>
      <w:r>
        <w:rPr>
          <w:rFonts w:hint="eastAsia"/>
          <w:lang w:val="en-US" w:eastAsia="zh-CN"/>
        </w:rPr>
        <w:t>2-2。</w:t>
      </w:r>
    </w:p>
    <w:p w14:paraId="01C12537">
      <w:pPr>
        <w:pStyle w:val="12"/>
        <w:rPr>
          <w:rFonts w:hint="eastAsia" w:ascii="宋体" w:hAnsi="宋体" w:eastAsia="宋体" w:cs="宋体"/>
          <w:lang w:val="en-US" w:eastAsia="zh-CN"/>
        </w:rPr>
      </w:pPr>
      <w:r>
        <w:rPr>
          <w:rFonts w:ascii="宋体" w:hAnsi="宋体" w:eastAsia="宋体" w:cs="宋体"/>
        </w:rPr>
        <w:t xml:space="preserve">表 </w:t>
      </w:r>
      <w:r>
        <w:rPr>
          <w:rFonts w:ascii="宋体" w:hAnsi="宋体" w:eastAsia="宋体" w:cs="宋体"/>
        </w:rPr>
        <w:fldChar w:fldCharType="begin"/>
      </w:r>
      <w:r>
        <w:rPr>
          <w:rFonts w:ascii="宋体" w:hAnsi="宋体" w:eastAsia="宋体" w:cs="宋体"/>
        </w:rPr>
        <w:instrText xml:space="preserve"> STYLEREF 1 \s </w:instrText>
      </w:r>
      <w:r>
        <w:rPr>
          <w:rFonts w:ascii="宋体" w:hAnsi="宋体" w:eastAsia="宋体" w:cs="宋体"/>
        </w:rPr>
        <w:fldChar w:fldCharType="separate"/>
      </w:r>
      <w:r>
        <w:rPr>
          <w:rFonts w:ascii="宋体" w:hAnsi="宋体" w:eastAsia="宋体" w:cs="宋体"/>
        </w:rPr>
        <w:t>2</w:t>
      </w:r>
      <w:r>
        <w:rPr>
          <w:rFonts w:ascii="宋体" w:hAnsi="宋体" w:eastAsia="宋体" w:cs="宋体"/>
        </w:rPr>
        <w:fldChar w:fldCharType="end"/>
      </w:r>
      <w:r>
        <w:rPr>
          <w:rFonts w:hint="eastAsia" w:ascii="宋体" w:hAnsi="宋体" w:eastAsia="宋体" w:cs="宋体"/>
          <w:lang w:eastAsia="zh-CN"/>
        </w:rPr>
        <w:t>-</w:t>
      </w:r>
      <w:r>
        <w:rPr>
          <w:rFonts w:ascii="宋体" w:hAnsi="宋体" w:eastAsia="宋体" w:cs="宋体"/>
        </w:rPr>
        <w:fldChar w:fldCharType="begin"/>
      </w:r>
      <w:r>
        <w:rPr>
          <w:rFonts w:ascii="宋体" w:hAnsi="宋体" w:eastAsia="宋体" w:cs="宋体"/>
        </w:rPr>
        <w:instrText xml:space="preserve"> SEQ 表 \* ARABIC \s 1 </w:instrText>
      </w:r>
      <w:r>
        <w:rPr>
          <w:rFonts w:ascii="宋体" w:hAnsi="宋体" w:eastAsia="宋体" w:cs="宋体"/>
        </w:rPr>
        <w:fldChar w:fldCharType="separate"/>
      </w:r>
      <w:r>
        <w:rPr>
          <w:rFonts w:ascii="宋体" w:hAnsi="宋体" w:eastAsia="宋体" w:cs="宋体"/>
        </w:rPr>
        <w:t>2</w:t>
      </w:r>
      <w:r>
        <w:rPr>
          <w:rFonts w:ascii="宋体" w:hAnsi="宋体" w:eastAsia="宋体" w:cs="宋体"/>
        </w:rPr>
        <w:fldChar w:fldCharType="end"/>
      </w:r>
      <w:r>
        <w:rPr>
          <w:rFonts w:hint="eastAsia" w:ascii="宋体" w:hAnsi="宋体" w:eastAsia="宋体" w:cs="宋体"/>
          <w:lang w:eastAsia="zh-CN"/>
        </w:rPr>
        <w:t xml:space="preserve"> </w:t>
      </w:r>
      <w:r>
        <w:rPr>
          <w:rFonts w:hint="eastAsia" w:ascii="宋体" w:hAnsi="宋体" w:cs="宋体"/>
          <w:b/>
          <w:bCs/>
          <w:color w:val="auto"/>
          <w:sz w:val="24"/>
          <w:szCs w:val="24"/>
        </w:rPr>
        <w:t>建设项目产品方案表</w:t>
      </w:r>
    </w:p>
    <w:tbl>
      <w:tblPr>
        <w:tblStyle w:val="33"/>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89"/>
        <w:gridCol w:w="1057"/>
        <w:gridCol w:w="1110"/>
        <w:gridCol w:w="3934"/>
        <w:gridCol w:w="1929"/>
      </w:tblGrid>
      <w:tr w14:paraId="0C8A88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287" w:type="pct"/>
            <w:tcBorders>
              <w:tl2br w:val="nil"/>
              <w:tr2bl w:val="nil"/>
            </w:tcBorders>
            <w:vAlign w:val="center"/>
          </w:tcPr>
          <w:p w14:paraId="6476F1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b/>
                <w:bCs/>
                <w:sz w:val="21"/>
                <w:szCs w:val="21"/>
              </w:rPr>
            </w:pPr>
            <w:r>
              <w:rPr>
                <w:rFonts w:hint="eastAsia"/>
                <w:b/>
                <w:bCs/>
                <w:sz w:val="21"/>
                <w:szCs w:val="21"/>
              </w:rPr>
              <w:t>序号</w:t>
            </w:r>
          </w:p>
        </w:tc>
        <w:tc>
          <w:tcPr>
            <w:tcW w:w="620" w:type="pct"/>
            <w:tcBorders>
              <w:tl2br w:val="nil"/>
              <w:tr2bl w:val="nil"/>
            </w:tcBorders>
            <w:vAlign w:val="center"/>
          </w:tcPr>
          <w:p w14:paraId="2BF89B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b/>
                <w:bCs/>
                <w:sz w:val="21"/>
                <w:szCs w:val="21"/>
              </w:rPr>
            </w:pPr>
            <w:r>
              <w:rPr>
                <w:rFonts w:hint="eastAsia"/>
                <w:b/>
                <w:bCs/>
                <w:sz w:val="21"/>
                <w:szCs w:val="21"/>
              </w:rPr>
              <w:t>产品</w:t>
            </w:r>
          </w:p>
        </w:tc>
        <w:tc>
          <w:tcPr>
            <w:tcW w:w="651" w:type="pct"/>
            <w:tcBorders>
              <w:tl2br w:val="nil"/>
              <w:tr2bl w:val="nil"/>
            </w:tcBorders>
            <w:vAlign w:val="center"/>
          </w:tcPr>
          <w:p w14:paraId="1364D9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b/>
                <w:bCs/>
                <w:sz w:val="21"/>
                <w:szCs w:val="21"/>
              </w:rPr>
            </w:pPr>
            <w:r>
              <w:rPr>
                <w:rFonts w:hint="eastAsia"/>
                <w:b/>
                <w:bCs/>
                <w:sz w:val="21"/>
                <w:szCs w:val="21"/>
              </w:rPr>
              <w:t>生产规模（t/a）</w:t>
            </w:r>
          </w:p>
        </w:tc>
        <w:tc>
          <w:tcPr>
            <w:tcW w:w="2308" w:type="pct"/>
            <w:tcBorders>
              <w:tl2br w:val="nil"/>
              <w:tr2bl w:val="nil"/>
            </w:tcBorders>
            <w:vAlign w:val="center"/>
          </w:tcPr>
          <w:p w14:paraId="305FD2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eastAsia="宋体"/>
                <w:b/>
                <w:bCs/>
                <w:sz w:val="21"/>
                <w:szCs w:val="21"/>
                <w:lang w:eastAsia="zh-CN"/>
              </w:rPr>
            </w:pPr>
            <w:r>
              <w:rPr>
                <w:rFonts w:hint="eastAsia"/>
                <w:b/>
                <w:bCs/>
                <w:sz w:val="21"/>
                <w:szCs w:val="21"/>
                <w:lang w:val="en-US" w:eastAsia="zh-CN"/>
              </w:rPr>
              <w:t>成分</w:t>
            </w:r>
          </w:p>
        </w:tc>
        <w:tc>
          <w:tcPr>
            <w:tcW w:w="1132" w:type="pct"/>
            <w:tcBorders>
              <w:tl2br w:val="nil"/>
              <w:tr2bl w:val="nil"/>
            </w:tcBorders>
            <w:vAlign w:val="center"/>
          </w:tcPr>
          <w:p w14:paraId="0CD023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eastAsia="宋体"/>
                <w:b/>
                <w:bCs/>
                <w:sz w:val="21"/>
                <w:szCs w:val="21"/>
                <w:lang w:val="en-US" w:eastAsia="zh-CN"/>
              </w:rPr>
            </w:pPr>
            <w:r>
              <w:rPr>
                <w:rFonts w:hint="eastAsia"/>
                <w:b/>
                <w:bCs/>
                <w:sz w:val="21"/>
                <w:szCs w:val="21"/>
                <w:lang w:val="en-US" w:eastAsia="zh-CN"/>
              </w:rPr>
              <w:t>备注</w:t>
            </w:r>
          </w:p>
        </w:tc>
      </w:tr>
      <w:tr w14:paraId="5EF34A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87" w:type="pct"/>
            <w:tcBorders>
              <w:tl2br w:val="nil"/>
              <w:tr2bl w:val="nil"/>
            </w:tcBorders>
            <w:vAlign w:val="center"/>
          </w:tcPr>
          <w:p w14:paraId="41634F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sz w:val="21"/>
                <w:szCs w:val="21"/>
              </w:rPr>
            </w:pPr>
            <w:r>
              <w:rPr>
                <w:rFonts w:hint="eastAsia"/>
                <w:sz w:val="21"/>
                <w:szCs w:val="21"/>
              </w:rPr>
              <w:t>1</w:t>
            </w:r>
          </w:p>
        </w:tc>
        <w:tc>
          <w:tcPr>
            <w:tcW w:w="620" w:type="pct"/>
            <w:tcBorders>
              <w:tl2br w:val="nil"/>
              <w:tr2bl w:val="nil"/>
            </w:tcBorders>
            <w:vAlign w:val="center"/>
          </w:tcPr>
          <w:p w14:paraId="42E4CC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宋体" w:hAnsi="宋体" w:eastAsia="宋体" w:cs="Times New Roman"/>
                <w:sz w:val="21"/>
                <w:szCs w:val="21"/>
              </w:rPr>
            </w:pPr>
            <w:r>
              <w:rPr>
                <w:rFonts w:hint="eastAsia" w:ascii="宋体" w:hAnsi="宋体" w:eastAsia="宋体" w:cs="Times New Roman"/>
                <w:sz w:val="21"/>
                <w:szCs w:val="21"/>
              </w:rPr>
              <w:t>电熔氧化锆</w:t>
            </w:r>
          </w:p>
        </w:tc>
        <w:tc>
          <w:tcPr>
            <w:tcW w:w="651" w:type="pct"/>
            <w:tcBorders>
              <w:tl2br w:val="nil"/>
              <w:tr2bl w:val="nil"/>
            </w:tcBorders>
            <w:vAlign w:val="center"/>
          </w:tcPr>
          <w:p w14:paraId="086225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宋体" w:hAnsi="宋体" w:eastAsia="宋体" w:cs="Times New Roman"/>
                <w:sz w:val="21"/>
                <w:szCs w:val="21"/>
              </w:rPr>
            </w:pPr>
            <w:r>
              <w:rPr>
                <w:rFonts w:hint="eastAsia" w:cs="Times New Roman"/>
                <w:sz w:val="21"/>
                <w:szCs w:val="21"/>
                <w:lang w:val="en-US" w:eastAsia="zh-CN"/>
              </w:rPr>
              <w:t>1</w:t>
            </w:r>
            <w:r>
              <w:rPr>
                <w:rFonts w:hint="eastAsia" w:ascii="宋体" w:hAnsi="宋体" w:eastAsia="宋体" w:cs="Times New Roman"/>
                <w:sz w:val="21"/>
                <w:szCs w:val="21"/>
              </w:rPr>
              <w:t>0000</w:t>
            </w:r>
          </w:p>
        </w:tc>
        <w:tc>
          <w:tcPr>
            <w:tcW w:w="2308" w:type="pct"/>
            <w:tcBorders>
              <w:tl2br w:val="nil"/>
              <w:tr2bl w:val="nil"/>
            </w:tcBorders>
            <w:vAlign w:val="center"/>
          </w:tcPr>
          <w:p w14:paraId="5BD97C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sz w:val="21"/>
                <w:szCs w:val="21"/>
                <w:lang w:eastAsia="zh-CN"/>
              </w:rPr>
            </w:pPr>
            <w:r>
              <w:rPr>
                <w:rFonts w:hint="eastAsia"/>
                <w:sz w:val="21"/>
                <w:szCs w:val="21"/>
              </w:rPr>
              <w:t>电熔氧化锆成分为：ZrO</w:t>
            </w:r>
            <w:r>
              <w:rPr>
                <w:rFonts w:hint="eastAsia"/>
                <w:sz w:val="21"/>
                <w:szCs w:val="21"/>
                <w:vertAlign w:val="subscript"/>
              </w:rPr>
              <w:t>2</w:t>
            </w:r>
            <w:r>
              <w:rPr>
                <w:rFonts w:hint="eastAsia"/>
                <w:sz w:val="21"/>
                <w:szCs w:val="21"/>
              </w:rPr>
              <w:t>+HfO</w:t>
            </w:r>
            <w:r>
              <w:rPr>
                <w:rFonts w:hint="eastAsia"/>
                <w:sz w:val="21"/>
                <w:szCs w:val="21"/>
                <w:vertAlign w:val="subscript"/>
              </w:rPr>
              <w:t>2</w:t>
            </w:r>
            <w:r>
              <w:rPr>
                <w:rFonts w:hint="eastAsia"/>
                <w:sz w:val="21"/>
                <w:szCs w:val="21"/>
              </w:rPr>
              <w:t>其含量为98.81%，Fe</w:t>
            </w:r>
            <w:r>
              <w:rPr>
                <w:rFonts w:hint="eastAsia"/>
                <w:sz w:val="21"/>
                <w:szCs w:val="21"/>
                <w:vertAlign w:val="subscript"/>
              </w:rPr>
              <w:t>2</w:t>
            </w:r>
            <w:r>
              <w:rPr>
                <w:rFonts w:hint="eastAsia"/>
                <w:sz w:val="21"/>
                <w:szCs w:val="21"/>
              </w:rPr>
              <w:t>O</w:t>
            </w:r>
            <w:r>
              <w:rPr>
                <w:rFonts w:hint="eastAsia"/>
                <w:sz w:val="21"/>
                <w:szCs w:val="21"/>
                <w:vertAlign w:val="subscript"/>
              </w:rPr>
              <w:t>3</w:t>
            </w:r>
            <w:r>
              <w:rPr>
                <w:rFonts w:hint="eastAsia"/>
                <w:sz w:val="21"/>
                <w:szCs w:val="21"/>
              </w:rPr>
              <w:t>其含量为0.031%，SiO</w:t>
            </w:r>
            <w:r>
              <w:rPr>
                <w:rFonts w:hint="eastAsia"/>
                <w:sz w:val="21"/>
                <w:szCs w:val="21"/>
                <w:vertAlign w:val="subscript"/>
              </w:rPr>
              <w:t>2</w:t>
            </w:r>
            <w:r>
              <w:rPr>
                <w:rFonts w:hint="eastAsia"/>
                <w:sz w:val="21"/>
                <w:szCs w:val="21"/>
              </w:rPr>
              <w:t>其含量为0.23%，Al</w:t>
            </w:r>
            <w:r>
              <w:rPr>
                <w:rFonts w:hint="eastAsia"/>
                <w:sz w:val="21"/>
                <w:szCs w:val="21"/>
                <w:vertAlign w:val="subscript"/>
              </w:rPr>
              <w:t>2</w:t>
            </w:r>
            <w:r>
              <w:rPr>
                <w:rFonts w:hint="eastAsia"/>
                <w:sz w:val="21"/>
                <w:szCs w:val="21"/>
              </w:rPr>
              <w:t>O</w:t>
            </w:r>
            <w:r>
              <w:rPr>
                <w:rFonts w:hint="eastAsia"/>
                <w:sz w:val="21"/>
                <w:szCs w:val="21"/>
                <w:vertAlign w:val="subscript"/>
              </w:rPr>
              <w:t>3</w:t>
            </w:r>
            <w:r>
              <w:rPr>
                <w:rFonts w:hint="eastAsia"/>
                <w:sz w:val="21"/>
                <w:szCs w:val="21"/>
              </w:rPr>
              <w:t>其含量为0.28%，TiO</w:t>
            </w:r>
            <w:r>
              <w:rPr>
                <w:rFonts w:hint="eastAsia"/>
                <w:sz w:val="21"/>
                <w:szCs w:val="21"/>
                <w:vertAlign w:val="subscript"/>
              </w:rPr>
              <w:t>2</w:t>
            </w:r>
            <w:r>
              <w:rPr>
                <w:rFonts w:hint="eastAsia"/>
                <w:sz w:val="21"/>
                <w:szCs w:val="21"/>
              </w:rPr>
              <w:t>其含量为0.20%。</w:t>
            </w:r>
          </w:p>
        </w:tc>
        <w:tc>
          <w:tcPr>
            <w:tcW w:w="1132" w:type="pct"/>
            <w:tcBorders>
              <w:tl2br w:val="nil"/>
              <w:tr2bl w:val="nil"/>
            </w:tcBorders>
            <w:vAlign w:val="center"/>
          </w:tcPr>
          <w:p w14:paraId="65663A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主产品</w:t>
            </w:r>
          </w:p>
        </w:tc>
      </w:tr>
      <w:tr w14:paraId="2B3280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87" w:type="pct"/>
            <w:tcBorders>
              <w:tl2br w:val="nil"/>
              <w:tr2bl w:val="nil"/>
            </w:tcBorders>
            <w:vAlign w:val="center"/>
          </w:tcPr>
          <w:p w14:paraId="500DBE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sz w:val="21"/>
                <w:szCs w:val="21"/>
                <w:lang w:val="en-US" w:eastAsia="zh-CN"/>
              </w:rPr>
            </w:pPr>
            <w:r>
              <w:rPr>
                <w:rFonts w:hint="eastAsia"/>
                <w:sz w:val="21"/>
                <w:szCs w:val="21"/>
                <w:lang w:val="en-US" w:eastAsia="zh-CN"/>
              </w:rPr>
              <w:t>2</w:t>
            </w:r>
          </w:p>
        </w:tc>
        <w:tc>
          <w:tcPr>
            <w:tcW w:w="620" w:type="pct"/>
            <w:tcBorders>
              <w:tl2br w:val="nil"/>
              <w:tr2bl w:val="nil"/>
            </w:tcBorders>
            <w:vAlign w:val="center"/>
          </w:tcPr>
          <w:p w14:paraId="537DD6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sz w:val="21"/>
                <w:szCs w:val="21"/>
              </w:rPr>
            </w:pPr>
            <w:r>
              <w:rPr>
                <w:rFonts w:hint="eastAsia"/>
                <w:sz w:val="21"/>
                <w:szCs w:val="21"/>
              </w:rPr>
              <w:t>SiO</w:t>
            </w:r>
            <w:r>
              <w:rPr>
                <w:rFonts w:hint="eastAsia"/>
                <w:sz w:val="21"/>
                <w:szCs w:val="21"/>
                <w:vertAlign w:val="subscript"/>
              </w:rPr>
              <w:t>2</w:t>
            </w:r>
          </w:p>
        </w:tc>
        <w:tc>
          <w:tcPr>
            <w:tcW w:w="651" w:type="pct"/>
            <w:tcBorders>
              <w:tl2br w:val="nil"/>
              <w:tr2bl w:val="nil"/>
            </w:tcBorders>
            <w:vAlign w:val="center"/>
          </w:tcPr>
          <w:p w14:paraId="09DB96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宋体" w:hAnsi="宋体" w:eastAsia="宋体" w:cs="Times New Roman"/>
                <w:sz w:val="21"/>
                <w:szCs w:val="21"/>
                <w:lang w:val="en-US" w:eastAsia="zh-CN"/>
              </w:rPr>
            </w:pPr>
            <w:r>
              <w:rPr>
                <w:rFonts w:hint="eastAsia" w:cs="Times New Roman"/>
                <w:sz w:val="21"/>
                <w:szCs w:val="21"/>
                <w:lang w:val="en-US" w:eastAsia="zh-CN"/>
              </w:rPr>
              <w:t>5600</w:t>
            </w:r>
          </w:p>
        </w:tc>
        <w:tc>
          <w:tcPr>
            <w:tcW w:w="2308" w:type="pct"/>
            <w:tcBorders>
              <w:tl2br w:val="nil"/>
              <w:tr2bl w:val="nil"/>
            </w:tcBorders>
            <w:vAlign w:val="center"/>
          </w:tcPr>
          <w:p w14:paraId="7DA60B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sz w:val="21"/>
                <w:szCs w:val="21"/>
              </w:rPr>
            </w:pPr>
            <w:r>
              <w:rPr>
                <w:rFonts w:hint="eastAsia"/>
                <w:sz w:val="21"/>
                <w:szCs w:val="21"/>
              </w:rPr>
              <w:t>SiO</w:t>
            </w:r>
            <w:r>
              <w:rPr>
                <w:rFonts w:hint="eastAsia"/>
                <w:sz w:val="21"/>
                <w:szCs w:val="21"/>
                <w:vertAlign w:val="subscript"/>
              </w:rPr>
              <w:t>2</w:t>
            </w:r>
            <w:r>
              <w:rPr>
                <w:rFonts w:hint="eastAsia"/>
                <w:sz w:val="21"/>
                <w:szCs w:val="21"/>
              </w:rPr>
              <w:t>成分为：ZrO</w:t>
            </w:r>
            <w:r>
              <w:rPr>
                <w:rFonts w:hint="eastAsia"/>
                <w:sz w:val="21"/>
                <w:szCs w:val="21"/>
                <w:vertAlign w:val="subscript"/>
              </w:rPr>
              <w:t>2</w:t>
            </w:r>
            <w:r>
              <w:rPr>
                <w:rFonts w:hint="eastAsia"/>
                <w:sz w:val="21"/>
                <w:szCs w:val="21"/>
              </w:rPr>
              <w:t>+HfO</w:t>
            </w:r>
            <w:r>
              <w:rPr>
                <w:rFonts w:hint="eastAsia"/>
                <w:sz w:val="21"/>
                <w:szCs w:val="21"/>
                <w:vertAlign w:val="subscript"/>
              </w:rPr>
              <w:t>2</w:t>
            </w:r>
            <w:r>
              <w:rPr>
                <w:rFonts w:hint="eastAsia"/>
                <w:sz w:val="21"/>
                <w:szCs w:val="21"/>
              </w:rPr>
              <w:t>其含量为2.2%，Fe</w:t>
            </w:r>
            <w:r>
              <w:rPr>
                <w:rFonts w:hint="eastAsia"/>
                <w:sz w:val="21"/>
                <w:szCs w:val="21"/>
                <w:vertAlign w:val="subscript"/>
              </w:rPr>
              <w:t>2</w:t>
            </w:r>
            <w:r>
              <w:rPr>
                <w:rFonts w:hint="eastAsia"/>
                <w:sz w:val="21"/>
                <w:szCs w:val="21"/>
              </w:rPr>
              <w:t>O</w:t>
            </w:r>
            <w:r>
              <w:rPr>
                <w:rFonts w:hint="eastAsia"/>
                <w:sz w:val="21"/>
                <w:szCs w:val="21"/>
                <w:vertAlign w:val="subscript"/>
              </w:rPr>
              <w:t>3</w:t>
            </w:r>
            <w:r>
              <w:rPr>
                <w:rFonts w:hint="eastAsia"/>
                <w:sz w:val="21"/>
                <w:szCs w:val="21"/>
              </w:rPr>
              <w:t>其含量为0.46%，SiO</w:t>
            </w:r>
            <w:r>
              <w:rPr>
                <w:rFonts w:hint="eastAsia"/>
                <w:sz w:val="21"/>
                <w:szCs w:val="21"/>
                <w:vertAlign w:val="subscript"/>
              </w:rPr>
              <w:t>2</w:t>
            </w:r>
            <w:r>
              <w:rPr>
                <w:rFonts w:hint="eastAsia"/>
                <w:sz w:val="21"/>
                <w:szCs w:val="21"/>
              </w:rPr>
              <w:t>其含量为96.44%；粒度为2.071</w:t>
            </w:r>
          </w:p>
        </w:tc>
        <w:tc>
          <w:tcPr>
            <w:tcW w:w="1132" w:type="pct"/>
            <w:tcBorders>
              <w:tl2br w:val="nil"/>
              <w:tr2bl w:val="nil"/>
            </w:tcBorders>
            <w:vAlign w:val="center"/>
          </w:tcPr>
          <w:p w14:paraId="023D4F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ascii="宋体" w:hAnsi="宋体" w:eastAsia="宋体" w:cs="Times New Roman"/>
                <w:sz w:val="21"/>
                <w:szCs w:val="21"/>
              </w:rPr>
            </w:pPr>
            <w:r>
              <w:rPr>
                <w:rFonts w:hint="eastAsia" w:ascii="宋体" w:hAnsi="宋体" w:eastAsia="宋体" w:cs="Times New Roman"/>
                <w:sz w:val="21"/>
                <w:szCs w:val="21"/>
              </w:rPr>
              <w:t>产品副产物</w:t>
            </w:r>
          </w:p>
        </w:tc>
      </w:tr>
    </w:tbl>
    <w:p w14:paraId="0FFCF035">
      <w:pPr>
        <w:pStyle w:val="12"/>
        <w:rPr>
          <w:rFonts w:hint="eastAsia" w:eastAsia="宋体"/>
          <w:lang w:eastAsia="zh-CN"/>
        </w:rPr>
      </w:pPr>
    </w:p>
    <w:p w14:paraId="0B09F8B5">
      <w:pPr>
        <w:pStyle w:val="3"/>
        <w:keepNext w:val="0"/>
        <w:keepLines w:val="0"/>
        <w:pageBreakBefore w:val="0"/>
        <w:widowControl w:val="0"/>
        <w:kinsoku/>
        <w:bidi w:val="0"/>
        <w:rPr>
          <w:lang w:val="en-US" w:eastAsia="zh-CN"/>
        </w:rPr>
      </w:pPr>
      <w:bookmarkStart w:id="173" w:name="_Toc16035"/>
      <w:bookmarkStart w:id="174" w:name="_Toc208371278"/>
      <w:bookmarkStart w:id="175" w:name="_Toc210015040"/>
      <w:bookmarkStart w:id="176" w:name="_Toc210014417"/>
      <w:bookmarkStart w:id="177" w:name="_Toc55033291"/>
      <w:bookmarkStart w:id="178" w:name="_Toc522811429"/>
      <w:bookmarkStart w:id="179" w:name="_Toc55945228"/>
      <w:bookmarkStart w:id="180" w:name="_Toc393462799"/>
      <w:bookmarkStart w:id="181" w:name="_Toc60925334"/>
      <w:bookmarkStart w:id="182" w:name="_Toc413501819"/>
      <w:bookmarkStart w:id="183" w:name="_Toc378002194"/>
      <w:bookmarkStart w:id="184" w:name="_Toc531271053"/>
      <w:bookmarkStart w:id="185" w:name="_Toc55567353"/>
      <w:bookmarkStart w:id="186" w:name="_Toc378322665"/>
      <w:bookmarkStart w:id="187" w:name="_Toc394409061"/>
      <w:r>
        <w:rPr>
          <w:color w:val="auto"/>
        </w:rPr>
        <w:t>项目</w:t>
      </w:r>
      <w:r>
        <w:rPr>
          <w:rFonts w:hint="eastAsia"/>
          <w:color w:val="auto"/>
          <w:lang w:val="en-US" w:eastAsia="zh-CN"/>
        </w:rPr>
        <w:t>建设</w:t>
      </w:r>
      <w:r>
        <w:rPr>
          <w:color w:val="auto"/>
        </w:rPr>
        <w:t>基本情况</w:t>
      </w:r>
      <w:bookmarkEnd w:id="173"/>
    </w:p>
    <w:bookmarkEnd w:id="174"/>
    <w:bookmarkEnd w:id="175"/>
    <w:bookmarkEnd w:id="176"/>
    <w:p w14:paraId="216634B8">
      <w:pPr>
        <w:pStyle w:val="4"/>
        <w:bidi w:val="0"/>
        <w:rPr>
          <w:lang w:val="en-US" w:eastAsia="zh-CN"/>
        </w:rPr>
      </w:pPr>
      <w:bookmarkStart w:id="188" w:name="_Toc19441"/>
      <w:bookmarkStart w:id="189" w:name="_Toc23211"/>
      <w:bookmarkStart w:id="190" w:name="_Toc14736"/>
      <w:bookmarkStart w:id="191" w:name="_Toc1217"/>
      <w:bookmarkStart w:id="192" w:name="_Toc7809"/>
      <w:r>
        <w:rPr>
          <w:rFonts w:hint="eastAsia"/>
          <w:lang w:val="en-US" w:eastAsia="zh-CN"/>
        </w:rPr>
        <w:t>建设项目历程</w:t>
      </w:r>
      <w:bookmarkEnd w:id="188"/>
      <w:bookmarkEnd w:id="189"/>
      <w:bookmarkEnd w:id="190"/>
    </w:p>
    <w:p w14:paraId="253619B1">
      <w:pPr>
        <w:keepNext w:val="0"/>
        <w:keepLines w:val="0"/>
        <w:pageBreakBefore w:val="0"/>
        <w:widowControl w:val="0"/>
        <w:numPr>
          <w:ilvl w:val="0"/>
          <w:numId w:val="10"/>
        </w:numPr>
        <w:kinsoku/>
        <w:wordWrap/>
        <w:overflowPunct/>
        <w:topLinePunct w:val="0"/>
        <w:autoSpaceDE/>
        <w:autoSpaceDN/>
        <w:bidi w:val="0"/>
        <w:adjustRightInd w:val="0"/>
        <w:snapToGrid/>
        <w:spacing w:line="500" w:lineRule="exact"/>
        <w:ind w:left="0" w:leftChars="0" w:firstLine="560" w:firstLineChars="200"/>
        <w:jc w:val="both"/>
        <w:textAlignment w:val="auto"/>
        <w:rPr>
          <w:rFonts w:hint="default"/>
        </w:rPr>
      </w:pPr>
      <w:r>
        <w:rPr>
          <w:rFonts w:hint="eastAsia" w:ascii="宋体" w:hAnsi="宋体"/>
          <w:sz w:val="28"/>
          <w:szCs w:val="28"/>
        </w:rPr>
        <w:t>《云南东锆新材料有限公司年产3万吨电熔氧化锆产业基地建设项目可行性研究报告》</w:t>
      </w:r>
      <w:r>
        <w:rPr>
          <w:rFonts w:hint="eastAsia" w:ascii="宋体" w:hAnsi="宋体"/>
          <w:sz w:val="28"/>
          <w:szCs w:val="28"/>
          <w:lang w:eastAsia="zh-CN"/>
        </w:rPr>
        <w:t>（</w:t>
      </w:r>
      <w:r>
        <w:rPr>
          <w:rFonts w:hint="eastAsia" w:ascii="宋体" w:hAnsi="宋体"/>
          <w:sz w:val="28"/>
          <w:szCs w:val="28"/>
        </w:rPr>
        <w:t>云南省设计院集团有限公司</w:t>
      </w:r>
      <w:r>
        <w:rPr>
          <w:rFonts w:hint="eastAsia" w:ascii="宋体" w:hAnsi="宋体"/>
          <w:sz w:val="28"/>
          <w:szCs w:val="28"/>
          <w:lang w:eastAsia="zh-CN"/>
        </w:rPr>
        <w:t>，</w:t>
      </w:r>
      <w:r>
        <w:rPr>
          <w:rFonts w:hint="eastAsia" w:ascii="宋体" w:hAnsi="宋体"/>
          <w:sz w:val="28"/>
          <w:szCs w:val="28"/>
        </w:rPr>
        <w:t>2</w:t>
      </w:r>
      <w:r>
        <w:rPr>
          <w:rFonts w:ascii="宋体" w:hAnsi="宋体"/>
          <w:sz w:val="28"/>
          <w:szCs w:val="28"/>
        </w:rPr>
        <w:t>021</w:t>
      </w:r>
      <w:r>
        <w:rPr>
          <w:rFonts w:hint="eastAsia" w:ascii="宋体" w:hAnsi="宋体"/>
          <w:sz w:val="28"/>
          <w:szCs w:val="28"/>
        </w:rPr>
        <w:t>年4月</w:t>
      </w:r>
      <w:r>
        <w:rPr>
          <w:rFonts w:hint="eastAsia" w:ascii="宋体" w:hAnsi="宋体"/>
          <w:sz w:val="28"/>
          <w:szCs w:val="28"/>
          <w:lang w:eastAsia="zh-CN"/>
        </w:rPr>
        <w:t>）；</w:t>
      </w:r>
    </w:p>
    <w:p w14:paraId="0C77E1B6">
      <w:pPr>
        <w:keepNext w:val="0"/>
        <w:keepLines w:val="0"/>
        <w:pageBreakBefore w:val="0"/>
        <w:widowControl w:val="0"/>
        <w:numPr>
          <w:ilvl w:val="0"/>
          <w:numId w:val="10"/>
        </w:numPr>
        <w:kinsoku/>
        <w:wordWrap/>
        <w:overflowPunct/>
        <w:topLinePunct w:val="0"/>
        <w:autoSpaceDE/>
        <w:autoSpaceDN/>
        <w:bidi w:val="0"/>
        <w:adjustRightInd w:val="0"/>
        <w:snapToGrid/>
        <w:spacing w:line="500" w:lineRule="exact"/>
        <w:ind w:left="0" w:leftChars="0" w:firstLine="560" w:firstLineChars="200"/>
        <w:jc w:val="both"/>
        <w:textAlignment w:val="auto"/>
        <w:rPr>
          <w:rFonts w:hint="default" w:ascii="宋体" w:hAnsi="宋体" w:eastAsia="宋体" w:cs="Times New Roman"/>
          <w:sz w:val="28"/>
          <w:szCs w:val="28"/>
          <w:lang w:val="en-US" w:eastAsia="zh-CN"/>
        </w:rPr>
      </w:pPr>
      <w:r>
        <w:rPr>
          <w:rFonts w:hint="eastAsia" w:ascii="宋体" w:hAnsi="宋体" w:eastAsia="宋体" w:cs="Times New Roman"/>
          <w:sz w:val="28"/>
          <w:szCs w:val="28"/>
        </w:rPr>
        <w:t>《投资项目备案证》项目代码：2104-532331-04-01-901488</w:t>
      </w:r>
      <w:r>
        <w:rPr>
          <w:rFonts w:hint="eastAsia" w:ascii="宋体" w:hAnsi="宋体" w:eastAsia="宋体" w:cs="Times New Roman"/>
          <w:sz w:val="28"/>
          <w:szCs w:val="28"/>
          <w:lang w:eastAsia="zh-CN"/>
        </w:rPr>
        <w:t>（</w:t>
      </w:r>
      <w:r>
        <w:rPr>
          <w:rFonts w:hint="eastAsia" w:ascii="宋体" w:hAnsi="宋体" w:eastAsia="宋体" w:cs="Times New Roman"/>
          <w:sz w:val="28"/>
          <w:szCs w:val="28"/>
        </w:rPr>
        <w:t>禄丰市发</w:t>
      </w:r>
      <w:r>
        <w:rPr>
          <w:rFonts w:hint="eastAsia" w:ascii="宋体" w:hAnsi="宋体" w:eastAsia="宋体" w:cs="Times New Roman"/>
          <w:sz w:val="28"/>
          <w:szCs w:val="28"/>
          <w:lang w:val="en-US" w:eastAsia="zh-CN"/>
        </w:rPr>
        <w:t>展和</w:t>
      </w:r>
      <w:r>
        <w:rPr>
          <w:rFonts w:hint="eastAsia" w:cs="Times New Roman"/>
          <w:sz w:val="28"/>
          <w:szCs w:val="28"/>
          <w:lang w:val="en-US" w:eastAsia="zh-CN"/>
        </w:rPr>
        <w:t>改</w:t>
      </w:r>
      <w:r>
        <w:rPr>
          <w:rFonts w:hint="eastAsia" w:ascii="宋体" w:hAnsi="宋体" w:eastAsia="宋体" w:cs="Times New Roman"/>
          <w:sz w:val="28"/>
          <w:szCs w:val="28"/>
          <w:lang w:val="en-US" w:eastAsia="zh-CN"/>
        </w:rPr>
        <w:t>革</w:t>
      </w:r>
      <w:r>
        <w:rPr>
          <w:rFonts w:hint="eastAsia" w:ascii="宋体" w:hAnsi="宋体" w:eastAsia="宋体" w:cs="Times New Roman"/>
          <w:sz w:val="28"/>
          <w:szCs w:val="28"/>
        </w:rPr>
        <w:t>局备案</w:t>
      </w:r>
      <w:r>
        <w:rPr>
          <w:rFonts w:hint="eastAsia" w:ascii="宋体" w:hAnsi="宋体" w:eastAsia="宋体" w:cs="Times New Roman"/>
          <w:sz w:val="28"/>
          <w:szCs w:val="28"/>
          <w:lang w:eastAsia="zh-CN"/>
        </w:rPr>
        <w:t>，</w:t>
      </w:r>
      <w:r>
        <w:rPr>
          <w:rFonts w:hint="eastAsia" w:ascii="宋体" w:hAnsi="宋体" w:eastAsia="宋体" w:cs="Times New Roman"/>
          <w:sz w:val="28"/>
          <w:szCs w:val="28"/>
        </w:rPr>
        <w:t>2021年4月25日</w:t>
      </w:r>
      <w:r>
        <w:rPr>
          <w:rFonts w:hint="eastAsia" w:ascii="宋体" w:hAnsi="宋体" w:eastAsia="宋体" w:cs="Times New Roman"/>
          <w:sz w:val="28"/>
          <w:szCs w:val="28"/>
          <w:lang w:eastAsia="zh-CN"/>
        </w:rPr>
        <w:t>）；</w:t>
      </w:r>
    </w:p>
    <w:p w14:paraId="5F458689">
      <w:pPr>
        <w:keepNext w:val="0"/>
        <w:keepLines w:val="0"/>
        <w:pageBreakBefore w:val="0"/>
        <w:widowControl w:val="0"/>
        <w:numPr>
          <w:ilvl w:val="0"/>
          <w:numId w:val="10"/>
        </w:numPr>
        <w:kinsoku/>
        <w:wordWrap/>
        <w:overflowPunct/>
        <w:topLinePunct w:val="0"/>
        <w:autoSpaceDE/>
        <w:autoSpaceDN/>
        <w:bidi w:val="0"/>
        <w:adjustRightInd w:val="0"/>
        <w:snapToGrid/>
        <w:spacing w:line="500" w:lineRule="exact"/>
        <w:ind w:left="0" w:leftChars="0" w:firstLine="560" w:firstLineChars="200"/>
        <w:jc w:val="both"/>
        <w:textAlignment w:val="auto"/>
        <w:rPr>
          <w:rFonts w:hint="default" w:ascii="Times New Roman" w:hAnsi="Times New Roman" w:eastAsia="宋体" w:cs="Times New Roman"/>
          <w:color w:val="auto"/>
          <w:kern w:val="2"/>
          <w:sz w:val="28"/>
          <w:szCs w:val="24"/>
          <w:lang w:val="en-US" w:eastAsia="zh-CN" w:bidi="ar-SA"/>
        </w:rPr>
      </w:pPr>
      <w:r>
        <w:rPr>
          <w:rFonts w:hint="eastAsia" w:cs="Times New Roman"/>
        </w:rPr>
        <w:t>《年产3万吨电熔氧化锆产业基地建设项目（一期）拟建场地岩土工程勘察报告</w:t>
      </w:r>
      <w:r>
        <w:rPr>
          <w:rFonts w:hint="eastAsia" w:cs="Times New Roman"/>
          <w:lang w:eastAsia="zh-CN"/>
        </w:rPr>
        <w:t>（详细勘察阶段）</w:t>
      </w:r>
      <w:r>
        <w:rPr>
          <w:rFonts w:hint="eastAsia" w:cs="Times New Roman"/>
        </w:rPr>
        <w:t>》</w:t>
      </w:r>
      <w:r>
        <w:rPr>
          <w:rFonts w:hint="eastAsia" w:cs="Times New Roman"/>
          <w:lang w:eastAsia="zh-CN"/>
        </w:rPr>
        <w:t>（</w:t>
      </w:r>
      <w:r>
        <w:rPr>
          <w:rFonts w:hint="eastAsia" w:cs="Times New Roman"/>
        </w:rPr>
        <w:t>楚雄有色勘测工程有限公司</w:t>
      </w:r>
      <w:r>
        <w:rPr>
          <w:rFonts w:hint="eastAsia" w:cs="Times New Roman"/>
          <w:lang w:eastAsia="zh-CN"/>
        </w:rPr>
        <w:t>，</w:t>
      </w:r>
      <w:r>
        <w:rPr>
          <w:rFonts w:hint="eastAsia" w:cs="Times New Roman"/>
        </w:rPr>
        <w:t>2021年5月</w:t>
      </w:r>
      <w:r>
        <w:rPr>
          <w:rFonts w:hint="eastAsia" w:cs="Times New Roman"/>
          <w:lang w:val="en-US" w:eastAsia="zh-CN"/>
        </w:rPr>
        <w:t>14日</w:t>
      </w:r>
      <w:r>
        <w:rPr>
          <w:rFonts w:hint="eastAsia" w:cs="Times New Roman"/>
          <w:lang w:eastAsia="zh-CN"/>
        </w:rPr>
        <w:t>）；</w:t>
      </w:r>
    </w:p>
    <w:p w14:paraId="18B46483">
      <w:pPr>
        <w:keepNext w:val="0"/>
        <w:keepLines w:val="0"/>
        <w:pageBreakBefore w:val="0"/>
        <w:widowControl w:val="0"/>
        <w:numPr>
          <w:ilvl w:val="0"/>
          <w:numId w:val="10"/>
        </w:numPr>
        <w:kinsoku/>
        <w:wordWrap/>
        <w:overflowPunct/>
        <w:topLinePunct w:val="0"/>
        <w:autoSpaceDE/>
        <w:autoSpaceDN/>
        <w:bidi w:val="0"/>
        <w:adjustRightInd w:val="0"/>
        <w:snapToGrid/>
        <w:spacing w:line="500" w:lineRule="exact"/>
        <w:ind w:left="0" w:leftChars="0" w:firstLine="560" w:firstLineChars="200"/>
        <w:jc w:val="both"/>
        <w:textAlignment w:val="auto"/>
        <w:rPr>
          <w:rFonts w:hint="default" w:ascii="Times New Roman" w:hAnsi="Times New Roman" w:eastAsia="宋体" w:cs="Times New Roman"/>
          <w:color w:val="auto"/>
          <w:kern w:val="2"/>
          <w:sz w:val="28"/>
          <w:szCs w:val="24"/>
          <w:lang w:val="en-US" w:eastAsia="zh-CN" w:bidi="ar-SA"/>
        </w:rPr>
      </w:pPr>
      <w:r>
        <w:rPr>
          <w:rFonts w:hint="eastAsia" w:cs="Times New Roman"/>
        </w:rPr>
        <w:t>《云南东锆新材料有限公司年产3万吨电熔氧化锆陶瓷产业基地建设项目安全预评价报告》</w:t>
      </w:r>
      <w:r>
        <w:rPr>
          <w:rFonts w:hint="eastAsia" w:cs="Times New Roman"/>
          <w:lang w:eastAsia="zh-CN"/>
        </w:rPr>
        <w:t>（</w:t>
      </w:r>
      <w:r>
        <w:rPr>
          <w:rFonts w:hint="eastAsia" w:cs="Times New Roman"/>
        </w:rPr>
        <w:t>昭通市鼎安科技有限公司</w:t>
      </w:r>
      <w:r>
        <w:rPr>
          <w:rFonts w:hint="eastAsia" w:cs="Times New Roman"/>
          <w:lang w:eastAsia="zh-CN"/>
        </w:rPr>
        <w:t>，</w:t>
      </w:r>
      <w:r>
        <w:rPr>
          <w:rFonts w:hint="eastAsia" w:cs="Times New Roman"/>
        </w:rPr>
        <w:t>2021年8月</w:t>
      </w:r>
      <w:r>
        <w:rPr>
          <w:rFonts w:hint="eastAsia" w:cs="Times New Roman"/>
          <w:lang w:eastAsia="zh-CN"/>
        </w:rPr>
        <w:t>）</w:t>
      </w:r>
      <w:r>
        <w:rPr>
          <w:rFonts w:hint="eastAsia" w:ascii="Times New Roman" w:hAnsi="Times New Roman" w:cs="Times New Roman"/>
          <w:snapToGrid/>
          <w:color w:val="auto"/>
          <w:szCs w:val="24"/>
          <w:lang w:eastAsia="zh-CN"/>
        </w:rPr>
        <w:t>；</w:t>
      </w:r>
    </w:p>
    <w:p w14:paraId="0D752D19">
      <w:pPr>
        <w:keepNext w:val="0"/>
        <w:keepLines w:val="0"/>
        <w:pageBreakBefore w:val="0"/>
        <w:widowControl w:val="0"/>
        <w:numPr>
          <w:ilvl w:val="0"/>
          <w:numId w:val="10"/>
        </w:numPr>
        <w:kinsoku/>
        <w:wordWrap/>
        <w:overflowPunct/>
        <w:topLinePunct w:val="0"/>
        <w:autoSpaceDE/>
        <w:autoSpaceDN/>
        <w:bidi w:val="0"/>
        <w:adjustRightInd w:val="0"/>
        <w:snapToGrid/>
        <w:spacing w:line="500" w:lineRule="exact"/>
        <w:ind w:left="0" w:leftChars="0" w:firstLine="560" w:firstLineChars="200"/>
        <w:jc w:val="both"/>
        <w:textAlignment w:val="auto"/>
        <w:rPr>
          <w:rFonts w:hint="default" w:ascii="宋体" w:hAnsi="宋体" w:eastAsia="宋体" w:cs="Times New Roman"/>
          <w:lang w:val="en-US" w:eastAsia="zh-CN"/>
        </w:rPr>
      </w:pPr>
      <w:r>
        <w:rPr>
          <w:rFonts w:hint="default" w:cs="Times New Roman"/>
          <w:lang w:eastAsia="zh-CN"/>
        </w:rPr>
        <w:t>《</w:t>
      </w:r>
      <w:r>
        <w:rPr>
          <w:rFonts w:hint="eastAsia" w:cs="Times New Roman"/>
          <w:lang w:eastAsia="zh-CN"/>
        </w:rPr>
        <w:t>云南东锆新材料有限公司年产3万吨电熔氧化锆陶瓷产业基地建设项目</w:t>
      </w:r>
      <w:r>
        <w:rPr>
          <w:rFonts w:hint="default" w:ascii="宋体" w:hAnsi="宋体" w:eastAsia="宋体" w:cs="Times New Roman"/>
          <w:lang w:eastAsia="zh-CN"/>
        </w:rPr>
        <w:t>安全设施设计》</w:t>
      </w:r>
      <w:r>
        <w:rPr>
          <w:rFonts w:hint="eastAsia" w:ascii="宋体" w:hAnsi="宋体" w:eastAsia="宋体" w:cs="Times New Roman"/>
          <w:lang w:val="en-US" w:eastAsia="zh-CN"/>
        </w:rPr>
        <w:t>（</w:t>
      </w:r>
      <w:r>
        <w:rPr>
          <w:rFonts w:hint="eastAsia" w:ascii="宋体" w:hAnsi="宋体" w:eastAsia="宋体" w:cs="Times New Roman"/>
          <w:lang w:eastAsia="zh-CN"/>
        </w:rPr>
        <w:t>智诚建科设计有限公司，2024年4月</w:t>
      </w:r>
      <w:r>
        <w:rPr>
          <w:rFonts w:hint="eastAsia" w:ascii="宋体" w:hAnsi="宋体" w:eastAsia="宋体" w:cs="Times New Roman"/>
          <w:lang w:val="en-US" w:eastAsia="zh-CN"/>
        </w:rPr>
        <w:t>）</w:t>
      </w:r>
      <w:r>
        <w:rPr>
          <w:rFonts w:hint="eastAsia" w:ascii="宋体" w:hAnsi="宋体" w:eastAsia="宋体" w:cs="Times New Roman"/>
          <w:lang w:eastAsia="zh-CN"/>
        </w:rPr>
        <w:t>，</w:t>
      </w:r>
      <w:r>
        <w:rPr>
          <w:rFonts w:hint="eastAsia" w:ascii="宋体" w:hAnsi="宋体" w:eastAsia="宋体" w:cs="Times New Roman"/>
          <w:lang w:val="en-US" w:eastAsia="zh-CN"/>
        </w:rPr>
        <w:t>企业于2024年4月20日组织专家对</w:t>
      </w:r>
      <w:r>
        <w:rPr>
          <w:rFonts w:hint="default" w:ascii="宋体" w:hAnsi="宋体" w:eastAsia="宋体" w:cs="Times New Roman"/>
          <w:lang w:val="en-US" w:eastAsia="zh-CN"/>
        </w:rPr>
        <w:t>安</w:t>
      </w:r>
      <w:r>
        <w:rPr>
          <w:rFonts w:hint="default" w:ascii="宋体" w:hAnsi="宋体" w:eastAsia="宋体" w:cs="Times New Roman"/>
          <w:lang w:eastAsia="zh-CN"/>
        </w:rPr>
        <w:t>全设施设计</w:t>
      </w:r>
      <w:r>
        <w:rPr>
          <w:rFonts w:hint="eastAsia" w:ascii="宋体" w:hAnsi="宋体" w:eastAsia="宋体" w:cs="Times New Roman"/>
          <w:lang w:val="en-US" w:eastAsia="zh-CN"/>
        </w:rPr>
        <w:t>进行了评审；</w:t>
      </w:r>
    </w:p>
    <w:p w14:paraId="047B5EBF">
      <w:pPr>
        <w:keepNext w:val="0"/>
        <w:keepLines w:val="0"/>
        <w:pageBreakBefore w:val="0"/>
        <w:widowControl w:val="0"/>
        <w:numPr>
          <w:ilvl w:val="0"/>
          <w:numId w:val="10"/>
        </w:numPr>
        <w:kinsoku/>
        <w:wordWrap/>
        <w:overflowPunct/>
        <w:topLinePunct w:val="0"/>
        <w:autoSpaceDE/>
        <w:autoSpaceDN/>
        <w:bidi w:val="0"/>
        <w:adjustRightInd w:val="0"/>
        <w:snapToGrid/>
        <w:spacing w:line="500" w:lineRule="exact"/>
        <w:ind w:left="0" w:leftChars="0" w:firstLine="560" w:firstLineChars="200"/>
        <w:jc w:val="both"/>
        <w:textAlignment w:val="auto"/>
        <w:rPr>
          <w:rFonts w:hint="eastAsia" w:ascii="Times New Roman" w:hAnsi="Times New Roman" w:cs="Times New Roman"/>
          <w:b w:val="0"/>
          <w:bCs w:val="0"/>
          <w:color w:val="auto"/>
          <w:szCs w:val="24"/>
          <w:lang w:val="en-US" w:eastAsia="zh-CN"/>
        </w:rPr>
      </w:pPr>
      <w:r>
        <w:rPr>
          <w:rFonts w:hint="default" w:ascii="Times New Roman" w:hAnsi="Times New Roman" w:cs="Times New Roman"/>
          <w:b w:val="0"/>
          <w:bCs w:val="0"/>
          <w:color w:val="auto"/>
          <w:szCs w:val="24"/>
          <w:lang w:val="en-US" w:eastAsia="zh-CN"/>
        </w:rPr>
        <w:t>项目</w:t>
      </w:r>
      <w:r>
        <w:rPr>
          <w:rFonts w:hint="default" w:ascii="Times New Roman" w:hAnsi="Times New Roman" w:eastAsia="宋体" w:cs="Times New Roman"/>
          <w:b w:val="0"/>
          <w:bCs w:val="0"/>
          <w:color w:val="auto"/>
          <w:szCs w:val="24"/>
          <w:lang w:val="en-US" w:eastAsia="zh-CN"/>
        </w:rPr>
        <w:t>于</w:t>
      </w:r>
      <w:r>
        <w:rPr>
          <w:rFonts w:hint="eastAsia" w:ascii="Times New Roman" w:hAnsi="Times New Roman" w:eastAsia="宋体" w:cs="Times New Roman"/>
          <w:b w:val="0"/>
          <w:bCs w:val="0"/>
          <w:color w:val="auto"/>
          <w:szCs w:val="24"/>
          <w:lang w:val="en-US" w:eastAsia="zh-CN"/>
        </w:rPr>
        <w:t>2021年9月</w:t>
      </w:r>
      <w:r>
        <w:rPr>
          <w:rFonts w:hint="default" w:ascii="Times New Roman" w:hAnsi="Times New Roman" w:eastAsia="宋体" w:cs="Times New Roman"/>
          <w:b w:val="0"/>
          <w:bCs w:val="0"/>
          <w:color w:val="auto"/>
          <w:szCs w:val="24"/>
          <w:lang w:val="en-US" w:eastAsia="zh-CN"/>
        </w:rPr>
        <w:t>开工建设，</w:t>
      </w:r>
      <w:r>
        <w:rPr>
          <w:rFonts w:hint="eastAsia" w:ascii="Times New Roman" w:hAnsi="Times New Roman" w:eastAsia="宋体" w:cs="Times New Roman"/>
          <w:b w:val="0"/>
          <w:bCs w:val="0"/>
          <w:color w:val="auto"/>
          <w:szCs w:val="24"/>
          <w:lang w:val="en-US" w:eastAsia="zh-CN"/>
        </w:rPr>
        <w:t>项目地基与基础、主体结构、给排水、电气等分项工程</w:t>
      </w:r>
      <w:r>
        <w:rPr>
          <w:rFonts w:hint="default" w:ascii="Times New Roman" w:hAnsi="Times New Roman" w:eastAsia="宋体" w:cs="Times New Roman"/>
          <w:b w:val="0"/>
          <w:bCs w:val="0"/>
          <w:color w:val="auto"/>
          <w:szCs w:val="24"/>
          <w:lang w:val="en-US" w:eastAsia="zh-CN"/>
        </w:rPr>
        <w:t>于</w:t>
      </w:r>
      <w:r>
        <w:rPr>
          <w:rFonts w:hint="eastAsia" w:ascii="Times New Roman" w:hAnsi="Times New Roman" w:eastAsia="宋体" w:cs="Times New Roman"/>
          <w:b w:val="0"/>
          <w:bCs w:val="0"/>
          <w:color w:val="auto"/>
          <w:szCs w:val="24"/>
          <w:lang w:val="en-US" w:eastAsia="zh-CN"/>
        </w:rPr>
        <w:t>2024年4月全部建设完工，并通过了竣工验收（详见附件13《竣工验收报告》），2024年4月各设备及相关安全设施安装调试完成。试生产时间从2024年</w:t>
      </w:r>
      <w:r>
        <w:rPr>
          <w:rFonts w:hint="eastAsia" w:ascii="Times New Roman" w:hAnsi="Times New Roman" w:cs="Times New Roman"/>
          <w:b w:val="0"/>
          <w:bCs w:val="0"/>
          <w:color w:val="auto"/>
          <w:szCs w:val="24"/>
          <w:lang w:val="en-US" w:eastAsia="zh-CN"/>
        </w:rPr>
        <w:t>4月21日至2024年7月20日，试生产过程中未发生生产安全事故；</w:t>
      </w:r>
    </w:p>
    <w:p w14:paraId="7BB4E34C">
      <w:pPr>
        <w:keepNext w:val="0"/>
        <w:keepLines w:val="0"/>
        <w:pageBreakBefore w:val="0"/>
        <w:widowControl w:val="0"/>
        <w:numPr>
          <w:ilvl w:val="0"/>
          <w:numId w:val="10"/>
        </w:numPr>
        <w:kinsoku/>
        <w:wordWrap/>
        <w:overflowPunct/>
        <w:topLinePunct w:val="0"/>
        <w:autoSpaceDE/>
        <w:autoSpaceDN/>
        <w:bidi w:val="0"/>
        <w:adjustRightInd w:val="0"/>
        <w:snapToGrid/>
        <w:spacing w:line="500" w:lineRule="exact"/>
        <w:ind w:left="0" w:leftChars="0" w:firstLine="560" w:firstLineChars="200"/>
        <w:jc w:val="both"/>
        <w:textAlignment w:val="auto"/>
        <w:outlineLvl w:val="9"/>
        <w:rPr>
          <w:rFonts w:hint="default" w:ascii="Times New Roman" w:hAnsi="Times New Roman" w:eastAsia="宋体" w:cs="Times New Roman"/>
          <w:color w:val="auto"/>
          <w:kern w:val="2"/>
          <w:sz w:val="28"/>
          <w:szCs w:val="24"/>
          <w:lang w:val="en-US" w:eastAsia="zh-CN" w:bidi="ar-SA"/>
        </w:rPr>
      </w:pPr>
      <w:r>
        <w:rPr>
          <w:rFonts w:hint="default" w:ascii="Times New Roman" w:hAnsi="Times New Roman" w:eastAsia="宋体" w:cs="Times New Roman"/>
          <w:color w:val="auto"/>
          <w:kern w:val="2"/>
          <w:sz w:val="28"/>
          <w:szCs w:val="24"/>
          <w:lang w:val="en-US" w:eastAsia="zh-CN" w:bidi="ar-SA"/>
        </w:rPr>
        <w:t>参</w:t>
      </w:r>
      <w:r>
        <w:rPr>
          <w:rFonts w:hint="eastAsia" w:ascii="Times New Roman" w:hAnsi="Times New Roman" w:cs="Times New Roman"/>
          <w:color w:val="auto"/>
          <w:kern w:val="2"/>
          <w:sz w:val="28"/>
          <w:szCs w:val="24"/>
          <w:lang w:val="en-US" w:eastAsia="zh-CN" w:bidi="ar-SA"/>
        </w:rPr>
        <w:t>与项目</w:t>
      </w:r>
      <w:r>
        <w:rPr>
          <w:rFonts w:hint="default" w:ascii="Times New Roman" w:hAnsi="Times New Roman" w:eastAsia="宋体" w:cs="Times New Roman"/>
          <w:color w:val="auto"/>
          <w:kern w:val="2"/>
          <w:sz w:val="28"/>
          <w:szCs w:val="24"/>
          <w:lang w:val="en-US" w:eastAsia="zh-CN" w:bidi="ar-SA"/>
        </w:rPr>
        <w:t>建设单位如下表所示：</w:t>
      </w:r>
    </w:p>
    <w:p w14:paraId="36D6D6EF">
      <w:pPr>
        <w:pStyle w:val="12"/>
        <w:keepNext w:val="0"/>
        <w:keepLines w:val="0"/>
        <w:pageBreakBefore w:val="0"/>
        <w:widowControl w:val="0"/>
        <w:numPr>
          <w:ilvl w:val="0"/>
          <w:numId w:val="0"/>
        </w:numPr>
        <w:kinsoku/>
        <w:wordWrap/>
        <w:bidi w:val="0"/>
        <w:spacing w:before="50" w:beforeLines="50" w:line="500" w:lineRule="exact"/>
        <w:ind w:leftChars="0" w:firstLine="0" w:firstLineChars="0"/>
        <w:jc w:val="center"/>
        <w:rPr>
          <w:rFonts w:hint="default" w:ascii="Times New Roman" w:hAnsi="Times New Roman" w:eastAsia="宋体" w:cs="Times New Roman"/>
          <w:b w:val="0"/>
          <w:color w:val="00B0F0"/>
          <w:kern w:val="2"/>
          <w:szCs w:val="24"/>
          <w:lang w:val="en-US" w:eastAsia="zh-CN" w:bidi="ar-SA"/>
        </w:rP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3</w:t>
      </w:r>
      <w:r>
        <w:fldChar w:fldCharType="end"/>
      </w:r>
      <w:r>
        <w:rPr>
          <w:rFonts w:hint="eastAsia"/>
          <w:lang w:val="en-US" w:eastAsia="zh-CN"/>
        </w:rPr>
        <w:t>项目建设</w:t>
      </w:r>
      <w:r>
        <w:rPr>
          <w:rFonts w:hint="default"/>
          <w:lang w:val="en-US" w:eastAsia="zh-CN"/>
        </w:rPr>
        <w:t>过程中涉及的单位一览表</w:t>
      </w: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46"/>
        <w:gridCol w:w="4174"/>
        <w:gridCol w:w="3702"/>
      </w:tblGrid>
      <w:tr w14:paraId="74D335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46" w:type="dxa"/>
            <w:tcBorders>
              <w:tl2br w:val="nil"/>
              <w:tr2bl w:val="nil"/>
            </w:tcBorders>
            <w:noWrap w:val="0"/>
            <w:vAlign w:val="center"/>
          </w:tcPr>
          <w:p w14:paraId="2637014D">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rPr>
            </w:pPr>
            <w:r>
              <w:rPr>
                <w:rFonts w:hint="eastAsia"/>
                <w:sz w:val="21"/>
                <w:szCs w:val="21"/>
              </w:rPr>
              <w:t>序号</w:t>
            </w:r>
          </w:p>
        </w:tc>
        <w:tc>
          <w:tcPr>
            <w:tcW w:w="4174" w:type="dxa"/>
            <w:tcBorders>
              <w:tl2br w:val="nil"/>
              <w:tr2bl w:val="nil"/>
            </w:tcBorders>
            <w:noWrap w:val="0"/>
            <w:vAlign w:val="center"/>
          </w:tcPr>
          <w:p w14:paraId="0E57D88E">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rPr>
            </w:pPr>
            <w:r>
              <w:rPr>
                <w:rFonts w:hint="eastAsia"/>
                <w:sz w:val="21"/>
                <w:szCs w:val="21"/>
              </w:rPr>
              <w:t>单位名称</w:t>
            </w:r>
          </w:p>
        </w:tc>
        <w:tc>
          <w:tcPr>
            <w:tcW w:w="3702" w:type="dxa"/>
            <w:tcBorders>
              <w:tl2br w:val="nil"/>
              <w:tr2bl w:val="nil"/>
            </w:tcBorders>
            <w:noWrap w:val="0"/>
            <w:vAlign w:val="center"/>
          </w:tcPr>
          <w:p w14:paraId="73D75159">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rPr>
            </w:pPr>
            <w:r>
              <w:rPr>
                <w:rFonts w:hint="eastAsia"/>
                <w:sz w:val="21"/>
                <w:szCs w:val="21"/>
              </w:rPr>
              <w:t>承担工作内容</w:t>
            </w:r>
          </w:p>
        </w:tc>
      </w:tr>
      <w:tr w14:paraId="4B8EA9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46" w:type="dxa"/>
            <w:tcBorders>
              <w:tl2br w:val="nil"/>
              <w:tr2bl w:val="nil"/>
            </w:tcBorders>
            <w:noWrap w:val="0"/>
            <w:vAlign w:val="center"/>
          </w:tcPr>
          <w:p w14:paraId="15ED319B">
            <w:pPr>
              <w:pStyle w:val="46"/>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rPr>
            </w:pPr>
          </w:p>
        </w:tc>
        <w:tc>
          <w:tcPr>
            <w:tcW w:w="4174" w:type="dxa"/>
            <w:tcBorders>
              <w:tl2br w:val="nil"/>
              <w:tr2bl w:val="nil"/>
            </w:tcBorders>
            <w:noWrap w:val="0"/>
            <w:vAlign w:val="center"/>
          </w:tcPr>
          <w:p w14:paraId="72401693">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rPr>
            </w:pPr>
            <w:r>
              <w:rPr>
                <w:rFonts w:hint="eastAsia"/>
                <w:sz w:val="21"/>
                <w:szCs w:val="21"/>
              </w:rPr>
              <w:t>云南省设计院集团有限公司</w:t>
            </w:r>
          </w:p>
        </w:tc>
        <w:tc>
          <w:tcPr>
            <w:tcW w:w="3702" w:type="dxa"/>
            <w:tcBorders>
              <w:tl2br w:val="nil"/>
              <w:tr2bl w:val="nil"/>
            </w:tcBorders>
            <w:noWrap w:val="0"/>
            <w:vAlign w:val="center"/>
          </w:tcPr>
          <w:p w14:paraId="57D4ACF3">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rPr>
            </w:pPr>
            <w:r>
              <w:rPr>
                <w:rFonts w:hint="eastAsia"/>
                <w:sz w:val="21"/>
                <w:szCs w:val="21"/>
              </w:rPr>
              <w:t>设计单位</w:t>
            </w:r>
          </w:p>
        </w:tc>
      </w:tr>
      <w:tr w14:paraId="57FE14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6" w:type="dxa"/>
            <w:tcBorders>
              <w:tl2br w:val="nil"/>
              <w:tr2bl w:val="nil"/>
            </w:tcBorders>
            <w:noWrap w:val="0"/>
            <w:vAlign w:val="center"/>
          </w:tcPr>
          <w:p w14:paraId="236C3FE1">
            <w:pPr>
              <w:pStyle w:val="46"/>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lang w:val="en-US" w:eastAsia="zh-CN"/>
              </w:rPr>
            </w:pPr>
          </w:p>
        </w:tc>
        <w:tc>
          <w:tcPr>
            <w:tcW w:w="4174" w:type="dxa"/>
            <w:tcBorders>
              <w:tl2br w:val="nil"/>
              <w:tr2bl w:val="nil"/>
            </w:tcBorders>
            <w:noWrap w:val="0"/>
            <w:vAlign w:val="center"/>
          </w:tcPr>
          <w:p w14:paraId="388E321D">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智诚建科设计有限公司</w:t>
            </w:r>
          </w:p>
        </w:tc>
        <w:tc>
          <w:tcPr>
            <w:tcW w:w="3702" w:type="dxa"/>
            <w:tcBorders>
              <w:tl2br w:val="nil"/>
              <w:tr2bl w:val="nil"/>
            </w:tcBorders>
            <w:noWrap w:val="0"/>
            <w:vAlign w:val="center"/>
          </w:tcPr>
          <w:p w14:paraId="24F9366A">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lang w:val="en-US" w:eastAsia="zh-CN"/>
              </w:rPr>
            </w:pPr>
            <w:r>
              <w:rPr>
                <w:rFonts w:hint="eastAsia"/>
                <w:sz w:val="21"/>
                <w:szCs w:val="21"/>
                <w:lang w:val="en-US" w:eastAsia="zh-CN"/>
              </w:rPr>
              <w:t>安全设施设计单位</w:t>
            </w:r>
          </w:p>
        </w:tc>
      </w:tr>
      <w:tr w14:paraId="460A5A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6" w:type="dxa"/>
            <w:tcBorders>
              <w:tl2br w:val="nil"/>
              <w:tr2bl w:val="nil"/>
            </w:tcBorders>
            <w:noWrap w:val="0"/>
            <w:vAlign w:val="center"/>
          </w:tcPr>
          <w:p w14:paraId="3E49F8F5">
            <w:pPr>
              <w:pStyle w:val="46"/>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lang w:val="en-US" w:eastAsia="zh-CN"/>
              </w:rPr>
            </w:pPr>
          </w:p>
        </w:tc>
        <w:tc>
          <w:tcPr>
            <w:tcW w:w="4174" w:type="dxa"/>
            <w:tcBorders>
              <w:tl2br w:val="nil"/>
              <w:tr2bl w:val="nil"/>
            </w:tcBorders>
            <w:noWrap w:val="0"/>
            <w:vAlign w:val="center"/>
          </w:tcPr>
          <w:p w14:paraId="7828C5A7">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楚雄有色勘测工程有限公司</w:t>
            </w:r>
          </w:p>
        </w:tc>
        <w:tc>
          <w:tcPr>
            <w:tcW w:w="3702" w:type="dxa"/>
            <w:tcBorders>
              <w:tl2br w:val="nil"/>
              <w:tr2bl w:val="nil"/>
            </w:tcBorders>
            <w:noWrap w:val="0"/>
            <w:vAlign w:val="center"/>
          </w:tcPr>
          <w:p w14:paraId="5F9AEE50">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lang w:val="en-US" w:eastAsia="zh-CN"/>
              </w:rPr>
            </w:pPr>
            <w:r>
              <w:rPr>
                <w:rFonts w:hint="eastAsia"/>
                <w:sz w:val="21"/>
                <w:szCs w:val="21"/>
                <w:lang w:val="en-US" w:eastAsia="zh-CN"/>
              </w:rPr>
              <w:t>勘察单位</w:t>
            </w:r>
          </w:p>
        </w:tc>
      </w:tr>
      <w:tr w14:paraId="068C13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6" w:type="dxa"/>
            <w:tcBorders>
              <w:tl2br w:val="nil"/>
              <w:tr2bl w:val="nil"/>
            </w:tcBorders>
            <w:noWrap w:val="0"/>
            <w:vAlign w:val="center"/>
          </w:tcPr>
          <w:p w14:paraId="3E07A940">
            <w:pPr>
              <w:pStyle w:val="46"/>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lang w:val="en-US" w:eastAsia="zh-CN"/>
              </w:rPr>
            </w:pPr>
          </w:p>
        </w:tc>
        <w:tc>
          <w:tcPr>
            <w:tcW w:w="4174" w:type="dxa"/>
            <w:tcBorders>
              <w:tl2br w:val="nil"/>
              <w:tr2bl w:val="nil"/>
            </w:tcBorders>
            <w:noWrap w:val="0"/>
            <w:vAlign w:val="center"/>
          </w:tcPr>
          <w:p w14:paraId="37912B4B">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lang w:val="en-US" w:eastAsia="zh-CN"/>
              </w:rPr>
            </w:pPr>
            <w:r>
              <w:rPr>
                <w:rFonts w:hint="eastAsia"/>
                <w:sz w:val="21"/>
                <w:szCs w:val="21"/>
                <w:lang w:val="en-US" w:eastAsia="zh-CN"/>
              </w:rPr>
              <w:t>楚雄磊易项目管理有限公司</w:t>
            </w:r>
          </w:p>
        </w:tc>
        <w:tc>
          <w:tcPr>
            <w:tcW w:w="3702" w:type="dxa"/>
            <w:tcBorders>
              <w:tl2br w:val="nil"/>
              <w:tr2bl w:val="nil"/>
            </w:tcBorders>
            <w:noWrap w:val="0"/>
            <w:vAlign w:val="center"/>
          </w:tcPr>
          <w:p w14:paraId="03EBF72D">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lang w:val="en-US" w:eastAsia="zh-CN"/>
              </w:rPr>
            </w:pPr>
            <w:r>
              <w:rPr>
                <w:rFonts w:hint="eastAsia"/>
                <w:sz w:val="21"/>
                <w:szCs w:val="21"/>
                <w:lang w:val="en-US" w:eastAsia="zh-CN"/>
              </w:rPr>
              <w:t>监理单位</w:t>
            </w:r>
          </w:p>
        </w:tc>
      </w:tr>
      <w:tr w14:paraId="2E9E16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6" w:type="dxa"/>
            <w:tcBorders>
              <w:tl2br w:val="nil"/>
              <w:tr2bl w:val="nil"/>
            </w:tcBorders>
            <w:noWrap w:val="0"/>
            <w:vAlign w:val="center"/>
          </w:tcPr>
          <w:p w14:paraId="34D5294E">
            <w:pPr>
              <w:pStyle w:val="46"/>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lang w:val="en-US" w:eastAsia="zh-CN"/>
              </w:rPr>
            </w:pPr>
          </w:p>
        </w:tc>
        <w:tc>
          <w:tcPr>
            <w:tcW w:w="4174" w:type="dxa"/>
            <w:tcBorders>
              <w:tl2br w:val="nil"/>
              <w:tr2bl w:val="nil"/>
            </w:tcBorders>
            <w:noWrap w:val="0"/>
            <w:vAlign w:val="center"/>
          </w:tcPr>
          <w:p w14:paraId="11AFB4D8">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lang w:val="en-US" w:eastAsia="zh-CN"/>
              </w:rPr>
            </w:pPr>
            <w:r>
              <w:rPr>
                <w:rFonts w:hint="eastAsia"/>
                <w:sz w:val="21"/>
                <w:szCs w:val="21"/>
                <w:lang w:val="en-US" w:eastAsia="zh-CN"/>
              </w:rPr>
              <w:t>河南敦厚建设有限公司</w:t>
            </w:r>
          </w:p>
        </w:tc>
        <w:tc>
          <w:tcPr>
            <w:tcW w:w="3702" w:type="dxa"/>
            <w:tcBorders>
              <w:tl2br w:val="nil"/>
              <w:tr2bl w:val="nil"/>
            </w:tcBorders>
            <w:noWrap w:val="0"/>
            <w:vAlign w:val="center"/>
          </w:tcPr>
          <w:p w14:paraId="400B24ED">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lang w:val="en-US" w:eastAsia="zh-CN"/>
              </w:rPr>
            </w:pPr>
            <w:r>
              <w:rPr>
                <w:rFonts w:hint="eastAsia"/>
                <w:sz w:val="21"/>
                <w:szCs w:val="21"/>
                <w:lang w:val="en-US" w:eastAsia="zh-CN"/>
              </w:rPr>
              <w:t>施工单位</w:t>
            </w:r>
          </w:p>
        </w:tc>
      </w:tr>
      <w:tr w14:paraId="5CA400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46" w:type="dxa"/>
            <w:tcBorders>
              <w:tl2br w:val="nil"/>
              <w:tr2bl w:val="nil"/>
            </w:tcBorders>
            <w:noWrap w:val="0"/>
            <w:vAlign w:val="center"/>
          </w:tcPr>
          <w:p w14:paraId="33C9F46D">
            <w:pPr>
              <w:pStyle w:val="46"/>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lang w:val="en-US" w:eastAsia="zh-CN"/>
              </w:rPr>
            </w:pPr>
          </w:p>
        </w:tc>
        <w:tc>
          <w:tcPr>
            <w:tcW w:w="4174" w:type="dxa"/>
            <w:tcBorders>
              <w:tl2br w:val="nil"/>
              <w:tr2bl w:val="nil"/>
            </w:tcBorders>
            <w:noWrap w:val="0"/>
            <w:vAlign w:val="center"/>
          </w:tcPr>
          <w:p w14:paraId="4A029E2D">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eastAsia"/>
                <w:sz w:val="21"/>
                <w:szCs w:val="21"/>
                <w:lang w:val="en-US" w:eastAsia="zh-CN"/>
              </w:rPr>
            </w:pPr>
            <w:r>
              <w:rPr>
                <w:rFonts w:hint="eastAsia"/>
                <w:sz w:val="21"/>
                <w:szCs w:val="21"/>
                <w:lang w:val="en-US" w:eastAsia="zh-CN"/>
              </w:rPr>
              <w:t>河南飞扬消防安装工程有限公司</w:t>
            </w:r>
          </w:p>
        </w:tc>
        <w:tc>
          <w:tcPr>
            <w:tcW w:w="3702" w:type="dxa"/>
            <w:tcBorders>
              <w:tl2br w:val="nil"/>
              <w:tr2bl w:val="nil"/>
            </w:tcBorders>
            <w:noWrap w:val="0"/>
            <w:vAlign w:val="center"/>
          </w:tcPr>
          <w:p w14:paraId="60A4D694">
            <w:pPr>
              <w:pStyle w:val="4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baseline"/>
              <w:rPr>
                <w:rFonts w:hint="default"/>
                <w:sz w:val="21"/>
                <w:szCs w:val="21"/>
                <w:lang w:val="en-US" w:eastAsia="zh-CN"/>
              </w:rPr>
            </w:pPr>
            <w:r>
              <w:rPr>
                <w:rFonts w:hint="eastAsia"/>
                <w:sz w:val="21"/>
                <w:szCs w:val="21"/>
                <w:lang w:val="en-US" w:eastAsia="zh-CN"/>
              </w:rPr>
              <w:t>消防安装单位</w:t>
            </w:r>
          </w:p>
        </w:tc>
      </w:tr>
    </w:tbl>
    <w:p w14:paraId="755E0E6B">
      <w:pPr>
        <w:pStyle w:val="4"/>
        <w:keepNext w:val="0"/>
        <w:keepLines w:val="0"/>
        <w:pageBreakBefore w:val="0"/>
        <w:widowControl w:val="0"/>
        <w:kinsoku/>
        <w:bidi w:val="0"/>
        <w:rPr>
          <w:lang w:val="en-US" w:eastAsia="zh-CN"/>
        </w:rPr>
      </w:pPr>
      <w:bookmarkStart w:id="193" w:name="_Toc5004"/>
      <w:r>
        <w:rPr>
          <w:lang w:val="en-US" w:eastAsia="zh-CN"/>
        </w:rPr>
        <w:t>地理位置</w:t>
      </w:r>
      <w:bookmarkEnd w:id="177"/>
      <w:bookmarkEnd w:id="178"/>
      <w:bookmarkEnd w:id="179"/>
      <w:bookmarkEnd w:id="180"/>
      <w:bookmarkEnd w:id="181"/>
      <w:bookmarkEnd w:id="182"/>
      <w:bookmarkEnd w:id="183"/>
      <w:bookmarkEnd w:id="184"/>
      <w:bookmarkEnd w:id="185"/>
      <w:bookmarkEnd w:id="186"/>
      <w:bookmarkEnd w:id="187"/>
      <w:bookmarkEnd w:id="191"/>
      <w:bookmarkEnd w:id="192"/>
      <w:bookmarkEnd w:id="193"/>
    </w:p>
    <w:p w14:paraId="791742E6">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rPr>
      </w:pPr>
      <w:r>
        <w:rPr>
          <w:rFonts w:hint="eastAsia" w:ascii="宋体" w:hAnsi="宋体" w:eastAsia="宋体" w:cs="宋体"/>
          <w:lang w:val="en-US" w:eastAsia="zh-CN"/>
        </w:rPr>
        <w:t>禄丰市位于云南省中部，楚雄彝族自治州东部，位于东经101°38′～102°25′，北纬24°51′～25°30′之间。市境东临昆明西山区、富民县和安宁市，南接双柏县和易门县，西倚楚雄市、牟定县，北邻元谋、武定县。</w:t>
      </w:r>
      <w:r>
        <w:rPr>
          <w:rFonts w:hint="eastAsia" w:ascii="宋体" w:hAnsi="宋体" w:eastAsia="宋体" w:cs="宋体"/>
        </w:rPr>
        <w:t>勤丰镇位于禄丰市东部，东临昆明市西山区团结街道，南接安宁市青龙街道，西靠和平镇，北连碧城镇</w:t>
      </w:r>
      <w:r>
        <w:rPr>
          <w:rFonts w:hint="eastAsia" w:ascii="宋体" w:hAnsi="宋体" w:eastAsia="宋体" w:cs="宋体"/>
          <w:lang w:eastAsia="zh-CN"/>
        </w:rPr>
        <w:t>，</w:t>
      </w:r>
      <w:r>
        <w:rPr>
          <w:rFonts w:hint="eastAsia" w:ascii="宋体" w:hAnsi="宋体" w:eastAsia="宋体" w:cs="宋体"/>
        </w:rPr>
        <w:t>行政区域面积253.4k</w:t>
      </w:r>
      <w:r>
        <w:rPr>
          <w:rFonts w:hint="eastAsia" w:ascii="宋体" w:hAnsi="宋体" w:eastAsia="宋体" w:cs="宋体"/>
          <w:lang w:eastAsia="zh-CN"/>
        </w:rPr>
        <w:t>㎡</w:t>
      </w:r>
      <w:r>
        <w:rPr>
          <w:rFonts w:hint="eastAsia" w:ascii="宋体" w:hAnsi="宋体" w:eastAsia="宋体" w:cs="宋体"/>
        </w:rPr>
        <w:t>。</w:t>
      </w:r>
    </w:p>
    <w:p w14:paraId="309702E2">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lang w:val="en-US" w:eastAsia="zh-CN"/>
        </w:rPr>
      </w:pPr>
      <w:r>
        <w:rPr>
          <w:rFonts w:hint="eastAsia" w:ascii="宋体" w:hAnsi="宋体" w:eastAsia="宋体" w:cs="宋体"/>
          <w:lang w:val="en-US" w:eastAsia="zh-CN"/>
        </w:rPr>
        <w:t>本项目位于</w:t>
      </w:r>
      <w:r>
        <w:rPr>
          <w:rFonts w:hint="eastAsia" w:ascii="宋体" w:hAnsi="宋体" w:eastAsia="宋体" w:cs="宋体"/>
          <w:bCs/>
          <w:snapToGrid w:val="0"/>
          <w:sz w:val="28"/>
          <w:szCs w:val="28"/>
        </w:rPr>
        <w:t>云南省禄丰</w:t>
      </w:r>
      <w:r>
        <w:rPr>
          <w:rFonts w:hint="eastAsia" w:ascii="宋体" w:hAnsi="宋体" w:eastAsia="宋体" w:cs="宋体"/>
          <w:bCs/>
          <w:snapToGrid w:val="0"/>
          <w:sz w:val="28"/>
          <w:szCs w:val="28"/>
          <w:lang w:val="en-US" w:eastAsia="zh-CN"/>
        </w:rPr>
        <w:t>市</w:t>
      </w:r>
      <w:r>
        <w:rPr>
          <w:rFonts w:hint="eastAsia" w:ascii="宋体" w:hAnsi="宋体" w:eastAsia="宋体" w:cs="宋体"/>
          <w:sz w:val="28"/>
          <w:szCs w:val="28"/>
        </w:rPr>
        <w:t>勤丰镇羊街村</w:t>
      </w:r>
      <w:r>
        <w:rPr>
          <w:rFonts w:hint="eastAsia" w:ascii="宋体" w:hAnsi="宋体" w:eastAsia="宋体" w:cs="宋体"/>
          <w:bCs/>
          <w:snapToGrid w:val="0"/>
          <w:sz w:val="28"/>
          <w:szCs w:val="28"/>
        </w:rPr>
        <w:t>，</w:t>
      </w:r>
      <w:r>
        <w:rPr>
          <w:rFonts w:hint="eastAsia" w:ascii="宋体" w:hAnsi="宋体" w:eastAsia="宋体" w:cs="宋体"/>
          <w:bCs/>
          <w:snapToGrid w:val="0"/>
          <w:sz w:val="28"/>
          <w:szCs w:val="28"/>
          <w:lang w:val="en-US" w:eastAsia="zh-CN"/>
        </w:rPr>
        <w:t>隶</w:t>
      </w:r>
      <w:r>
        <w:rPr>
          <w:rFonts w:hint="eastAsia" w:ascii="宋体" w:hAnsi="宋体" w:eastAsia="宋体" w:cs="宋体"/>
          <w:bCs/>
          <w:snapToGrid w:val="0"/>
          <w:sz w:val="28"/>
          <w:szCs w:val="28"/>
        </w:rPr>
        <w:t>属于</w:t>
      </w:r>
      <w:r>
        <w:rPr>
          <w:rFonts w:hint="eastAsia" w:ascii="宋体" w:hAnsi="宋体" w:eastAsia="宋体" w:cs="宋体"/>
        </w:rPr>
        <w:t>勤丰工业园区，</w:t>
      </w:r>
      <w:r>
        <w:rPr>
          <w:rFonts w:hint="eastAsia" w:ascii="宋体" w:hAnsi="宋体" w:eastAsia="宋体" w:cs="宋体"/>
          <w:lang w:val="en-US" w:eastAsia="zh-CN"/>
        </w:rPr>
        <w:t>位于禄丰市西面，距离禄丰市41.5</w:t>
      </w:r>
      <w:r>
        <w:rPr>
          <w:rFonts w:hint="eastAsia" w:cs="宋体"/>
          <w:lang w:val="en-US" w:eastAsia="zh-CN"/>
        </w:rPr>
        <w:t>KM</w:t>
      </w:r>
      <w:r>
        <w:rPr>
          <w:rFonts w:hint="eastAsia" w:ascii="宋体" w:hAnsi="宋体" w:eastAsia="宋体" w:cs="宋体"/>
          <w:lang w:val="en-US" w:eastAsia="zh-CN"/>
        </w:rPr>
        <w:t>。</w:t>
      </w:r>
      <w:r>
        <w:rPr>
          <w:rFonts w:hint="eastAsia" w:ascii="宋体" w:hAnsi="宋体" w:eastAsia="宋体" w:cs="宋体"/>
        </w:rPr>
        <w:t>项目区中心地理坐标为：东经102°17'19"，北纬25°6'11"。</w:t>
      </w:r>
      <w:r>
        <w:rPr>
          <w:rFonts w:hint="eastAsia" w:ascii="宋体" w:hAnsi="宋体" w:eastAsia="宋体" w:cs="宋体"/>
          <w:bCs/>
          <w:snapToGrid w:val="0"/>
          <w:sz w:val="28"/>
          <w:szCs w:val="28"/>
        </w:rPr>
        <w:t>目前从</w:t>
      </w:r>
      <w:r>
        <w:rPr>
          <w:rFonts w:hint="eastAsia" w:ascii="宋体" w:hAnsi="宋体" w:eastAsia="宋体" w:cs="宋体"/>
          <w:sz w:val="28"/>
          <w:szCs w:val="28"/>
        </w:rPr>
        <w:t>S222武新线</w:t>
      </w:r>
      <w:r>
        <w:rPr>
          <w:rFonts w:hint="eastAsia" w:ascii="宋体" w:hAnsi="宋体" w:eastAsia="宋体" w:cs="宋体"/>
          <w:bCs/>
          <w:snapToGrid w:val="0"/>
          <w:sz w:val="28"/>
          <w:szCs w:val="28"/>
        </w:rPr>
        <w:t>岔口有一条简易道路通往项目区</w:t>
      </w:r>
      <w:r>
        <w:rPr>
          <w:rFonts w:hint="eastAsia" w:ascii="宋体" w:hAnsi="宋体" w:eastAsia="宋体" w:cs="宋体"/>
        </w:rPr>
        <w:t>，交通便利</w:t>
      </w:r>
      <w:r>
        <w:rPr>
          <w:rFonts w:hint="eastAsia" w:ascii="宋体" w:hAnsi="宋体" w:eastAsia="宋体" w:cs="宋体"/>
          <w:lang w:eastAsia="zh-CN"/>
        </w:rPr>
        <w:t>。</w:t>
      </w:r>
      <w:r>
        <w:rPr>
          <w:rFonts w:hint="eastAsia" w:ascii="宋体" w:hAnsi="宋体" w:eastAsia="宋体" w:cs="宋体"/>
          <w:lang w:val="en-US" w:eastAsia="zh-CN"/>
        </w:rPr>
        <w:t>项目地理位置如下图：</w:t>
      </w:r>
    </w:p>
    <w:tbl>
      <w:tblPr>
        <w:tblStyle w:val="33"/>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19"/>
      </w:tblGrid>
      <w:tr w14:paraId="7464D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 w:hRule="atLeast"/>
          <w:jc w:val="center"/>
        </w:trPr>
        <w:tc>
          <w:tcPr>
            <w:tcW w:w="5000" w:type="pct"/>
            <w:vAlign w:val="top"/>
          </w:tcPr>
          <w:p w14:paraId="5F0941A4">
            <w:pPr>
              <w:keepNext w:val="0"/>
              <w:keepLines w:val="0"/>
              <w:pageBreakBefore w:val="0"/>
              <w:widowControl w:val="0"/>
              <w:suppressLineNumbers w:val="0"/>
              <w:kinsoku/>
              <w:wordWrap/>
              <w:topLinePunct/>
              <w:autoSpaceDE/>
              <w:autoSpaceDN/>
              <w:bidi w:val="0"/>
              <w:adjustRightInd w:val="0"/>
              <w:spacing w:before="0" w:beforeAutospacing="0" w:after="0" w:afterAutospacing="0" w:line="0" w:lineRule="atLeast"/>
              <w:ind w:left="0" w:right="0" w:firstLineChars="0"/>
              <w:jc w:val="center"/>
              <w:rPr>
                <w:rFonts w:hint="eastAsia" w:eastAsia="宋体" w:cs="Times New Roman"/>
                <w:vertAlign w:val="baseline"/>
                <w:lang w:val="en-US" w:eastAsia="zh-CN"/>
              </w:rPr>
            </w:pPr>
            <w:r>
              <w:rPr>
                <w:rFonts w:hint="default" w:ascii="宋体" w:hAnsi="宋体"/>
                <w:szCs w:val="28"/>
              </w:rPr>
              <mc:AlternateContent>
                <mc:Choice Requires="wps">
                  <w:drawing>
                    <wp:anchor distT="0" distB="0" distL="114300" distR="114300" simplePos="0" relativeHeight="251663360" behindDoc="0" locked="0" layoutInCell="1" allowOverlap="1">
                      <wp:simplePos x="0" y="0"/>
                      <wp:positionH relativeFrom="column">
                        <wp:posOffset>4114165</wp:posOffset>
                      </wp:positionH>
                      <wp:positionV relativeFrom="paragraph">
                        <wp:posOffset>1088390</wp:posOffset>
                      </wp:positionV>
                      <wp:extent cx="984250" cy="389255"/>
                      <wp:effectExtent l="231140" t="5080" r="16510" b="380365"/>
                      <wp:wrapNone/>
                      <wp:docPr id="18" name="对话气泡: 矩形 18"/>
                      <wp:cNvGraphicFramePr/>
                      <a:graphic xmlns:a="http://schemas.openxmlformats.org/drawingml/2006/main">
                        <a:graphicData uri="http://schemas.microsoft.com/office/word/2010/wordprocessingShape">
                          <wps:wsp>
                            <wps:cNvSpPr>
                              <a:spLocks noChangeArrowheads="1"/>
                            </wps:cNvSpPr>
                            <wps:spPr bwMode="auto">
                              <a:xfrm>
                                <a:off x="0" y="0"/>
                                <a:ext cx="984250" cy="389255"/>
                              </a:xfrm>
                              <a:prstGeom prst="wedgeRectCallout">
                                <a:avLst>
                                  <a:gd name="adj1" fmla="val -70384"/>
                                  <a:gd name="adj2" fmla="val 139884"/>
                                </a:avLst>
                              </a:prstGeom>
                              <a:noFill/>
                              <a:ln w="9525">
                                <a:solidFill>
                                  <a:srgbClr val="000000"/>
                                </a:solidFill>
                                <a:miter lim="800000"/>
                              </a:ln>
                            </wps:spPr>
                            <wps:txbx>
                              <w:txbxContent>
                                <w:p w14:paraId="2227E1F1">
                                  <w:pPr>
                                    <w:ind w:left="0" w:leftChars="0" w:firstLine="0" w:firstLineChars="0"/>
                                    <w:rPr>
                                      <w:b/>
                                      <w:bCs/>
                                      <w:szCs w:val="36"/>
                                    </w:rPr>
                                  </w:pPr>
                                  <w:r>
                                    <w:rPr>
                                      <w:rFonts w:hint="eastAsia"/>
                                      <w:b/>
                                      <w:bCs/>
                                      <w:szCs w:val="36"/>
                                    </w:rPr>
                                    <w:t>项目地点</w:t>
                                  </w:r>
                                </w:p>
                              </w:txbxContent>
                            </wps:txbx>
                            <wps:bodyPr rot="0" vert="horz" wrap="square" lIns="91440" tIns="45720" rIns="91440" bIns="45720" anchor="t" anchorCtr="0" upright="1">
                              <a:noAutofit/>
                            </wps:bodyPr>
                          </wps:wsp>
                        </a:graphicData>
                      </a:graphic>
                    </wp:anchor>
                  </w:drawing>
                </mc:Choice>
                <mc:Fallback>
                  <w:pict>
                    <v:shape id="对话气泡: 矩形 18" o:spid="_x0000_s1026" o:spt="61" type="#_x0000_t61" style="position:absolute;left:0pt;margin-left:323.95pt;margin-top:85.7pt;height:30.65pt;width:77.5pt;z-index:251663360;mso-width-relative:page;mso-height-relative:page;" filled="f" stroked="t" coordsize="21600,21600" o:gfxdata="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F2uJ0DZAAAACwEAAA8AAAAAAAAAAQAgAAAAIgAAAGRycy9k&#10;b3ducmV2LnhtbFBLAQIUABQAAAAIAIdO4kBNplmccwIAAL8EAAAOAAAAAAAAAAEAIAAAACgBAABk&#10;cnMvZTJvRG9jLnhtbFBLBQYAAAAABgAGAFkBAAANBgAAAAA=&#10;" adj="-4403,41015">
                      <v:fill on="f" focussize="0,0"/>
                      <v:stroke color="#000000" miterlimit="8" joinstyle="miter"/>
                      <v:imagedata o:title=""/>
                      <o:lock v:ext="edit" aspectratio="f"/>
                      <v:textbox>
                        <w:txbxContent>
                          <w:p w14:paraId="2227E1F1">
                            <w:pPr>
                              <w:ind w:left="0" w:leftChars="0" w:firstLine="0" w:firstLineChars="0"/>
                              <w:rPr>
                                <w:b/>
                                <w:bCs/>
                                <w:szCs w:val="36"/>
                              </w:rPr>
                            </w:pPr>
                            <w:r>
                              <w:rPr>
                                <w:rFonts w:hint="eastAsia"/>
                                <w:b/>
                                <w:bCs/>
                                <w:szCs w:val="36"/>
                              </w:rPr>
                              <w:t>项目地点</w:t>
                            </w:r>
                          </w:p>
                        </w:txbxContent>
                      </v:textbox>
                    </v:shape>
                  </w:pict>
                </mc:Fallback>
              </mc:AlternateContent>
            </w:r>
            <w:r>
              <w:rPr>
                <w:rFonts w:hint="default" w:ascii="宋体" w:hAnsi="宋体"/>
                <w:sz w:val="28"/>
                <w:szCs w:val="28"/>
              </w:rPr>
              <w:drawing>
                <wp:inline distT="0" distB="0" distL="0" distR="0">
                  <wp:extent cx="5185410" cy="3109595"/>
                  <wp:effectExtent l="0" t="0" r="8890" b="1905"/>
                  <wp:docPr id="2572" name="Picture 2572"/>
                  <wp:cNvGraphicFramePr/>
                  <a:graphic xmlns:a="http://schemas.openxmlformats.org/drawingml/2006/main">
                    <a:graphicData uri="http://schemas.openxmlformats.org/drawingml/2006/picture">
                      <pic:pic xmlns:pic="http://schemas.openxmlformats.org/drawingml/2006/picture">
                        <pic:nvPicPr>
                          <pic:cNvPr id="2572" name="Picture 2572"/>
                          <pic:cNvPicPr/>
                        </pic:nvPicPr>
                        <pic:blipFill>
                          <a:blip r:embed="rId47"/>
                          <a:stretch>
                            <a:fillRect/>
                          </a:stretch>
                        </pic:blipFill>
                        <pic:spPr>
                          <a:xfrm>
                            <a:off x="0" y="0"/>
                            <a:ext cx="5185410" cy="3109595"/>
                          </a:xfrm>
                          <a:prstGeom prst="rect">
                            <a:avLst/>
                          </a:prstGeom>
                        </pic:spPr>
                      </pic:pic>
                    </a:graphicData>
                  </a:graphic>
                </wp:inline>
              </w:drawing>
            </w:r>
            <w:r>
              <w:rPr>
                <w:rFonts w:hint="default" w:ascii="宋体" w:hAnsi="宋体" w:eastAsia="宋体" w:cs="宋体"/>
                <w:b/>
                <w:kern w:val="2"/>
                <w:sz w:val="24"/>
                <w:szCs w:val="28"/>
                <w:lang w:val="en-US" w:eastAsia="zh-CN" w:bidi="ar-SA"/>
              </w:rPr>
              <w:t xml:space="preserve">图 </w:t>
            </w:r>
            <w:r>
              <w:rPr>
                <w:rFonts w:hint="default" w:ascii="宋体" w:hAnsi="宋体" w:eastAsia="宋体" w:cs="宋体"/>
                <w:b/>
                <w:kern w:val="2"/>
                <w:sz w:val="24"/>
                <w:szCs w:val="28"/>
                <w:lang w:val="en-US" w:eastAsia="zh-CN" w:bidi="ar-SA"/>
              </w:rPr>
              <w:fldChar w:fldCharType="begin"/>
            </w:r>
            <w:r>
              <w:rPr>
                <w:rFonts w:hint="default" w:ascii="宋体" w:hAnsi="宋体" w:eastAsia="宋体" w:cs="宋体"/>
                <w:b/>
                <w:kern w:val="2"/>
                <w:sz w:val="24"/>
                <w:szCs w:val="28"/>
                <w:lang w:val="en-US" w:eastAsia="zh-CN" w:bidi="ar-SA"/>
              </w:rPr>
              <w:instrText xml:space="preserve"> STYLEREF 1 \s </w:instrText>
            </w:r>
            <w:r>
              <w:rPr>
                <w:rFonts w:hint="default" w:ascii="宋体" w:hAnsi="宋体" w:eastAsia="宋体" w:cs="宋体"/>
                <w:b/>
                <w:kern w:val="2"/>
                <w:sz w:val="24"/>
                <w:szCs w:val="28"/>
                <w:lang w:val="en-US" w:eastAsia="zh-CN" w:bidi="ar-SA"/>
              </w:rPr>
              <w:fldChar w:fldCharType="separate"/>
            </w:r>
            <w:r>
              <w:rPr>
                <w:rFonts w:hint="default" w:ascii="宋体" w:hAnsi="宋体" w:eastAsia="宋体" w:cs="宋体"/>
                <w:b/>
                <w:kern w:val="2"/>
                <w:sz w:val="24"/>
                <w:szCs w:val="28"/>
                <w:lang w:val="en-US" w:eastAsia="zh-CN" w:bidi="ar-SA"/>
              </w:rPr>
              <w:t>2</w:t>
            </w:r>
            <w:r>
              <w:rPr>
                <w:rFonts w:hint="default" w:ascii="宋体" w:hAnsi="宋体" w:eastAsia="宋体" w:cs="宋体"/>
                <w:b/>
                <w:kern w:val="2"/>
                <w:sz w:val="24"/>
                <w:szCs w:val="28"/>
                <w:lang w:val="en-US" w:eastAsia="zh-CN" w:bidi="ar-SA"/>
              </w:rPr>
              <w:fldChar w:fldCharType="end"/>
            </w:r>
            <w:r>
              <w:rPr>
                <w:rFonts w:hint="eastAsia" w:ascii="宋体" w:hAnsi="宋体" w:eastAsia="宋体" w:cs="宋体"/>
                <w:b/>
                <w:kern w:val="2"/>
                <w:sz w:val="24"/>
                <w:szCs w:val="28"/>
                <w:lang w:val="en-US" w:eastAsia="zh-CN" w:bidi="ar-SA"/>
              </w:rPr>
              <w:t>-</w:t>
            </w:r>
            <w:r>
              <w:rPr>
                <w:rFonts w:hint="default" w:ascii="宋体" w:hAnsi="宋体" w:eastAsia="宋体" w:cs="宋体"/>
                <w:b/>
                <w:kern w:val="2"/>
                <w:sz w:val="24"/>
                <w:szCs w:val="28"/>
                <w:lang w:val="en-US" w:eastAsia="zh-CN" w:bidi="ar-SA"/>
              </w:rPr>
              <w:fldChar w:fldCharType="begin"/>
            </w:r>
            <w:r>
              <w:rPr>
                <w:rFonts w:hint="default" w:ascii="宋体" w:hAnsi="宋体" w:eastAsia="宋体" w:cs="宋体"/>
                <w:b/>
                <w:kern w:val="2"/>
                <w:sz w:val="24"/>
                <w:szCs w:val="28"/>
                <w:lang w:val="en-US" w:eastAsia="zh-CN" w:bidi="ar-SA"/>
              </w:rPr>
              <w:instrText xml:space="preserve"> SEQ 图 \* ARABIC \s 1 </w:instrText>
            </w:r>
            <w:r>
              <w:rPr>
                <w:rFonts w:hint="default" w:ascii="宋体" w:hAnsi="宋体" w:eastAsia="宋体" w:cs="宋体"/>
                <w:b/>
                <w:kern w:val="2"/>
                <w:sz w:val="24"/>
                <w:szCs w:val="28"/>
                <w:lang w:val="en-US" w:eastAsia="zh-CN" w:bidi="ar-SA"/>
              </w:rPr>
              <w:fldChar w:fldCharType="separate"/>
            </w:r>
            <w:r>
              <w:rPr>
                <w:rFonts w:hint="default" w:ascii="宋体" w:hAnsi="宋体" w:eastAsia="宋体" w:cs="宋体"/>
                <w:b/>
                <w:kern w:val="2"/>
                <w:sz w:val="24"/>
                <w:szCs w:val="28"/>
                <w:lang w:val="en-US" w:eastAsia="zh-CN" w:bidi="ar-SA"/>
              </w:rPr>
              <w:t>1</w:t>
            </w:r>
            <w:r>
              <w:rPr>
                <w:rFonts w:hint="default" w:ascii="宋体" w:hAnsi="宋体" w:eastAsia="宋体" w:cs="宋体"/>
                <w:b/>
                <w:kern w:val="2"/>
                <w:sz w:val="24"/>
                <w:szCs w:val="28"/>
                <w:lang w:val="en-US" w:eastAsia="zh-CN" w:bidi="ar-SA"/>
              </w:rPr>
              <w:fldChar w:fldCharType="end"/>
            </w:r>
            <w:r>
              <w:rPr>
                <w:rFonts w:hint="eastAsia" w:ascii="宋体" w:hAnsi="宋体" w:eastAsia="宋体" w:cs="宋体"/>
                <w:b/>
                <w:kern w:val="2"/>
                <w:sz w:val="24"/>
                <w:szCs w:val="28"/>
                <w:lang w:val="en-US" w:eastAsia="zh-CN" w:bidi="ar-SA"/>
              </w:rPr>
              <w:t>项目地理位置图</w:t>
            </w:r>
          </w:p>
        </w:tc>
      </w:tr>
    </w:tbl>
    <w:p w14:paraId="1600713C">
      <w:pPr>
        <w:pStyle w:val="4"/>
        <w:keepNext w:val="0"/>
        <w:keepLines w:val="0"/>
        <w:pageBreakBefore w:val="0"/>
        <w:widowControl w:val="0"/>
        <w:kinsoku/>
        <w:bidi w:val="0"/>
        <w:rPr>
          <w:lang w:val="en-US" w:eastAsia="zh-CN"/>
        </w:rPr>
      </w:pPr>
      <w:bookmarkStart w:id="194" w:name="_Toc2297"/>
      <w:bookmarkStart w:id="195" w:name="_Toc378322666"/>
      <w:bookmarkStart w:id="196" w:name="_Toc1238"/>
      <w:bookmarkStart w:id="197" w:name="_Toc393462800"/>
      <w:bookmarkStart w:id="198" w:name="_Toc394409062"/>
      <w:bookmarkStart w:id="199" w:name="_Toc55945229"/>
      <w:bookmarkStart w:id="200" w:name="_Toc522811430"/>
      <w:bookmarkStart w:id="201" w:name="_Toc378002195"/>
      <w:bookmarkStart w:id="202" w:name="_Toc55033292"/>
      <w:bookmarkStart w:id="203" w:name="_Toc413501820"/>
      <w:bookmarkStart w:id="204" w:name="_Toc2527"/>
      <w:bookmarkStart w:id="205" w:name="_Toc60925335"/>
      <w:bookmarkStart w:id="206" w:name="_Toc55567354"/>
      <w:bookmarkStart w:id="207" w:name="_Toc531271054"/>
      <w:r>
        <w:rPr>
          <w:rFonts w:hint="eastAsia"/>
          <w:color w:val="auto"/>
        </w:rPr>
        <w:t>地形地貌</w:t>
      </w:r>
      <w:bookmarkEnd w:id="194"/>
    </w:p>
    <w:p w14:paraId="126C4FE0">
      <w:pPr>
        <w:keepNext w:val="0"/>
        <w:keepLines w:val="0"/>
        <w:pageBreakBefore w:val="0"/>
        <w:widowControl w:val="0"/>
        <w:kinsoku/>
        <w:wordWrap/>
        <w:overflowPunct/>
        <w:topLinePunct w:val="0"/>
        <w:autoSpaceDE/>
        <w:autoSpaceDN/>
        <w:bidi w:val="0"/>
        <w:adjustRightInd w:val="0"/>
        <w:snapToGrid/>
        <w:textAlignment w:val="auto"/>
        <w:rPr>
          <w:rFonts w:hint="eastAsia" w:ascii="宋体" w:hAnsi="宋体" w:eastAsia="宋体" w:cs="宋体"/>
          <w:lang w:val="en-US" w:eastAsia="zh-CN"/>
        </w:rPr>
      </w:pPr>
      <w:r>
        <w:rPr>
          <w:rFonts w:hint="eastAsia" w:ascii="宋体" w:hAnsi="宋体" w:eastAsia="宋体" w:cs="宋体"/>
          <w:lang w:eastAsia="zh-CN"/>
        </w:rPr>
        <w:t>该项目</w:t>
      </w:r>
      <w:r>
        <w:rPr>
          <w:rFonts w:hint="eastAsia" w:ascii="宋体" w:hAnsi="宋体" w:eastAsia="宋体" w:cs="宋体"/>
          <w:sz w:val="28"/>
          <w:szCs w:val="28"/>
        </w:rPr>
        <w:t>位于禄丰市勤丰镇羊街村北侧、武易高速公路东侧，地貌上属于构造侵蚀、剥蚀低中山地貌，总体地势西高东低。</w:t>
      </w:r>
    </w:p>
    <w:p w14:paraId="5521031F">
      <w:pPr>
        <w:pStyle w:val="4"/>
        <w:bidi w:val="0"/>
        <w:rPr>
          <w:rFonts w:hint="eastAsia"/>
          <w:lang w:val="en-US" w:eastAsia="zh-CN"/>
        </w:rPr>
      </w:pPr>
      <w:bookmarkStart w:id="208" w:name="_Toc13186"/>
      <w:r>
        <w:rPr>
          <w:lang w:val="en-US" w:eastAsia="zh-CN"/>
        </w:rPr>
        <w:t>气象</w:t>
      </w:r>
      <w:r>
        <w:rPr>
          <w:rFonts w:hint="eastAsia"/>
          <w:lang w:val="en-US" w:eastAsia="zh-CN"/>
        </w:rPr>
        <w:t>水文</w:t>
      </w:r>
      <w:bookmarkEnd w:id="208"/>
    </w:p>
    <w:p w14:paraId="2234DF84">
      <w:pPr>
        <w:keepNext w:val="0"/>
        <w:keepLines w:val="0"/>
        <w:pageBreakBefore w:val="0"/>
        <w:widowControl w:val="0"/>
        <w:kinsoku/>
        <w:wordWrap/>
        <w:overflowPunct/>
        <w:topLinePunct w:val="0"/>
        <w:autoSpaceDE/>
        <w:autoSpaceDN/>
        <w:bidi w:val="0"/>
        <w:adjustRightInd w:val="0"/>
        <w:snapToGrid/>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禄丰</w:t>
      </w:r>
      <w:r>
        <w:rPr>
          <w:rFonts w:hint="eastAsia" w:ascii="宋体" w:hAnsi="宋体" w:eastAsia="宋体" w:cs="宋体"/>
          <w:sz w:val="28"/>
          <w:szCs w:val="28"/>
          <w:lang w:val="en-US" w:eastAsia="zh-CN"/>
        </w:rPr>
        <w:t>市</w:t>
      </w:r>
      <w:r>
        <w:rPr>
          <w:rFonts w:hint="eastAsia" w:ascii="宋体" w:hAnsi="宋体" w:eastAsia="宋体" w:cs="宋体"/>
          <w:sz w:val="28"/>
          <w:szCs w:val="28"/>
          <w:lang w:eastAsia="zh-CN"/>
        </w:rPr>
        <w:t>是个低纬度内陆山区，其气候受四季南风控制，西南与东南两支温暖气候兼有，属中亚热带低纬度高原山地季风气候。气候总特点是类型多样化，时空变异大，冬温高无严寒，夏温偏低无酷暑，年温差较小，日温差较大，光热资源丰富，有效利用率较高，13年平均气温16.1℃，1月最冷，平均气温8.4℃，极端最低气温零下4.4℃；7月份最热，平均气温为21.2℃，极端最高气温为33.1℃。年平均降水量为896.8mm，年平均相对湿度75%，年平均蒸发量1785mm，静风频率53%，西南风13%，年平均风速1.6m/s。项目所在地平均相对湿度74%，最大风速20m/s，年平均风速2m/s，主导风向西南风，其次为南风，平均大气压80.77kPa。</w:t>
      </w:r>
    </w:p>
    <w:p w14:paraId="104354B6">
      <w:pPr>
        <w:keepNext w:val="0"/>
        <w:keepLines w:val="0"/>
        <w:pageBreakBefore w:val="0"/>
        <w:widowControl w:val="0"/>
        <w:kinsoku/>
        <w:wordWrap/>
        <w:overflowPunct/>
        <w:topLinePunct w:val="0"/>
        <w:autoSpaceDE/>
        <w:autoSpaceDN/>
        <w:bidi w:val="0"/>
        <w:adjustRightInd w:val="0"/>
        <w:snapToGrid/>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勤丰镇境内水资源主要来自地表径流，多为降水补给性河流。勤丰镇境内河道属金沙江、红河两大水系。是两大水系的源头水之一，以吉家营村为分水岭，一条经北甸村民委员会流入安宁市螳螂川汇入金沙江水系；另一条经碧城镇、仁兴镇汇入红河水系。</w:t>
      </w:r>
    </w:p>
    <w:p w14:paraId="2348A757">
      <w:pPr>
        <w:pStyle w:val="4"/>
        <w:keepNext w:val="0"/>
        <w:keepLines w:val="0"/>
        <w:pageBreakBefore w:val="0"/>
        <w:widowControl w:val="0"/>
        <w:kinsoku/>
        <w:bidi w:val="0"/>
        <w:rPr>
          <w:lang w:val="en-US" w:eastAsia="zh-CN"/>
        </w:rPr>
      </w:pPr>
      <w:bookmarkStart w:id="209" w:name="_Toc5291"/>
      <w:r>
        <w:rPr>
          <w:rFonts w:hint="eastAsia"/>
          <w:lang w:val="en-US" w:eastAsia="zh-CN"/>
        </w:rPr>
        <w:t>地质条件</w:t>
      </w:r>
      <w:bookmarkEnd w:id="209"/>
    </w:p>
    <w:p w14:paraId="04109962">
      <w:pPr>
        <w:keepNext w:val="0"/>
        <w:keepLines w:val="0"/>
        <w:pageBreakBefore w:val="0"/>
        <w:widowControl w:val="0"/>
        <w:kinsoku/>
        <w:wordWrap/>
        <w:topLinePunct/>
        <w:autoSpaceDE w:val="0"/>
        <w:autoSpaceDN w:val="0"/>
        <w:bidi w:val="0"/>
        <w:adjustRightInd w:val="0"/>
        <w:snapToGrid w:val="0"/>
        <w:ind w:firstLine="560"/>
        <w:jc w:val="left"/>
        <w:textAlignment w:val="baseline"/>
        <w:rPr>
          <w:rFonts w:hint="eastAsia" w:ascii="宋体" w:hAnsi="宋体" w:eastAsia="宋体" w:cs="宋体"/>
          <w:sz w:val="28"/>
          <w:szCs w:val="28"/>
          <w:lang w:eastAsia="zh-CN"/>
        </w:rPr>
      </w:pPr>
      <w:r>
        <w:rPr>
          <w:rFonts w:ascii="宋体" w:hAnsi="宋体"/>
          <w:color w:val="auto"/>
          <w:szCs w:val="28"/>
        </w:rPr>
        <w:t>根据企业提供的</w:t>
      </w:r>
      <w:r>
        <w:rPr>
          <w:rFonts w:hint="eastAsia" w:cs="Times New Roman"/>
        </w:rPr>
        <w:t>《年产3万吨电熔氧化锆产业基地建设项目（一</w:t>
      </w:r>
      <w:r>
        <w:rPr>
          <w:rFonts w:hint="eastAsia" w:ascii="宋体" w:hAnsi="宋体" w:eastAsia="宋体" w:cs="宋体"/>
          <w:sz w:val="28"/>
          <w:szCs w:val="28"/>
          <w:lang w:eastAsia="zh-CN"/>
        </w:rPr>
        <w:t>期）拟建场地岩土工程勘察报告（详细勘察阶段）》（楚雄有色勘测工程有限公司，2021年5月</w:t>
      </w:r>
      <w:r>
        <w:rPr>
          <w:rFonts w:hint="eastAsia" w:ascii="宋体" w:hAnsi="宋体" w:eastAsia="宋体" w:cs="宋体"/>
          <w:sz w:val="28"/>
          <w:szCs w:val="28"/>
          <w:lang w:val="en-US" w:eastAsia="zh-CN"/>
        </w:rPr>
        <w:t>14日</w:t>
      </w:r>
      <w:r>
        <w:rPr>
          <w:rFonts w:hint="eastAsia" w:ascii="宋体" w:hAnsi="宋体" w:eastAsia="宋体" w:cs="宋体"/>
          <w:sz w:val="28"/>
          <w:szCs w:val="28"/>
          <w:lang w:eastAsia="zh-CN"/>
        </w:rPr>
        <w:t>）结论部分对建设项目地质条件介绍如下：</w:t>
      </w:r>
    </w:p>
    <w:p w14:paraId="5E6264B5">
      <w:pPr>
        <w:keepNext w:val="0"/>
        <w:keepLines w:val="0"/>
        <w:pageBreakBefore w:val="0"/>
        <w:widowControl w:val="0"/>
        <w:numPr>
          <w:ilvl w:val="0"/>
          <w:numId w:val="12"/>
        </w:numPr>
        <w:kinsoku/>
        <w:wordWrap/>
        <w:overflowPunct/>
        <w:topLinePunct w:val="0"/>
        <w:autoSpaceDE/>
        <w:autoSpaceDN/>
        <w:bidi w:val="0"/>
        <w:adjustRightInd/>
        <w:snapToGrid/>
        <w:spacing w:line="500" w:lineRule="exact"/>
        <w:ind w:left="0" w:leftChars="0" w:firstLine="560" w:firstLineChars="200"/>
        <w:jc w:val="both"/>
        <w:textAlignment w:val="auto"/>
        <w:outlineLvl w:val="9"/>
        <w:rPr>
          <w:rFonts w:hint="eastAsia" w:ascii="宋体" w:hAnsi="宋体" w:eastAsia="宋体" w:cs="宋体"/>
          <w:color w:val="auto"/>
          <w:kern w:val="2"/>
          <w:sz w:val="28"/>
          <w:szCs w:val="24"/>
          <w:lang w:val="en-US" w:eastAsia="zh-CN" w:bidi="ar-SA"/>
        </w:rPr>
      </w:pPr>
      <w:r>
        <w:rPr>
          <w:rFonts w:hint="eastAsia" w:ascii="宋体" w:hAnsi="宋体" w:eastAsia="宋体" w:cs="宋体"/>
          <w:color w:val="auto"/>
          <w:kern w:val="2"/>
          <w:sz w:val="28"/>
          <w:szCs w:val="24"/>
          <w:lang w:val="en-US" w:eastAsia="zh-CN" w:bidi="ar-SA"/>
        </w:rPr>
        <w:t>拟建场地属较稳定的建筑场地，适宜建筑。</w:t>
      </w:r>
    </w:p>
    <w:p w14:paraId="74937D5C">
      <w:pPr>
        <w:keepNext w:val="0"/>
        <w:keepLines w:val="0"/>
        <w:pageBreakBefore w:val="0"/>
        <w:widowControl w:val="0"/>
        <w:numPr>
          <w:ilvl w:val="0"/>
          <w:numId w:val="12"/>
        </w:numPr>
        <w:kinsoku/>
        <w:wordWrap/>
        <w:overflowPunct/>
        <w:topLinePunct w:val="0"/>
        <w:autoSpaceDE/>
        <w:autoSpaceDN/>
        <w:bidi w:val="0"/>
        <w:adjustRightInd/>
        <w:snapToGrid/>
        <w:spacing w:line="500" w:lineRule="exact"/>
        <w:ind w:left="0" w:leftChars="0" w:firstLine="560" w:firstLineChars="200"/>
        <w:jc w:val="both"/>
        <w:textAlignment w:val="auto"/>
        <w:outlineLvl w:val="9"/>
        <w:rPr>
          <w:rFonts w:hint="eastAsia" w:ascii="宋体" w:hAnsi="宋体" w:eastAsia="宋体" w:cs="宋体"/>
          <w:color w:val="auto"/>
          <w:kern w:val="2"/>
          <w:sz w:val="28"/>
          <w:szCs w:val="24"/>
          <w:lang w:val="en-US" w:eastAsia="zh-CN" w:bidi="ar-SA"/>
        </w:rPr>
      </w:pPr>
      <w:r>
        <w:rPr>
          <w:rFonts w:hint="eastAsia" w:ascii="宋体" w:hAnsi="宋体" w:eastAsia="宋体" w:cs="宋体"/>
          <w:sz w:val="28"/>
          <w:szCs w:val="28"/>
        </w:rPr>
        <w:t>拟建场地属对建筑抗震不利地段，中硬场地土类型，Ⅱ类建筑场地。</w:t>
      </w:r>
    </w:p>
    <w:p w14:paraId="1A9C515A">
      <w:pPr>
        <w:keepNext w:val="0"/>
        <w:keepLines w:val="0"/>
        <w:pageBreakBefore w:val="0"/>
        <w:widowControl w:val="0"/>
        <w:numPr>
          <w:ilvl w:val="0"/>
          <w:numId w:val="12"/>
        </w:numPr>
        <w:kinsoku/>
        <w:wordWrap/>
        <w:overflowPunct/>
        <w:topLinePunct w:val="0"/>
        <w:autoSpaceDE/>
        <w:autoSpaceDN/>
        <w:bidi w:val="0"/>
        <w:adjustRightInd/>
        <w:snapToGrid/>
        <w:spacing w:line="500" w:lineRule="exact"/>
        <w:ind w:left="0" w:leftChars="0" w:firstLine="560" w:firstLineChars="200"/>
        <w:jc w:val="both"/>
        <w:textAlignment w:val="auto"/>
        <w:outlineLvl w:val="9"/>
        <w:rPr>
          <w:rFonts w:hint="eastAsia" w:ascii="宋体" w:hAnsi="宋体" w:eastAsia="宋体" w:cs="宋体"/>
          <w:color w:val="auto"/>
          <w:kern w:val="2"/>
          <w:sz w:val="28"/>
          <w:szCs w:val="24"/>
          <w:lang w:val="en-US" w:eastAsia="zh-CN" w:bidi="ar-SA"/>
        </w:rPr>
      </w:pPr>
      <w:r>
        <w:rPr>
          <w:rFonts w:hint="eastAsia" w:ascii="宋体" w:hAnsi="宋体" w:eastAsia="宋体" w:cs="宋体"/>
          <w:sz w:val="28"/>
          <w:szCs w:val="28"/>
        </w:rPr>
        <w:t>场地及周围地表无地裂缝发育</w:t>
      </w:r>
      <w:r>
        <w:rPr>
          <w:rFonts w:hint="eastAsia" w:ascii="宋体" w:hAnsi="宋体" w:eastAsia="宋体" w:cs="宋体"/>
          <w:sz w:val="28"/>
          <w:szCs w:val="28"/>
          <w:lang w:eastAsia="zh-CN"/>
        </w:rPr>
        <w:t>及其他</w:t>
      </w:r>
      <w:r>
        <w:rPr>
          <w:rFonts w:hint="eastAsia" w:ascii="宋体" w:hAnsi="宋体" w:eastAsia="宋体" w:cs="宋体"/>
          <w:sz w:val="28"/>
          <w:szCs w:val="28"/>
        </w:rPr>
        <w:t>地质灾害发育。</w:t>
      </w:r>
    </w:p>
    <w:p w14:paraId="5D55D25F">
      <w:pPr>
        <w:keepNext w:val="0"/>
        <w:keepLines w:val="0"/>
        <w:pageBreakBefore w:val="0"/>
        <w:widowControl w:val="0"/>
        <w:numPr>
          <w:ilvl w:val="0"/>
          <w:numId w:val="12"/>
        </w:numPr>
        <w:kinsoku/>
        <w:wordWrap/>
        <w:overflowPunct/>
        <w:topLinePunct w:val="0"/>
        <w:autoSpaceDE/>
        <w:autoSpaceDN/>
        <w:bidi w:val="0"/>
        <w:adjustRightInd/>
        <w:snapToGrid/>
        <w:spacing w:line="500" w:lineRule="exact"/>
        <w:ind w:left="0" w:leftChars="0" w:firstLine="560" w:firstLineChars="200"/>
        <w:jc w:val="both"/>
        <w:textAlignment w:val="auto"/>
        <w:outlineLvl w:val="9"/>
        <w:rPr>
          <w:rFonts w:hint="eastAsia" w:ascii="宋体" w:hAnsi="宋体" w:eastAsia="宋体" w:cs="宋体"/>
          <w:color w:val="auto"/>
          <w:kern w:val="2"/>
          <w:sz w:val="28"/>
          <w:szCs w:val="24"/>
          <w:lang w:val="en-US" w:eastAsia="zh-CN" w:bidi="ar-SA"/>
        </w:rPr>
      </w:pPr>
      <w:r>
        <w:rPr>
          <w:rFonts w:hint="eastAsia" w:ascii="宋体" w:hAnsi="宋体" w:eastAsia="宋体" w:cs="宋体"/>
          <w:sz w:val="28"/>
          <w:szCs w:val="28"/>
        </w:rPr>
        <w:t>本场地地基为不均匀地基。</w:t>
      </w:r>
    </w:p>
    <w:p w14:paraId="2E7F9EE1">
      <w:pPr>
        <w:keepNext w:val="0"/>
        <w:keepLines w:val="0"/>
        <w:pageBreakBefore w:val="0"/>
        <w:widowControl w:val="0"/>
        <w:numPr>
          <w:ilvl w:val="0"/>
          <w:numId w:val="12"/>
        </w:numPr>
        <w:kinsoku/>
        <w:wordWrap/>
        <w:overflowPunct/>
        <w:topLinePunct w:val="0"/>
        <w:autoSpaceDE/>
        <w:autoSpaceDN/>
        <w:bidi w:val="0"/>
        <w:adjustRightInd/>
        <w:snapToGrid/>
        <w:spacing w:line="500" w:lineRule="exact"/>
        <w:ind w:left="0" w:leftChars="0" w:firstLine="560" w:firstLineChars="200"/>
        <w:jc w:val="both"/>
        <w:textAlignment w:val="auto"/>
        <w:outlineLvl w:val="9"/>
        <w:rPr>
          <w:rFonts w:hint="eastAsia" w:ascii="宋体" w:hAnsi="宋体" w:eastAsia="宋体" w:cs="宋体"/>
          <w:color w:val="auto"/>
          <w:kern w:val="2"/>
          <w:sz w:val="28"/>
          <w:szCs w:val="24"/>
          <w:lang w:val="en-US" w:eastAsia="zh-CN" w:bidi="ar-SA"/>
        </w:rPr>
      </w:pPr>
      <w:r>
        <w:rPr>
          <w:rFonts w:hint="eastAsia" w:ascii="宋体" w:hAnsi="宋体" w:eastAsia="宋体" w:cs="宋体"/>
          <w:sz w:val="28"/>
          <w:szCs w:val="28"/>
        </w:rPr>
        <w:t>场地及周围无采空区，无岩溶发育。无埋藏的河道、沟滨、墓穴、防空洞、 孤石等对工程不利的发展埋藏物，无长输天然气管道、输油管道等。</w:t>
      </w:r>
    </w:p>
    <w:p w14:paraId="5BF1F67B">
      <w:pPr>
        <w:keepNext w:val="0"/>
        <w:keepLines w:val="0"/>
        <w:pageBreakBefore w:val="0"/>
        <w:widowControl w:val="0"/>
        <w:numPr>
          <w:ilvl w:val="0"/>
          <w:numId w:val="12"/>
        </w:numPr>
        <w:kinsoku/>
        <w:wordWrap/>
        <w:overflowPunct/>
        <w:topLinePunct w:val="0"/>
        <w:autoSpaceDE/>
        <w:autoSpaceDN/>
        <w:bidi w:val="0"/>
        <w:adjustRightInd/>
        <w:snapToGrid/>
        <w:spacing w:line="500" w:lineRule="exact"/>
        <w:ind w:left="0" w:leftChars="0" w:firstLine="560" w:firstLineChars="200"/>
        <w:jc w:val="both"/>
        <w:textAlignment w:val="auto"/>
        <w:outlineLvl w:val="9"/>
        <w:rPr>
          <w:rFonts w:hint="eastAsia" w:ascii="宋体" w:hAnsi="宋体" w:eastAsia="宋体" w:cs="宋体"/>
          <w:color w:val="auto"/>
          <w:kern w:val="2"/>
          <w:sz w:val="28"/>
          <w:szCs w:val="24"/>
          <w:lang w:val="en-US" w:eastAsia="zh-CN" w:bidi="ar-SA"/>
        </w:rPr>
      </w:pPr>
      <w:r>
        <w:rPr>
          <w:rFonts w:hint="eastAsia" w:ascii="宋体" w:hAnsi="宋体" w:eastAsia="宋体" w:cs="宋体"/>
          <w:sz w:val="28"/>
          <w:szCs w:val="28"/>
        </w:rPr>
        <w:t>场地中无污染土分布。</w:t>
      </w:r>
    </w:p>
    <w:p w14:paraId="3A767919">
      <w:pPr>
        <w:keepNext w:val="0"/>
        <w:keepLines w:val="0"/>
        <w:pageBreakBefore w:val="0"/>
        <w:widowControl w:val="0"/>
        <w:numPr>
          <w:ilvl w:val="0"/>
          <w:numId w:val="12"/>
        </w:numPr>
        <w:kinsoku/>
        <w:wordWrap/>
        <w:overflowPunct/>
        <w:topLinePunct w:val="0"/>
        <w:autoSpaceDE/>
        <w:autoSpaceDN/>
        <w:bidi w:val="0"/>
        <w:adjustRightInd/>
        <w:snapToGrid/>
        <w:spacing w:line="500" w:lineRule="exact"/>
        <w:ind w:left="0" w:leftChars="0" w:firstLine="560" w:firstLineChars="200"/>
        <w:jc w:val="both"/>
        <w:textAlignment w:val="auto"/>
        <w:outlineLvl w:val="9"/>
        <w:rPr>
          <w:rFonts w:hint="eastAsia" w:ascii="宋体" w:hAnsi="宋体" w:eastAsia="宋体" w:cs="宋体"/>
          <w:color w:val="auto"/>
          <w:kern w:val="2"/>
          <w:sz w:val="28"/>
          <w:szCs w:val="24"/>
          <w:lang w:val="en-US" w:eastAsia="zh-CN" w:bidi="ar-SA"/>
        </w:rPr>
      </w:pPr>
      <w:r>
        <w:rPr>
          <w:rFonts w:hint="eastAsia" w:ascii="宋体" w:hAnsi="宋体" w:eastAsia="宋体" w:cs="宋体"/>
          <w:sz w:val="28"/>
          <w:szCs w:val="28"/>
        </w:rPr>
        <w:t>场地中分布的①层杂填土为特殊性岩土。</w:t>
      </w:r>
    </w:p>
    <w:p w14:paraId="6D88447D">
      <w:pPr>
        <w:keepNext w:val="0"/>
        <w:keepLines w:val="0"/>
        <w:pageBreakBefore w:val="0"/>
        <w:widowControl w:val="0"/>
        <w:numPr>
          <w:ilvl w:val="0"/>
          <w:numId w:val="12"/>
        </w:numPr>
        <w:kinsoku/>
        <w:wordWrap/>
        <w:overflowPunct/>
        <w:topLinePunct w:val="0"/>
        <w:autoSpaceDE/>
        <w:autoSpaceDN/>
        <w:bidi w:val="0"/>
        <w:adjustRightInd/>
        <w:snapToGrid/>
        <w:spacing w:line="500" w:lineRule="exact"/>
        <w:ind w:left="0" w:leftChars="0" w:firstLine="560" w:firstLineChars="200"/>
        <w:jc w:val="both"/>
        <w:textAlignment w:val="auto"/>
        <w:outlineLvl w:val="9"/>
        <w:rPr>
          <w:rFonts w:hint="eastAsia" w:ascii="宋体" w:hAnsi="宋体" w:eastAsia="宋体" w:cs="宋体"/>
          <w:color w:val="auto"/>
          <w:kern w:val="2"/>
          <w:sz w:val="28"/>
          <w:szCs w:val="24"/>
          <w:lang w:val="en-US" w:eastAsia="zh-CN" w:bidi="ar-SA"/>
        </w:rPr>
      </w:pPr>
      <w:r>
        <w:rPr>
          <w:rFonts w:hint="eastAsia" w:ascii="宋体" w:hAnsi="宋体" w:eastAsia="宋体" w:cs="宋体"/>
          <w:sz w:val="28"/>
          <w:szCs w:val="28"/>
        </w:rPr>
        <w:t>②层为弱膨胀土，地基的胀缩等级为Ⅱ级。</w:t>
      </w:r>
    </w:p>
    <w:p w14:paraId="7B6DDA16">
      <w:pPr>
        <w:keepNext w:val="0"/>
        <w:keepLines w:val="0"/>
        <w:pageBreakBefore w:val="0"/>
        <w:widowControl w:val="0"/>
        <w:numPr>
          <w:ilvl w:val="0"/>
          <w:numId w:val="12"/>
        </w:numPr>
        <w:kinsoku/>
        <w:wordWrap/>
        <w:overflowPunct/>
        <w:topLinePunct w:val="0"/>
        <w:autoSpaceDE/>
        <w:autoSpaceDN/>
        <w:bidi w:val="0"/>
        <w:adjustRightInd/>
        <w:snapToGrid/>
        <w:spacing w:line="500" w:lineRule="exact"/>
        <w:ind w:left="0" w:leftChars="0" w:firstLine="560" w:firstLineChars="200"/>
        <w:jc w:val="both"/>
        <w:textAlignment w:val="auto"/>
        <w:outlineLvl w:val="9"/>
        <w:rPr>
          <w:rFonts w:hint="eastAsia" w:ascii="宋体" w:hAnsi="宋体" w:eastAsia="宋体" w:cs="宋体"/>
          <w:color w:val="auto"/>
          <w:kern w:val="2"/>
          <w:sz w:val="28"/>
          <w:szCs w:val="24"/>
          <w:lang w:val="en-US" w:eastAsia="zh-CN" w:bidi="ar-SA"/>
        </w:rPr>
      </w:pPr>
      <w:r>
        <w:rPr>
          <w:rFonts w:hint="eastAsia" w:ascii="宋体" w:hAnsi="宋体" w:eastAsia="宋体" w:cs="宋体"/>
          <w:sz w:val="28"/>
          <w:szCs w:val="28"/>
        </w:rPr>
        <w:t>勘察深度范围内未揭露到地下水，基础可不考虑地下水的影响。</w:t>
      </w:r>
    </w:p>
    <w:p w14:paraId="4A614A47">
      <w:pPr>
        <w:keepNext w:val="0"/>
        <w:keepLines w:val="0"/>
        <w:pageBreakBefore w:val="0"/>
        <w:widowControl w:val="0"/>
        <w:numPr>
          <w:ilvl w:val="0"/>
          <w:numId w:val="12"/>
        </w:numPr>
        <w:kinsoku/>
        <w:wordWrap/>
        <w:overflowPunct/>
        <w:topLinePunct w:val="0"/>
        <w:autoSpaceDE/>
        <w:autoSpaceDN/>
        <w:bidi w:val="0"/>
        <w:adjustRightInd/>
        <w:snapToGrid/>
        <w:spacing w:line="500" w:lineRule="exact"/>
        <w:ind w:left="0" w:leftChars="0" w:firstLine="560" w:firstLineChars="200"/>
        <w:jc w:val="both"/>
        <w:textAlignment w:val="auto"/>
        <w:outlineLvl w:val="9"/>
        <w:rPr>
          <w:rFonts w:hint="eastAsia" w:ascii="宋体" w:hAnsi="宋体" w:eastAsia="宋体" w:cs="宋体"/>
          <w:color w:val="auto"/>
          <w:kern w:val="2"/>
          <w:sz w:val="28"/>
          <w:szCs w:val="24"/>
          <w:lang w:val="en-US" w:eastAsia="zh-CN" w:bidi="ar-SA"/>
        </w:rPr>
      </w:pPr>
      <w:r>
        <w:rPr>
          <w:rFonts w:hint="eastAsia" w:ascii="宋体" w:hAnsi="宋体" w:eastAsia="宋体" w:cs="宋体"/>
          <w:sz w:val="28"/>
          <w:szCs w:val="28"/>
        </w:rPr>
        <w:t>场地土对混凝土结构具微腐蚀性，对钢筋混凝土结构中钢筋具微腐蚀性，场地土对钢结构具微腐蚀性。</w:t>
      </w:r>
    </w:p>
    <w:p w14:paraId="48CF5082">
      <w:pPr>
        <w:keepNext w:val="0"/>
        <w:keepLines w:val="0"/>
        <w:pageBreakBefore w:val="0"/>
        <w:widowControl w:val="0"/>
        <w:numPr>
          <w:ilvl w:val="0"/>
          <w:numId w:val="12"/>
        </w:numPr>
        <w:kinsoku/>
        <w:wordWrap/>
        <w:overflowPunct/>
        <w:topLinePunct w:val="0"/>
        <w:autoSpaceDE/>
        <w:autoSpaceDN/>
        <w:bidi w:val="0"/>
        <w:adjustRightInd/>
        <w:snapToGrid/>
        <w:spacing w:line="500" w:lineRule="exact"/>
        <w:ind w:left="0" w:leftChars="0" w:firstLine="560" w:firstLineChars="200"/>
        <w:jc w:val="both"/>
        <w:textAlignment w:val="auto"/>
        <w:outlineLvl w:val="9"/>
        <w:rPr>
          <w:rFonts w:hint="eastAsia" w:ascii="宋体" w:hAnsi="宋体" w:eastAsia="宋体" w:cs="宋体"/>
          <w:color w:val="auto"/>
          <w:kern w:val="2"/>
          <w:sz w:val="28"/>
          <w:szCs w:val="24"/>
          <w:lang w:val="en-US" w:eastAsia="zh-CN" w:bidi="ar-SA"/>
        </w:rPr>
      </w:pPr>
      <w:r>
        <w:rPr>
          <w:rFonts w:hint="eastAsia" w:ascii="宋体" w:hAnsi="宋体" w:eastAsia="宋体" w:cs="宋体"/>
          <w:sz w:val="28"/>
          <w:szCs w:val="28"/>
        </w:rPr>
        <w:t>根据《</w:t>
      </w:r>
      <w:r>
        <w:rPr>
          <w:rFonts w:hint="eastAsia" w:ascii="宋体" w:hAnsi="宋体" w:eastAsia="宋体" w:cs="宋体"/>
          <w:sz w:val="28"/>
          <w:szCs w:val="28"/>
          <w:lang w:eastAsia="zh-CN"/>
        </w:rPr>
        <w:t>建筑抗震设计标准（2024年版）</w:t>
      </w:r>
      <w:r>
        <w:rPr>
          <w:rFonts w:hint="eastAsia" w:ascii="宋体" w:hAnsi="宋体" w:eastAsia="宋体" w:cs="宋体"/>
          <w:sz w:val="28"/>
          <w:szCs w:val="28"/>
        </w:rPr>
        <w:t>》</w:t>
      </w:r>
      <w:r>
        <w:rPr>
          <w:rFonts w:hint="eastAsia" w:ascii="宋体" w:hAnsi="宋体" w:eastAsia="宋体" w:cs="宋体"/>
          <w:sz w:val="28"/>
          <w:szCs w:val="28"/>
          <w:lang w:eastAsia="zh-CN"/>
        </w:rPr>
        <w:t>（GB50011-2010</w:t>
      </w:r>
      <w:r>
        <w:rPr>
          <w:rFonts w:hint="eastAsia" w:ascii="宋体" w:hAnsi="宋体" w:eastAsia="宋体" w:cs="宋体"/>
          <w:sz w:val="28"/>
          <w:szCs w:val="28"/>
        </w:rPr>
        <w:t>），禄丰市抗震设防烈度为7度第三组；根据《中国地震动参数区划图》（GB18306-2015）附录C，禄丰市勤丰镇基本地震动峰值加速度为 0.15g，地震动加速度反应谱特征周期为0.45s。场地土卓越周期 Ts=0.2681～0.2867 (s)。</w:t>
      </w:r>
      <w:r>
        <w:rPr>
          <w:rFonts w:hint="eastAsia" w:ascii="宋体" w:hAnsi="宋体" w:eastAsia="宋体" w:cs="宋体"/>
        </w:rPr>
        <w:t>本场地建（构）筑物抗震设防类别为丙类（标准设防）</w:t>
      </w:r>
      <w:r>
        <w:rPr>
          <w:rFonts w:hint="eastAsia" w:ascii="宋体" w:hAnsi="宋体" w:eastAsia="宋体" w:cs="宋体"/>
          <w:sz w:val="28"/>
          <w:szCs w:val="28"/>
        </w:rPr>
        <w:t>。</w:t>
      </w:r>
    </w:p>
    <w:p w14:paraId="102B99FF">
      <w:pPr>
        <w:pStyle w:val="4"/>
        <w:keepNext w:val="0"/>
        <w:keepLines w:val="0"/>
        <w:pageBreakBefore w:val="0"/>
        <w:widowControl w:val="0"/>
        <w:kinsoku/>
        <w:bidi w:val="0"/>
        <w:rPr>
          <w:lang w:val="en-US" w:eastAsia="zh-CN"/>
        </w:rPr>
      </w:pPr>
      <w:bookmarkStart w:id="210" w:name="_Toc2900"/>
      <w:r>
        <w:rPr>
          <w:lang w:val="en-US" w:eastAsia="zh-CN"/>
        </w:rPr>
        <w:t>周边情况</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10"/>
    </w:p>
    <w:p w14:paraId="2715A073">
      <w:pPr>
        <w:bidi w:val="0"/>
        <w:rPr>
          <w:rFonts w:hint="eastAsia" w:ascii="宋体" w:hAnsi="宋体" w:eastAsia="宋体" w:cs="宋体"/>
          <w:sz w:val="28"/>
          <w:szCs w:val="28"/>
          <w:lang w:val="en-US" w:eastAsia="zh-CN"/>
        </w:rPr>
      </w:pPr>
      <w:r>
        <w:rPr>
          <w:rFonts w:hint="eastAsia" w:ascii="宋体" w:hAnsi="宋体" w:eastAsia="宋体" w:cs="宋体"/>
          <w:lang w:val="en-US" w:eastAsia="zh-CN"/>
        </w:rPr>
        <w:t>厂界</w:t>
      </w:r>
      <w:r>
        <w:rPr>
          <w:rFonts w:hint="eastAsia" w:ascii="宋体" w:hAnsi="宋体" w:eastAsia="宋体" w:cs="宋体"/>
          <w:sz w:val="28"/>
          <w:szCs w:val="28"/>
        </w:rPr>
        <w:t>北面约</w:t>
      </w:r>
      <w:r>
        <w:rPr>
          <w:rFonts w:hint="eastAsia" w:ascii="宋体" w:hAnsi="宋体" w:eastAsia="宋体" w:cs="宋体"/>
          <w:sz w:val="28"/>
          <w:szCs w:val="28"/>
          <w:lang w:val="en-US" w:eastAsia="zh-CN"/>
        </w:rPr>
        <w:t>616</w:t>
      </w:r>
      <w:r>
        <w:rPr>
          <w:rFonts w:hint="eastAsia" w:ascii="宋体" w:hAnsi="宋体" w:eastAsia="宋体" w:cs="宋体"/>
          <w:sz w:val="28"/>
          <w:szCs w:val="28"/>
        </w:rPr>
        <w:t>m处为泽润里村；南面为</w:t>
      </w:r>
      <w:r>
        <w:rPr>
          <w:rFonts w:hint="eastAsia" w:ascii="宋体" w:hAnsi="宋体" w:eastAsia="宋体" w:cs="宋体"/>
          <w:sz w:val="28"/>
          <w:szCs w:val="28"/>
          <w:lang w:val="en-US" w:eastAsia="zh-CN"/>
        </w:rPr>
        <w:t>预留场地</w:t>
      </w:r>
      <w:r>
        <w:rPr>
          <w:rFonts w:hint="eastAsia" w:ascii="宋体" w:hAnsi="宋体" w:eastAsia="宋体" w:cs="宋体"/>
          <w:sz w:val="28"/>
          <w:szCs w:val="28"/>
        </w:rPr>
        <w:t>；西面</w:t>
      </w:r>
      <w:r>
        <w:rPr>
          <w:rFonts w:hint="eastAsia" w:ascii="宋体" w:hAnsi="宋体" w:eastAsia="宋体" w:cs="宋体"/>
          <w:sz w:val="28"/>
          <w:szCs w:val="28"/>
          <w:lang w:val="en-US" w:eastAsia="zh-CN"/>
        </w:rPr>
        <w:t>141</w:t>
      </w:r>
      <w:r>
        <w:rPr>
          <w:rFonts w:hint="eastAsia" w:ascii="宋体" w:hAnsi="宋体" w:eastAsia="宋体" w:cs="宋体"/>
          <w:sz w:val="28"/>
          <w:szCs w:val="28"/>
        </w:rPr>
        <w:t>m处为S18武易高速；东面紧邻山地，</w:t>
      </w:r>
      <w:r>
        <w:rPr>
          <w:rFonts w:hint="eastAsia" w:ascii="宋体" w:hAnsi="宋体" w:eastAsia="宋体" w:cs="宋体"/>
          <w:sz w:val="28"/>
          <w:szCs w:val="28"/>
          <w:lang w:val="en-US" w:eastAsia="zh-CN"/>
        </w:rPr>
        <w:t>东面</w:t>
      </w:r>
      <w:r>
        <w:rPr>
          <w:rFonts w:hint="eastAsia" w:ascii="宋体" w:hAnsi="宋体" w:eastAsia="宋体" w:cs="宋体"/>
          <w:sz w:val="28"/>
          <w:szCs w:val="28"/>
        </w:rPr>
        <w:t>约1</w:t>
      </w:r>
      <w:r>
        <w:rPr>
          <w:rFonts w:hint="eastAsia" w:ascii="宋体" w:hAnsi="宋体" w:eastAsia="宋体" w:cs="宋体"/>
          <w:sz w:val="28"/>
          <w:szCs w:val="28"/>
          <w:lang w:val="en-US" w:eastAsia="zh-CN"/>
        </w:rPr>
        <w:t>8</w:t>
      </w:r>
      <w:r>
        <w:rPr>
          <w:rFonts w:hint="eastAsia" w:ascii="宋体" w:hAnsi="宋体" w:eastAsia="宋体" w:cs="宋体"/>
          <w:sz w:val="28"/>
          <w:szCs w:val="28"/>
        </w:rPr>
        <w:t>0m处为S222武新线；东北面</w:t>
      </w:r>
      <w:r>
        <w:rPr>
          <w:rFonts w:hint="eastAsia" w:ascii="宋体" w:hAnsi="宋体" w:eastAsia="宋体" w:cs="宋体"/>
          <w:sz w:val="28"/>
          <w:szCs w:val="28"/>
          <w:lang w:val="en-US" w:eastAsia="zh-CN"/>
        </w:rPr>
        <w:t>528</w:t>
      </w:r>
      <w:r>
        <w:rPr>
          <w:rFonts w:hint="eastAsia" w:ascii="宋体" w:hAnsi="宋体" w:eastAsia="宋体" w:cs="宋体"/>
          <w:sz w:val="28"/>
          <w:szCs w:val="28"/>
        </w:rPr>
        <w:t>m为泽润里小学</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东南面501m为羊街村。本项目建设地点500m范围内，无自然保护区、名胜古迹、军事禁区等。</w:t>
      </w:r>
    </w:p>
    <w:p w14:paraId="168B50E7">
      <w:pPr>
        <w:bidi w:val="0"/>
        <w:rPr>
          <w:rFonts w:hint="eastAsia" w:ascii="宋体" w:hAnsi="宋体" w:eastAsia="宋体" w:cs="宋体"/>
        </w:rPr>
      </w:pPr>
      <w:r>
        <w:rPr>
          <w:rFonts w:hint="eastAsia" w:ascii="宋体" w:hAnsi="宋体" w:eastAsia="宋体" w:cs="宋体"/>
        </w:rPr>
        <w:t>根据</w:t>
      </w:r>
      <w:r>
        <w:rPr>
          <w:rFonts w:hint="eastAsia" w:ascii="宋体" w:hAnsi="宋体" w:eastAsia="宋体" w:cs="宋体"/>
          <w:sz w:val="28"/>
          <w:szCs w:val="21"/>
        </w:rPr>
        <w:t>《</w:t>
      </w:r>
      <w:r>
        <w:rPr>
          <w:rFonts w:hint="eastAsia" w:ascii="宋体" w:hAnsi="宋体" w:eastAsia="宋体" w:cs="宋体"/>
          <w:sz w:val="28"/>
          <w:szCs w:val="21"/>
          <w:lang w:eastAsia="zh-CN"/>
        </w:rPr>
        <w:t>建筑设计防火规范[2018年版]》（GB 50016-2014），耐火等级为二级的单层丁类厂房与耐火</w:t>
      </w:r>
      <w:r>
        <w:rPr>
          <w:rFonts w:hint="eastAsia" w:ascii="宋体" w:hAnsi="宋体" w:eastAsia="宋体" w:cs="宋体"/>
        </w:rPr>
        <w:t>等级为四级的单、多层民用建筑防火间距为14m。场地边缘距最近的民房为</w:t>
      </w:r>
      <w:r>
        <w:rPr>
          <w:rFonts w:hint="eastAsia" w:ascii="宋体" w:hAnsi="宋体" w:eastAsia="宋体" w:cs="宋体"/>
          <w:lang w:val="en-US" w:eastAsia="zh-CN"/>
        </w:rPr>
        <w:t>271</w:t>
      </w:r>
      <w:r>
        <w:rPr>
          <w:rFonts w:hint="eastAsia" w:ascii="宋体" w:hAnsi="宋体" w:eastAsia="宋体" w:cs="宋体"/>
        </w:rPr>
        <w:t>m，防火间距符合</w:t>
      </w:r>
      <w:r>
        <w:rPr>
          <w:rFonts w:hint="eastAsia" w:ascii="宋体" w:hAnsi="宋体" w:eastAsia="宋体" w:cs="宋体"/>
          <w:sz w:val="28"/>
          <w:szCs w:val="21"/>
        </w:rPr>
        <w:t>《</w:t>
      </w:r>
      <w:r>
        <w:rPr>
          <w:rFonts w:hint="eastAsia" w:ascii="宋体" w:hAnsi="宋体" w:eastAsia="宋体" w:cs="宋体"/>
          <w:sz w:val="28"/>
          <w:szCs w:val="21"/>
          <w:lang w:eastAsia="zh-CN"/>
        </w:rPr>
        <w:t>建筑设计防火规范[2018年版]</w:t>
      </w:r>
      <w:r>
        <w:rPr>
          <w:rFonts w:hint="eastAsia" w:ascii="宋体" w:hAnsi="宋体" w:eastAsia="宋体" w:cs="宋体"/>
          <w:sz w:val="28"/>
          <w:szCs w:val="21"/>
        </w:rPr>
        <w:t>》（</w:t>
      </w:r>
      <w:r>
        <w:rPr>
          <w:rFonts w:hint="eastAsia" w:ascii="宋体" w:hAnsi="宋体" w:eastAsia="宋体" w:cs="宋体"/>
          <w:sz w:val="28"/>
          <w:szCs w:val="21"/>
          <w:lang w:eastAsia="zh-CN"/>
        </w:rPr>
        <w:t>GB 50016-2014</w:t>
      </w:r>
      <w:r>
        <w:rPr>
          <w:rFonts w:hint="eastAsia" w:ascii="宋体" w:hAnsi="宋体" w:eastAsia="宋体" w:cs="宋体"/>
          <w:sz w:val="28"/>
          <w:szCs w:val="21"/>
        </w:rPr>
        <w:t>）</w:t>
      </w:r>
      <w:r>
        <w:rPr>
          <w:rFonts w:hint="eastAsia" w:ascii="宋体" w:hAnsi="宋体" w:eastAsia="宋体" w:cs="宋体"/>
        </w:rPr>
        <w:t>的要求。</w:t>
      </w:r>
    </w:p>
    <w:p w14:paraId="4D4ECADC">
      <w:pPr>
        <w:keepNext w:val="0"/>
        <w:keepLines w:val="0"/>
        <w:pageBreakBefore w:val="0"/>
        <w:widowControl w:val="0"/>
        <w:kinsoku/>
        <w:bidi w:val="0"/>
        <w:ind w:firstLine="420"/>
        <w:jc w:val="both"/>
        <w:rPr>
          <w:rFonts w:hint="eastAsia"/>
        </w:rPr>
      </w:pPr>
      <w:r>
        <w:rPr>
          <w:rFonts w:ascii="宋体" w:hAnsi="宋体"/>
          <w:sz w:val="28"/>
          <w:szCs w:val="28"/>
        </w:rPr>
        <w:t>周边</w:t>
      </w:r>
      <w:r>
        <w:rPr>
          <w:rFonts w:hint="eastAsia" w:ascii="宋体" w:hAnsi="宋体"/>
          <w:sz w:val="28"/>
          <w:szCs w:val="28"/>
        </w:rPr>
        <w:t>关系</w:t>
      </w:r>
      <w:r>
        <w:rPr>
          <w:rFonts w:ascii="宋体" w:hAnsi="宋体"/>
          <w:sz w:val="28"/>
          <w:szCs w:val="28"/>
        </w:rPr>
        <w:t>卫星图如图2-2所示</w:t>
      </w:r>
      <w:r>
        <w:rPr>
          <w:rFonts w:hint="eastAsia" w:ascii="宋体" w:hAnsi="宋体"/>
          <w:sz w:val="28"/>
          <w:szCs w:val="28"/>
        </w:rPr>
        <w:t>。</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6F5C1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Borders>
              <w:tl2br w:val="nil"/>
              <w:tr2bl w:val="nil"/>
            </w:tcBorders>
            <w:noWrap w:val="0"/>
            <w:vAlign w:val="top"/>
          </w:tcPr>
          <w:p w14:paraId="287ACE6A">
            <w:pPr>
              <w:pStyle w:val="12"/>
              <w:keepNext w:val="0"/>
              <w:keepLines w:val="0"/>
              <w:pageBreakBefore w:val="0"/>
              <w:widowControl w:val="0"/>
              <w:suppressLineNumbers w:val="0"/>
              <w:kinsoku/>
              <w:bidi w:val="0"/>
              <w:spacing w:beforeAutospacing="0" w:after="0" w:afterAutospacing="0"/>
              <w:ind w:left="0" w:right="0"/>
              <w:rPr>
                <w:rFonts w:hint="default" w:ascii="宋体" w:hAnsi="宋体" w:eastAsia="宋体" w:cs="宋体"/>
                <w:kern w:val="2"/>
                <w:szCs w:val="24"/>
                <w:vertAlign w:val="baseline"/>
                <w:lang w:val="en-US" w:eastAsia="zh-CN" w:bidi="ar-SA"/>
              </w:rPr>
            </w:pPr>
            <w:r>
              <w:rPr>
                <w:rFonts w:hint="default"/>
              </w:rPr>
              <w:drawing>
                <wp:inline distT="0" distB="0" distL="114300" distR="114300">
                  <wp:extent cx="5260340" cy="3543300"/>
                  <wp:effectExtent l="0" t="0" r="1016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8"/>
                          <a:stretch>
                            <a:fillRect/>
                          </a:stretch>
                        </pic:blipFill>
                        <pic:spPr>
                          <a:xfrm>
                            <a:off x="0" y="0"/>
                            <a:ext cx="5260340" cy="3543300"/>
                          </a:xfrm>
                          <a:prstGeom prst="rect">
                            <a:avLst/>
                          </a:prstGeom>
                          <a:noFill/>
                          <a:ln>
                            <a:noFill/>
                          </a:ln>
                        </pic:spPr>
                      </pic:pic>
                    </a:graphicData>
                  </a:graphic>
                </wp:inline>
              </w:drawing>
            </w:r>
            <w:r>
              <w:rPr>
                <w:rFonts w:hint="default"/>
                <w:lang w:val="en-US" w:eastAsia="zh-CN"/>
              </w:rPr>
              <w:t>图</w:t>
            </w:r>
            <w:r>
              <w:rPr>
                <w:rFonts w:hint="default"/>
              </w:rPr>
              <w:fldChar w:fldCharType="begin"/>
            </w:r>
            <w:r>
              <w:rPr>
                <w:rFonts w:hint="default"/>
              </w:rPr>
              <w:instrText xml:space="preserve"> STYLEREF 1 \s </w:instrText>
            </w:r>
            <w:r>
              <w:rPr>
                <w:rFonts w:hint="default"/>
              </w:rPr>
              <w:fldChar w:fldCharType="separate"/>
            </w:r>
            <w:r>
              <w:rPr>
                <w:rFonts w:hint="default"/>
              </w:rPr>
              <w:t>2</w:t>
            </w:r>
            <w:r>
              <w:rPr>
                <w:rFonts w:hint="default"/>
              </w:rPr>
              <w:fldChar w:fldCharType="end"/>
            </w:r>
            <w:r>
              <w:rPr>
                <w:rFonts w:hint="default"/>
                <w:lang w:eastAsia="zh-CN"/>
              </w:rPr>
              <w:t>-</w:t>
            </w:r>
            <w:r>
              <w:rPr>
                <w:rFonts w:hint="default"/>
              </w:rPr>
              <w:fldChar w:fldCharType="begin"/>
            </w:r>
            <w:r>
              <w:rPr>
                <w:rFonts w:hint="default"/>
              </w:rPr>
              <w:instrText xml:space="preserve"> SEQ 图 \* ARABIC \s 1 </w:instrText>
            </w:r>
            <w:r>
              <w:rPr>
                <w:rFonts w:hint="default"/>
              </w:rPr>
              <w:fldChar w:fldCharType="separate"/>
            </w:r>
            <w:r>
              <w:rPr>
                <w:rFonts w:hint="default"/>
              </w:rPr>
              <w:t>2</w:t>
            </w:r>
            <w:r>
              <w:rPr>
                <w:rFonts w:hint="default"/>
              </w:rPr>
              <w:fldChar w:fldCharType="end"/>
            </w:r>
            <w:r>
              <w:rPr>
                <w:rFonts w:hint="default"/>
                <w:lang w:val="en-US" w:eastAsia="zh-CN"/>
              </w:rPr>
              <w:t>项目周边区域卫星</w:t>
            </w:r>
            <w:r>
              <w:rPr>
                <w:rFonts w:hint="eastAsia"/>
                <w:lang w:val="en-US" w:eastAsia="zh-CN"/>
              </w:rPr>
              <w:t>俯瞰图</w:t>
            </w:r>
          </w:p>
        </w:tc>
      </w:tr>
    </w:tbl>
    <w:p w14:paraId="7B39AA6E">
      <w:pPr>
        <w:keepNext w:val="0"/>
        <w:keepLines w:val="0"/>
        <w:pageBreakBefore w:val="0"/>
        <w:widowControl w:val="0"/>
        <w:kinsoku/>
        <w:bidi w:val="0"/>
        <w:jc w:val="left"/>
        <w:rPr>
          <w:rFonts w:hint="eastAsia" w:ascii="宋体" w:hAnsi="宋体" w:eastAsia="宋体" w:cs="宋体"/>
          <w:lang w:eastAsia="zh-CN"/>
        </w:rPr>
      </w:pPr>
      <w:bookmarkStart w:id="211" w:name="_Toc522811431"/>
      <w:bookmarkStart w:id="212" w:name="_Toc531271055"/>
      <w:r>
        <w:rPr>
          <w:rFonts w:hint="eastAsia" w:ascii="宋体" w:hAnsi="宋体" w:eastAsia="宋体" w:cs="宋体"/>
          <w:sz w:val="28"/>
          <w:szCs w:val="28"/>
        </w:rPr>
        <w:t>项目周边关系如表2-</w:t>
      </w:r>
      <w:r>
        <w:rPr>
          <w:rFonts w:hint="eastAsia" w:ascii="宋体" w:hAnsi="宋体" w:eastAsia="宋体" w:cs="宋体"/>
          <w:sz w:val="28"/>
          <w:szCs w:val="28"/>
          <w:lang w:val="en-US" w:eastAsia="zh-CN"/>
        </w:rPr>
        <w:t>4</w:t>
      </w:r>
      <w:r>
        <w:rPr>
          <w:rFonts w:hint="eastAsia" w:ascii="宋体" w:hAnsi="宋体" w:eastAsia="宋体" w:cs="宋体"/>
          <w:sz w:val="28"/>
          <w:szCs w:val="28"/>
        </w:rPr>
        <w:t>所示</w:t>
      </w:r>
      <w:r>
        <w:rPr>
          <w:rFonts w:hint="eastAsia" w:ascii="宋体" w:hAnsi="宋体" w:eastAsia="宋体" w:cs="宋体"/>
          <w:lang w:eastAsia="zh-CN"/>
        </w:rPr>
        <w:t>：</w:t>
      </w:r>
    </w:p>
    <w:p w14:paraId="59D57D36">
      <w:pPr>
        <w:pStyle w:val="12"/>
        <w:keepNext w:val="0"/>
        <w:keepLines w:val="0"/>
        <w:pageBreakBefore w:val="0"/>
        <w:widowControl w:val="0"/>
        <w:kinsoku/>
        <w:wordWrap/>
        <w:bidi w:val="0"/>
        <w:ind w:left="0" w:leftChars="0" w:right="0" w:rightChars="0" w:firstLine="0" w:firstLineChars="0"/>
        <w:jc w:val="center"/>
        <w:rPr>
          <w:rFonts w:hint="eastAsia" w:eastAsia="宋体"/>
          <w:lang w:val="en-US" w:eastAsia="zh-CN"/>
        </w:rP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4</w:t>
      </w:r>
      <w:r>
        <w:fldChar w:fldCharType="end"/>
      </w:r>
      <w:r>
        <w:rPr>
          <w:rFonts w:hint="default"/>
        </w:rPr>
        <w:t>本项目与周边及外部环境情况</w:t>
      </w:r>
      <w:r>
        <w:rPr>
          <w:rFonts w:hint="eastAsia"/>
          <w:lang w:val="en-US" w:eastAsia="zh-CN"/>
        </w:rPr>
        <w:t>表</w:t>
      </w:r>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57" w:type="dxa"/>
          <w:bottom w:w="0" w:type="dxa"/>
          <w:right w:w="57" w:type="dxa"/>
        </w:tblCellMar>
      </w:tblPr>
      <w:tblGrid>
        <w:gridCol w:w="758"/>
        <w:gridCol w:w="1868"/>
        <w:gridCol w:w="1940"/>
        <w:gridCol w:w="2324"/>
        <w:gridCol w:w="1527"/>
      </w:tblGrid>
      <w:tr w14:paraId="4A84F1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450" w:type="pct"/>
            <w:tcBorders>
              <w:tl2br w:val="nil"/>
              <w:tr2bl w:val="nil"/>
            </w:tcBorders>
            <w:noWrap w:val="0"/>
            <w:vAlign w:val="center"/>
          </w:tcPr>
          <w:p w14:paraId="152FF6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序号</w:t>
            </w:r>
          </w:p>
        </w:tc>
        <w:tc>
          <w:tcPr>
            <w:tcW w:w="1109" w:type="pct"/>
            <w:tcBorders>
              <w:tl2br w:val="nil"/>
              <w:tr2bl w:val="nil"/>
            </w:tcBorders>
            <w:noWrap w:val="0"/>
            <w:vAlign w:val="center"/>
          </w:tcPr>
          <w:p w14:paraId="0D339F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default" w:ascii="宋体" w:hAnsi="宋体"/>
                <w:b/>
                <w:color w:val="auto"/>
                <w:sz w:val="21"/>
                <w:szCs w:val="21"/>
              </w:rPr>
              <w:t>名称</w:t>
            </w:r>
          </w:p>
        </w:tc>
        <w:tc>
          <w:tcPr>
            <w:tcW w:w="1152" w:type="pct"/>
            <w:tcBorders>
              <w:tl2br w:val="nil"/>
              <w:tr2bl w:val="nil"/>
            </w:tcBorders>
            <w:noWrap w:val="0"/>
            <w:vAlign w:val="center"/>
          </w:tcPr>
          <w:p w14:paraId="13946D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default" w:ascii="宋体" w:hAnsi="宋体" w:cs="宋体"/>
                <w:b/>
                <w:bCs/>
                <w:color w:val="auto"/>
                <w:sz w:val="21"/>
                <w:szCs w:val="21"/>
              </w:rPr>
              <w:t>相对厂址方位</w:t>
            </w:r>
          </w:p>
        </w:tc>
        <w:tc>
          <w:tcPr>
            <w:tcW w:w="1380" w:type="pct"/>
            <w:tcBorders>
              <w:tl2br w:val="nil"/>
              <w:tr2bl w:val="nil"/>
            </w:tcBorders>
            <w:noWrap w:val="0"/>
            <w:vAlign w:val="center"/>
          </w:tcPr>
          <w:p w14:paraId="326BDA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default" w:ascii="宋体" w:hAnsi="宋体" w:cs="宋体"/>
                <w:b/>
                <w:bCs/>
                <w:color w:val="auto"/>
                <w:sz w:val="21"/>
                <w:szCs w:val="21"/>
              </w:rPr>
              <w:t>相对厂界距离</w:t>
            </w:r>
            <w:r>
              <w:rPr>
                <w:rFonts w:hint="eastAsia" w:ascii="宋体" w:hAnsi="宋体" w:cs="宋体"/>
                <w:b/>
                <w:bCs/>
                <w:color w:val="auto"/>
                <w:sz w:val="21"/>
                <w:szCs w:val="21"/>
                <w:lang w:eastAsia="zh-CN"/>
              </w:rPr>
              <w:t>（</w:t>
            </w:r>
            <w:r>
              <w:rPr>
                <w:rFonts w:hint="default" w:ascii="宋体" w:hAnsi="宋体" w:cs="Times New Roman"/>
                <w:b/>
                <w:bCs/>
                <w:color w:val="auto"/>
                <w:sz w:val="21"/>
                <w:szCs w:val="21"/>
              </w:rPr>
              <w:t>m</w:t>
            </w:r>
            <w:r>
              <w:rPr>
                <w:rFonts w:hint="eastAsia" w:cs="Times New Roman"/>
                <w:b/>
                <w:bCs/>
                <w:color w:val="auto"/>
                <w:sz w:val="21"/>
                <w:szCs w:val="21"/>
                <w:lang w:eastAsia="zh-CN"/>
              </w:rPr>
              <w:t>）</w:t>
            </w:r>
            <w:r>
              <w:rPr>
                <w:rFonts w:hint="default" w:ascii="宋体" w:hAnsi="宋体"/>
                <w:b/>
                <w:color w:val="auto"/>
                <w:sz w:val="21"/>
                <w:szCs w:val="21"/>
              </w:rPr>
              <w:t xml:space="preserve"> </w:t>
            </w:r>
          </w:p>
        </w:tc>
        <w:tc>
          <w:tcPr>
            <w:tcW w:w="906" w:type="pct"/>
            <w:tcBorders>
              <w:tl2br w:val="nil"/>
              <w:tr2bl w:val="nil"/>
            </w:tcBorders>
            <w:noWrap w:val="0"/>
            <w:vAlign w:val="center"/>
          </w:tcPr>
          <w:p w14:paraId="22E556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备注</w:t>
            </w:r>
          </w:p>
        </w:tc>
      </w:tr>
      <w:tr w14:paraId="5A9FDE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450" w:type="pct"/>
            <w:tcBorders>
              <w:tl2br w:val="nil"/>
              <w:tr2bl w:val="nil"/>
            </w:tcBorders>
            <w:noWrap w:val="0"/>
            <w:vAlign w:val="center"/>
          </w:tcPr>
          <w:p w14:paraId="48EA5E44">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color w:val="auto"/>
                <w:kern w:val="2"/>
                <w:sz w:val="21"/>
                <w:szCs w:val="21"/>
                <w:lang w:val="en-US" w:eastAsia="zh-CN" w:bidi="ar-SA"/>
              </w:rPr>
            </w:pPr>
          </w:p>
        </w:tc>
        <w:tc>
          <w:tcPr>
            <w:tcW w:w="1109" w:type="pct"/>
            <w:tcBorders>
              <w:tl2br w:val="nil"/>
              <w:tr2bl w:val="nil"/>
            </w:tcBorders>
            <w:noWrap w:val="0"/>
            <w:vAlign w:val="center"/>
          </w:tcPr>
          <w:p w14:paraId="289635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预留场地</w:t>
            </w:r>
          </w:p>
        </w:tc>
        <w:tc>
          <w:tcPr>
            <w:tcW w:w="1152" w:type="pct"/>
            <w:tcBorders>
              <w:tl2br w:val="nil"/>
              <w:tr2bl w:val="nil"/>
            </w:tcBorders>
            <w:noWrap w:val="0"/>
            <w:vAlign w:val="center"/>
          </w:tcPr>
          <w:p w14:paraId="702E79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北面</w:t>
            </w:r>
            <w:r>
              <w:rPr>
                <w:rFonts w:hint="eastAsia" w:cs="宋体"/>
                <w:color w:val="auto"/>
                <w:sz w:val="21"/>
                <w:szCs w:val="21"/>
                <w:lang w:val="en-US" w:eastAsia="zh-CN"/>
              </w:rPr>
              <w:t>/南面</w:t>
            </w:r>
          </w:p>
        </w:tc>
        <w:tc>
          <w:tcPr>
            <w:tcW w:w="1380" w:type="pct"/>
            <w:tcBorders>
              <w:tl2br w:val="nil"/>
              <w:tr2bl w:val="nil"/>
            </w:tcBorders>
            <w:noWrap w:val="0"/>
            <w:vAlign w:val="center"/>
          </w:tcPr>
          <w:p w14:paraId="332BF7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w:t>
            </w:r>
          </w:p>
        </w:tc>
        <w:tc>
          <w:tcPr>
            <w:tcW w:w="906" w:type="pct"/>
            <w:tcBorders>
              <w:tl2br w:val="nil"/>
              <w:tr2bl w:val="nil"/>
            </w:tcBorders>
            <w:noWrap w:val="0"/>
            <w:vAlign w:val="center"/>
          </w:tcPr>
          <w:p w14:paraId="06BFE5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rPr>
            </w:pPr>
          </w:p>
        </w:tc>
      </w:tr>
      <w:tr w14:paraId="6338F5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450" w:type="pct"/>
            <w:tcBorders>
              <w:tl2br w:val="nil"/>
              <w:tr2bl w:val="nil"/>
            </w:tcBorders>
            <w:noWrap w:val="0"/>
            <w:vAlign w:val="center"/>
          </w:tcPr>
          <w:p w14:paraId="599E623B">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color w:val="auto"/>
                <w:kern w:val="2"/>
                <w:sz w:val="21"/>
                <w:szCs w:val="21"/>
                <w:lang w:val="en-US" w:eastAsia="zh-CN" w:bidi="ar-SA"/>
              </w:rPr>
            </w:pPr>
          </w:p>
        </w:tc>
        <w:tc>
          <w:tcPr>
            <w:tcW w:w="1109" w:type="pct"/>
            <w:tcBorders>
              <w:tl2br w:val="nil"/>
              <w:tr2bl w:val="nil"/>
            </w:tcBorders>
            <w:noWrap w:val="0"/>
            <w:vAlign w:val="center"/>
          </w:tcPr>
          <w:p w14:paraId="05CF60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泽润里村</w:t>
            </w:r>
          </w:p>
        </w:tc>
        <w:tc>
          <w:tcPr>
            <w:tcW w:w="1152" w:type="pct"/>
            <w:tcBorders>
              <w:tl2br w:val="nil"/>
              <w:tr2bl w:val="nil"/>
            </w:tcBorders>
            <w:noWrap w:val="0"/>
            <w:vAlign w:val="center"/>
          </w:tcPr>
          <w:p w14:paraId="39427B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北面</w:t>
            </w:r>
          </w:p>
        </w:tc>
        <w:tc>
          <w:tcPr>
            <w:tcW w:w="1380" w:type="pct"/>
            <w:tcBorders>
              <w:tl2br w:val="nil"/>
              <w:tr2bl w:val="nil"/>
            </w:tcBorders>
            <w:noWrap w:val="0"/>
            <w:vAlign w:val="center"/>
          </w:tcPr>
          <w:p w14:paraId="17471F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616</w:t>
            </w:r>
          </w:p>
        </w:tc>
        <w:tc>
          <w:tcPr>
            <w:tcW w:w="906" w:type="pct"/>
            <w:tcBorders>
              <w:tl2br w:val="nil"/>
              <w:tr2bl w:val="nil"/>
            </w:tcBorders>
            <w:noWrap w:val="0"/>
            <w:vAlign w:val="center"/>
          </w:tcPr>
          <w:p w14:paraId="085975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rPr>
            </w:pPr>
          </w:p>
        </w:tc>
      </w:tr>
      <w:tr w14:paraId="2EAF62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450" w:type="pct"/>
            <w:tcBorders>
              <w:tl2br w:val="nil"/>
              <w:tr2bl w:val="nil"/>
            </w:tcBorders>
            <w:noWrap w:val="0"/>
            <w:vAlign w:val="center"/>
          </w:tcPr>
          <w:p w14:paraId="128E9D0D">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color w:val="auto"/>
                <w:kern w:val="2"/>
                <w:sz w:val="21"/>
                <w:szCs w:val="21"/>
                <w:lang w:val="en-US" w:eastAsia="zh-CN" w:bidi="ar-SA"/>
              </w:rPr>
            </w:pPr>
          </w:p>
        </w:tc>
        <w:tc>
          <w:tcPr>
            <w:tcW w:w="1109" w:type="pct"/>
            <w:tcBorders>
              <w:tl2br w:val="nil"/>
              <w:tr2bl w:val="nil"/>
            </w:tcBorders>
            <w:noWrap w:val="0"/>
            <w:vAlign w:val="center"/>
          </w:tcPr>
          <w:p w14:paraId="7FBEA9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泽润里小学</w:t>
            </w:r>
          </w:p>
        </w:tc>
        <w:tc>
          <w:tcPr>
            <w:tcW w:w="1152" w:type="pct"/>
            <w:tcBorders>
              <w:tl2br w:val="nil"/>
              <w:tr2bl w:val="nil"/>
            </w:tcBorders>
            <w:noWrap w:val="0"/>
            <w:vAlign w:val="center"/>
          </w:tcPr>
          <w:p w14:paraId="2D402B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东北</w:t>
            </w:r>
          </w:p>
        </w:tc>
        <w:tc>
          <w:tcPr>
            <w:tcW w:w="1380" w:type="pct"/>
            <w:tcBorders>
              <w:tl2br w:val="nil"/>
              <w:tr2bl w:val="nil"/>
            </w:tcBorders>
            <w:noWrap w:val="0"/>
            <w:vAlign w:val="center"/>
          </w:tcPr>
          <w:p w14:paraId="1D3474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528</w:t>
            </w:r>
          </w:p>
        </w:tc>
        <w:tc>
          <w:tcPr>
            <w:tcW w:w="906" w:type="pct"/>
            <w:tcBorders>
              <w:tl2br w:val="nil"/>
              <w:tr2bl w:val="nil"/>
            </w:tcBorders>
            <w:noWrap w:val="0"/>
            <w:vAlign w:val="center"/>
          </w:tcPr>
          <w:p w14:paraId="08A586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rPr>
            </w:pPr>
          </w:p>
        </w:tc>
      </w:tr>
      <w:tr w14:paraId="637288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450" w:type="pct"/>
            <w:tcBorders>
              <w:tl2br w:val="nil"/>
              <w:tr2bl w:val="nil"/>
            </w:tcBorders>
            <w:noWrap w:val="0"/>
            <w:vAlign w:val="center"/>
          </w:tcPr>
          <w:p w14:paraId="550AED40">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color w:val="auto"/>
                <w:kern w:val="2"/>
                <w:sz w:val="21"/>
                <w:szCs w:val="21"/>
                <w:lang w:val="en-US" w:eastAsia="zh-CN" w:bidi="ar-SA"/>
              </w:rPr>
            </w:pPr>
          </w:p>
        </w:tc>
        <w:tc>
          <w:tcPr>
            <w:tcW w:w="1109" w:type="pct"/>
            <w:tcBorders>
              <w:tl2br w:val="nil"/>
              <w:tr2bl w:val="nil"/>
            </w:tcBorders>
            <w:noWrap w:val="0"/>
            <w:vAlign w:val="center"/>
          </w:tcPr>
          <w:p w14:paraId="7DE695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S222武新线</w:t>
            </w:r>
          </w:p>
        </w:tc>
        <w:tc>
          <w:tcPr>
            <w:tcW w:w="1152" w:type="pct"/>
            <w:tcBorders>
              <w:tl2br w:val="nil"/>
              <w:tr2bl w:val="nil"/>
            </w:tcBorders>
            <w:noWrap w:val="0"/>
            <w:vAlign w:val="center"/>
          </w:tcPr>
          <w:p w14:paraId="432151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东面</w:t>
            </w:r>
          </w:p>
        </w:tc>
        <w:tc>
          <w:tcPr>
            <w:tcW w:w="1380" w:type="pct"/>
            <w:tcBorders>
              <w:tl2br w:val="nil"/>
              <w:tr2bl w:val="nil"/>
            </w:tcBorders>
            <w:noWrap w:val="0"/>
            <w:vAlign w:val="center"/>
          </w:tcPr>
          <w:p w14:paraId="3CFD86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180</w:t>
            </w:r>
          </w:p>
        </w:tc>
        <w:tc>
          <w:tcPr>
            <w:tcW w:w="906" w:type="pct"/>
            <w:tcBorders>
              <w:tl2br w:val="nil"/>
              <w:tr2bl w:val="nil"/>
            </w:tcBorders>
            <w:noWrap w:val="0"/>
            <w:vAlign w:val="center"/>
          </w:tcPr>
          <w:p w14:paraId="1453E3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rPr>
            </w:pPr>
          </w:p>
        </w:tc>
      </w:tr>
      <w:tr w14:paraId="786D72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450" w:type="pct"/>
            <w:tcBorders>
              <w:tl2br w:val="nil"/>
              <w:tr2bl w:val="nil"/>
            </w:tcBorders>
            <w:noWrap w:val="0"/>
            <w:vAlign w:val="center"/>
          </w:tcPr>
          <w:p w14:paraId="1B75C3F9">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color w:val="auto"/>
                <w:kern w:val="2"/>
                <w:sz w:val="21"/>
                <w:szCs w:val="21"/>
                <w:lang w:val="en-US" w:eastAsia="zh-CN" w:bidi="ar-SA"/>
              </w:rPr>
            </w:pPr>
          </w:p>
        </w:tc>
        <w:tc>
          <w:tcPr>
            <w:tcW w:w="1109" w:type="pct"/>
            <w:tcBorders>
              <w:tl2br w:val="nil"/>
              <w:tr2bl w:val="nil"/>
            </w:tcBorders>
            <w:noWrap w:val="0"/>
            <w:vAlign w:val="center"/>
          </w:tcPr>
          <w:p w14:paraId="5E0179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羊街村</w:t>
            </w:r>
          </w:p>
        </w:tc>
        <w:tc>
          <w:tcPr>
            <w:tcW w:w="1152" w:type="pct"/>
            <w:tcBorders>
              <w:tl2br w:val="nil"/>
              <w:tr2bl w:val="nil"/>
            </w:tcBorders>
            <w:noWrap w:val="0"/>
            <w:vAlign w:val="center"/>
          </w:tcPr>
          <w:p w14:paraId="47CE0A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东南</w:t>
            </w:r>
          </w:p>
        </w:tc>
        <w:tc>
          <w:tcPr>
            <w:tcW w:w="1380" w:type="pct"/>
            <w:tcBorders>
              <w:tl2br w:val="nil"/>
              <w:tr2bl w:val="nil"/>
            </w:tcBorders>
            <w:noWrap w:val="0"/>
            <w:vAlign w:val="center"/>
          </w:tcPr>
          <w:p w14:paraId="6DBAF8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501</w:t>
            </w:r>
          </w:p>
        </w:tc>
        <w:tc>
          <w:tcPr>
            <w:tcW w:w="906" w:type="pct"/>
            <w:tcBorders>
              <w:tl2br w:val="nil"/>
              <w:tr2bl w:val="nil"/>
            </w:tcBorders>
            <w:noWrap w:val="0"/>
            <w:vAlign w:val="center"/>
          </w:tcPr>
          <w:p w14:paraId="7ADA0A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rPr>
            </w:pPr>
          </w:p>
        </w:tc>
      </w:tr>
      <w:tr w14:paraId="704EB5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450" w:type="pct"/>
            <w:tcBorders>
              <w:tl2br w:val="nil"/>
              <w:tr2bl w:val="nil"/>
            </w:tcBorders>
            <w:noWrap w:val="0"/>
            <w:vAlign w:val="center"/>
          </w:tcPr>
          <w:p w14:paraId="2387CB36">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color w:val="auto"/>
                <w:kern w:val="2"/>
                <w:sz w:val="21"/>
                <w:szCs w:val="21"/>
                <w:lang w:val="en-US" w:eastAsia="zh-CN" w:bidi="ar-SA"/>
              </w:rPr>
            </w:pPr>
          </w:p>
        </w:tc>
        <w:tc>
          <w:tcPr>
            <w:tcW w:w="1109" w:type="pct"/>
            <w:tcBorders>
              <w:tl2br w:val="nil"/>
              <w:tr2bl w:val="nil"/>
            </w:tcBorders>
            <w:noWrap w:val="0"/>
            <w:vAlign w:val="center"/>
          </w:tcPr>
          <w:p w14:paraId="10B279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散户居民</w:t>
            </w:r>
          </w:p>
        </w:tc>
        <w:tc>
          <w:tcPr>
            <w:tcW w:w="1152" w:type="pct"/>
            <w:tcBorders>
              <w:tl2br w:val="nil"/>
              <w:tr2bl w:val="nil"/>
            </w:tcBorders>
            <w:noWrap w:val="0"/>
            <w:vAlign w:val="center"/>
          </w:tcPr>
          <w:p w14:paraId="16C03B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南面</w:t>
            </w:r>
          </w:p>
        </w:tc>
        <w:tc>
          <w:tcPr>
            <w:tcW w:w="1380" w:type="pct"/>
            <w:tcBorders>
              <w:tl2br w:val="nil"/>
              <w:tr2bl w:val="nil"/>
            </w:tcBorders>
            <w:noWrap w:val="0"/>
            <w:vAlign w:val="center"/>
          </w:tcPr>
          <w:p w14:paraId="3DB5D9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271</w:t>
            </w:r>
          </w:p>
        </w:tc>
        <w:tc>
          <w:tcPr>
            <w:tcW w:w="906" w:type="pct"/>
            <w:tcBorders>
              <w:tl2br w:val="nil"/>
              <w:tr2bl w:val="nil"/>
            </w:tcBorders>
            <w:noWrap w:val="0"/>
            <w:vAlign w:val="center"/>
          </w:tcPr>
          <w:p w14:paraId="246BA4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rPr>
            </w:pPr>
          </w:p>
        </w:tc>
      </w:tr>
      <w:tr w14:paraId="012F9F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450" w:type="pct"/>
            <w:tcBorders>
              <w:tl2br w:val="nil"/>
              <w:tr2bl w:val="nil"/>
            </w:tcBorders>
            <w:noWrap w:val="0"/>
            <w:vAlign w:val="center"/>
          </w:tcPr>
          <w:p w14:paraId="22CF7E64">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color w:val="auto"/>
                <w:kern w:val="2"/>
                <w:sz w:val="21"/>
                <w:szCs w:val="21"/>
                <w:lang w:val="en-US" w:eastAsia="zh-CN" w:bidi="ar-SA"/>
              </w:rPr>
            </w:pPr>
            <w:bookmarkStart w:id="213" w:name="_Toc55945230"/>
            <w:bookmarkStart w:id="214" w:name="_Toc20070"/>
            <w:bookmarkStart w:id="215" w:name="_Toc21444"/>
            <w:bookmarkStart w:id="216" w:name="_Toc55033293"/>
            <w:bookmarkStart w:id="217" w:name="_Toc60925336"/>
            <w:bookmarkStart w:id="218" w:name="_Toc55567355"/>
          </w:p>
        </w:tc>
        <w:tc>
          <w:tcPr>
            <w:tcW w:w="1109" w:type="pct"/>
            <w:tcBorders>
              <w:tl2br w:val="nil"/>
              <w:tr2bl w:val="nil"/>
            </w:tcBorders>
            <w:noWrap w:val="0"/>
            <w:vAlign w:val="center"/>
          </w:tcPr>
          <w:p w14:paraId="19D7F1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S18武易高速</w:t>
            </w:r>
          </w:p>
        </w:tc>
        <w:tc>
          <w:tcPr>
            <w:tcW w:w="1152" w:type="pct"/>
            <w:tcBorders>
              <w:tl2br w:val="nil"/>
              <w:tr2bl w:val="nil"/>
            </w:tcBorders>
            <w:noWrap w:val="0"/>
            <w:vAlign w:val="center"/>
          </w:tcPr>
          <w:p w14:paraId="64FE16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cs="宋体"/>
                <w:color w:val="auto"/>
                <w:sz w:val="21"/>
                <w:szCs w:val="21"/>
                <w:lang w:val="en-US" w:eastAsia="zh-CN"/>
              </w:rPr>
              <w:t>西面</w:t>
            </w:r>
          </w:p>
        </w:tc>
        <w:tc>
          <w:tcPr>
            <w:tcW w:w="1380" w:type="pct"/>
            <w:tcBorders>
              <w:tl2br w:val="nil"/>
              <w:tr2bl w:val="nil"/>
            </w:tcBorders>
            <w:noWrap w:val="0"/>
            <w:vAlign w:val="center"/>
          </w:tcPr>
          <w:p w14:paraId="5FF2EA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141</w:t>
            </w:r>
          </w:p>
        </w:tc>
        <w:tc>
          <w:tcPr>
            <w:tcW w:w="906" w:type="pct"/>
            <w:tcBorders>
              <w:tl2br w:val="nil"/>
              <w:tr2bl w:val="nil"/>
            </w:tcBorders>
            <w:noWrap w:val="0"/>
            <w:vAlign w:val="center"/>
          </w:tcPr>
          <w:p w14:paraId="6EC95A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rPr>
            </w:pPr>
          </w:p>
        </w:tc>
      </w:tr>
      <w:tr w14:paraId="249929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450" w:type="pct"/>
            <w:tcBorders>
              <w:tl2br w:val="nil"/>
              <w:tr2bl w:val="nil"/>
            </w:tcBorders>
            <w:noWrap w:val="0"/>
            <w:vAlign w:val="center"/>
          </w:tcPr>
          <w:p w14:paraId="7E28B92D">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color w:val="auto"/>
                <w:kern w:val="2"/>
                <w:sz w:val="21"/>
                <w:szCs w:val="21"/>
                <w:lang w:val="en-US" w:eastAsia="zh-CN" w:bidi="ar-SA"/>
              </w:rPr>
            </w:pPr>
          </w:p>
        </w:tc>
        <w:tc>
          <w:tcPr>
            <w:tcW w:w="1109" w:type="pct"/>
            <w:tcBorders>
              <w:tl2br w:val="nil"/>
              <w:tr2bl w:val="nil"/>
            </w:tcBorders>
            <w:noWrap w:val="0"/>
            <w:vAlign w:val="center"/>
          </w:tcPr>
          <w:p w14:paraId="4BB53D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后冲村</w:t>
            </w:r>
          </w:p>
        </w:tc>
        <w:tc>
          <w:tcPr>
            <w:tcW w:w="1152" w:type="pct"/>
            <w:tcBorders>
              <w:tl2br w:val="nil"/>
              <w:tr2bl w:val="nil"/>
            </w:tcBorders>
            <w:noWrap w:val="0"/>
            <w:vAlign w:val="center"/>
          </w:tcPr>
          <w:p w14:paraId="5191F4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cs="宋体"/>
                <w:color w:val="auto"/>
                <w:sz w:val="21"/>
                <w:szCs w:val="21"/>
                <w:lang w:val="en-US" w:eastAsia="zh-CN"/>
              </w:rPr>
              <w:t>西面</w:t>
            </w:r>
          </w:p>
        </w:tc>
        <w:tc>
          <w:tcPr>
            <w:tcW w:w="1380" w:type="pct"/>
            <w:tcBorders>
              <w:tl2br w:val="nil"/>
              <w:tr2bl w:val="nil"/>
            </w:tcBorders>
            <w:noWrap w:val="0"/>
            <w:vAlign w:val="center"/>
          </w:tcPr>
          <w:p w14:paraId="2EA6CE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502</w:t>
            </w:r>
          </w:p>
        </w:tc>
        <w:tc>
          <w:tcPr>
            <w:tcW w:w="906" w:type="pct"/>
            <w:tcBorders>
              <w:tl2br w:val="nil"/>
              <w:tr2bl w:val="nil"/>
            </w:tcBorders>
            <w:noWrap w:val="0"/>
            <w:vAlign w:val="center"/>
          </w:tcPr>
          <w:p w14:paraId="0F7C82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rPr>
            </w:pPr>
          </w:p>
        </w:tc>
      </w:tr>
      <w:bookmarkEnd w:id="211"/>
      <w:bookmarkEnd w:id="212"/>
      <w:bookmarkEnd w:id="213"/>
      <w:bookmarkEnd w:id="214"/>
      <w:bookmarkEnd w:id="215"/>
      <w:bookmarkEnd w:id="216"/>
      <w:bookmarkEnd w:id="217"/>
      <w:bookmarkEnd w:id="218"/>
    </w:tbl>
    <w:p w14:paraId="6B65FCEB">
      <w:pPr>
        <w:pStyle w:val="3"/>
        <w:keepNext w:val="0"/>
        <w:keepLines w:val="0"/>
        <w:pageBreakBefore w:val="0"/>
        <w:widowControl w:val="0"/>
        <w:kinsoku/>
        <w:bidi w:val="0"/>
        <w:rPr>
          <w:lang w:val="en-US" w:eastAsia="zh-CN"/>
        </w:rPr>
      </w:pPr>
      <w:bookmarkStart w:id="219" w:name="_Toc531271057"/>
      <w:bookmarkStart w:id="220" w:name="_Toc55945232"/>
      <w:bookmarkStart w:id="221" w:name="_Toc378322669"/>
      <w:bookmarkStart w:id="222" w:name="_Toc413501823"/>
      <w:bookmarkStart w:id="223" w:name="_Toc20863"/>
      <w:bookmarkStart w:id="224" w:name="_Toc60925338"/>
      <w:bookmarkStart w:id="225" w:name="_Toc55567357"/>
      <w:bookmarkStart w:id="226" w:name="_Toc378002198"/>
      <w:bookmarkStart w:id="227" w:name="_Toc393462803"/>
      <w:bookmarkStart w:id="228" w:name="_Toc55033295"/>
      <w:bookmarkStart w:id="229" w:name="_Toc24461"/>
      <w:bookmarkStart w:id="230" w:name="_Toc477116106"/>
      <w:bookmarkStart w:id="231" w:name="_Toc394409065"/>
      <w:bookmarkStart w:id="232" w:name="_Toc25503"/>
      <w:bookmarkStart w:id="233" w:name="_Toc360003682"/>
      <w:r>
        <w:rPr>
          <w:rFonts w:hint="eastAsia"/>
          <w:lang w:val="en-US" w:eastAsia="zh-CN"/>
        </w:rPr>
        <w:t>总平面布置</w:t>
      </w:r>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p>
    <w:p w14:paraId="130F30AB">
      <w:pPr>
        <w:pStyle w:val="4"/>
        <w:bidi w:val="0"/>
        <w:rPr>
          <w:lang w:val="en-US" w:eastAsia="zh-CN"/>
        </w:rPr>
      </w:pPr>
      <w:bookmarkStart w:id="234" w:name="_Toc394409066"/>
      <w:bookmarkStart w:id="235" w:name="_Toc378322670"/>
      <w:bookmarkStart w:id="236" w:name="_Toc24376"/>
      <w:bookmarkStart w:id="237" w:name="_Toc393462804"/>
      <w:bookmarkStart w:id="238" w:name="_Toc55033296"/>
      <w:bookmarkStart w:id="239" w:name="_Toc378002199"/>
      <w:bookmarkStart w:id="240" w:name="_Toc477116107"/>
      <w:bookmarkStart w:id="241" w:name="_Toc55567358"/>
      <w:bookmarkStart w:id="242" w:name="_Toc413501824"/>
      <w:bookmarkStart w:id="243" w:name="_Toc15797"/>
      <w:bookmarkStart w:id="244" w:name="_Toc531271058"/>
      <w:bookmarkStart w:id="245" w:name="_Toc17881"/>
      <w:bookmarkStart w:id="246" w:name="_Toc55567361"/>
      <w:r>
        <w:rPr>
          <w:rFonts w:hint="eastAsia"/>
          <w:lang w:val="en-US" w:eastAsia="zh-CN"/>
        </w:rPr>
        <w:t>平面布置</w:t>
      </w:r>
      <w:bookmarkEnd w:id="234"/>
      <w:bookmarkEnd w:id="235"/>
      <w:bookmarkEnd w:id="236"/>
      <w:bookmarkEnd w:id="237"/>
      <w:bookmarkEnd w:id="238"/>
      <w:bookmarkEnd w:id="239"/>
      <w:bookmarkEnd w:id="240"/>
      <w:bookmarkEnd w:id="241"/>
      <w:bookmarkEnd w:id="242"/>
      <w:bookmarkEnd w:id="243"/>
      <w:bookmarkEnd w:id="244"/>
      <w:bookmarkEnd w:id="245"/>
    </w:p>
    <w:p w14:paraId="534DAFB2">
      <w:pPr>
        <w:keepNext w:val="0"/>
        <w:keepLines w:val="0"/>
        <w:pageBreakBefore w:val="0"/>
        <w:widowControl w:val="0"/>
        <w:kinsoku/>
        <w:wordWrap/>
        <w:overflowPunct/>
        <w:topLinePunct w:val="0"/>
        <w:autoSpaceDE/>
        <w:autoSpaceDN/>
        <w:bidi w:val="0"/>
        <w:adjustRightInd w:val="0"/>
        <w:snapToGrid/>
        <w:textAlignment w:val="auto"/>
        <w:rPr>
          <w:rFonts w:hint="eastAsia"/>
        </w:rPr>
      </w:pPr>
      <w:r>
        <w:rPr>
          <w:rFonts w:hint="eastAsia"/>
        </w:rPr>
        <w:t>本项目位于云南省楚雄州</w:t>
      </w:r>
      <w:r>
        <w:rPr>
          <w:rFonts w:hint="eastAsia"/>
          <w:lang w:eastAsia="zh-CN"/>
        </w:rPr>
        <w:t>禄丰市</w:t>
      </w:r>
      <w:r>
        <w:rPr>
          <w:rFonts w:hint="eastAsia"/>
        </w:rPr>
        <w:t>勤丰工业园区，项目占地面积</w:t>
      </w:r>
      <w:r>
        <w:t>23327</w:t>
      </w:r>
      <w:r>
        <w:rPr>
          <w:rFonts w:hint="eastAsia" w:ascii="宋体" w:hAnsi="宋体" w:eastAsia="宋体" w:cs="宋体"/>
        </w:rPr>
        <w:t>㎡</w:t>
      </w:r>
      <w:r>
        <w:rPr>
          <w:rFonts w:hint="eastAsia"/>
        </w:rPr>
        <w:t>（3</w:t>
      </w:r>
      <w:r>
        <w:t>5</w:t>
      </w:r>
      <w:r>
        <w:rPr>
          <w:rFonts w:hint="eastAsia"/>
        </w:rPr>
        <w:t>亩），整体呈矩形。</w:t>
      </w:r>
    </w:p>
    <w:p w14:paraId="3ED98550">
      <w:pPr>
        <w:keepNext w:val="0"/>
        <w:keepLines w:val="0"/>
        <w:pageBreakBefore w:val="0"/>
        <w:widowControl w:val="0"/>
        <w:kinsoku/>
        <w:wordWrap/>
        <w:overflowPunct/>
        <w:topLinePunct w:val="0"/>
        <w:autoSpaceDE/>
        <w:autoSpaceDN/>
        <w:bidi w:val="0"/>
        <w:adjustRightInd w:val="0"/>
        <w:snapToGrid/>
        <w:textAlignment w:val="auto"/>
        <w:rPr>
          <w:rFonts w:hint="eastAsia"/>
        </w:rPr>
      </w:pPr>
      <w:r>
        <w:rPr>
          <w:rFonts w:hint="eastAsia"/>
        </w:rPr>
        <w:t>本项目场地中心北部和南部</w:t>
      </w:r>
      <w:r>
        <w:rPr>
          <w:rFonts w:hint="eastAsia"/>
          <w:lang w:val="en-US" w:eastAsia="zh-CN"/>
        </w:rPr>
        <w:t>为</w:t>
      </w:r>
      <w:r>
        <w:rPr>
          <w:rFonts w:hint="eastAsia"/>
        </w:rPr>
        <w:t>预留</w:t>
      </w:r>
      <w:r>
        <w:rPr>
          <w:rFonts w:hint="eastAsia"/>
          <w:lang w:val="en-US" w:eastAsia="zh-CN"/>
        </w:rPr>
        <w:t>发展区</w:t>
      </w:r>
      <w:r>
        <w:rPr>
          <w:rFonts w:hint="eastAsia"/>
        </w:rPr>
        <w:t>。</w:t>
      </w:r>
    </w:p>
    <w:p w14:paraId="157E781E">
      <w:pPr>
        <w:keepNext w:val="0"/>
        <w:keepLines w:val="0"/>
        <w:pageBreakBefore w:val="0"/>
        <w:widowControl w:val="0"/>
        <w:kinsoku/>
        <w:wordWrap/>
        <w:overflowPunct/>
        <w:topLinePunct w:val="0"/>
        <w:autoSpaceDE/>
        <w:autoSpaceDN/>
        <w:bidi w:val="0"/>
        <w:adjustRightInd w:val="0"/>
        <w:snapToGrid/>
        <w:textAlignment w:val="auto"/>
        <w:rPr>
          <w:rFonts w:hint="eastAsia"/>
        </w:rPr>
      </w:pPr>
      <w:r>
        <w:rPr>
          <w:rFonts w:hint="eastAsia"/>
        </w:rPr>
        <w:t>本项目</w:t>
      </w:r>
      <w:r>
        <w:rPr>
          <w:rFonts w:hint="eastAsia"/>
          <w:lang w:val="en-US" w:eastAsia="zh-CN"/>
        </w:rPr>
        <w:t>一期工程建（构）筑物</w:t>
      </w:r>
      <w:r>
        <w:rPr>
          <w:rFonts w:hint="eastAsia"/>
        </w:rPr>
        <w:t>主要有</w:t>
      </w:r>
      <w:r>
        <w:rPr>
          <w:rFonts w:hint="eastAsia"/>
          <w:lang w:val="en-US" w:eastAsia="zh-CN"/>
        </w:rPr>
        <w:t>1</w:t>
      </w:r>
      <w:r>
        <w:t>#</w:t>
      </w:r>
      <w:r>
        <w:rPr>
          <w:rFonts w:hint="eastAsia"/>
          <w:lang w:val="en-US" w:eastAsia="zh-CN"/>
        </w:rPr>
        <w:t>联合车间（含综合办公区）、1</w:t>
      </w:r>
      <w:r>
        <w:t>#</w:t>
      </w:r>
      <w:r>
        <w:rPr>
          <w:rFonts w:hint="eastAsia"/>
        </w:rPr>
        <w:t>成品车间</w:t>
      </w:r>
      <w:r>
        <w:rPr>
          <w:rFonts w:hint="eastAsia"/>
          <w:lang w:eastAsia="zh-CN"/>
        </w:rPr>
        <w:t>、</w:t>
      </w:r>
      <w:r>
        <w:rPr>
          <w:rFonts w:hint="eastAsia"/>
          <w:lang w:val="en-US" w:eastAsia="zh-CN"/>
        </w:rPr>
        <w:t>110kV</w:t>
      </w:r>
      <w:r>
        <w:rPr>
          <w:rFonts w:hint="eastAsia"/>
        </w:rPr>
        <w:t>变电站</w:t>
      </w:r>
      <w:r>
        <w:rPr>
          <w:rFonts w:hint="eastAsia"/>
          <w:lang w:eastAsia="zh-CN"/>
        </w:rPr>
        <w:t>、</w:t>
      </w:r>
      <w:r>
        <w:rPr>
          <w:rFonts w:hint="eastAsia"/>
          <w:lang w:val="en-US" w:eastAsia="zh-CN"/>
        </w:rPr>
        <w:t>高低压配电室</w:t>
      </w:r>
      <w:r>
        <w:rPr>
          <w:rFonts w:hint="eastAsia"/>
          <w:lang w:eastAsia="zh-CN"/>
        </w:rPr>
        <w:t>、</w:t>
      </w:r>
      <w:r>
        <w:rPr>
          <w:rFonts w:hint="eastAsia"/>
        </w:rPr>
        <w:t>空压</w:t>
      </w:r>
      <w:r>
        <w:rPr>
          <w:rFonts w:hint="eastAsia"/>
          <w:lang w:val="en-US" w:eastAsia="zh-CN"/>
        </w:rPr>
        <w:t>机</w:t>
      </w:r>
      <w:r>
        <w:rPr>
          <w:rFonts w:hint="eastAsia"/>
        </w:rPr>
        <w:t>站</w:t>
      </w:r>
      <w:r>
        <w:rPr>
          <w:rFonts w:hint="eastAsia"/>
          <w:lang w:eastAsia="zh-CN"/>
        </w:rPr>
        <w:t>（</w:t>
      </w:r>
      <w:r>
        <w:rPr>
          <w:rFonts w:hint="eastAsia"/>
          <w:lang w:val="en-US" w:eastAsia="zh-CN"/>
        </w:rPr>
        <w:t>含除尘设施</w:t>
      </w:r>
      <w:r>
        <w:rPr>
          <w:rFonts w:hint="eastAsia"/>
          <w:lang w:eastAsia="zh-CN"/>
        </w:rPr>
        <w:t>）、循环水池</w:t>
      </w:r>
      <w:r>
        <w:rPr>
          <w:rFonts w:hint="eastAsia"/>
          <w:lang w:val="en-US" w:eastAsia="zh-CN"/>
        </w:rPr>
        <w:t>、冷却塔、水泵房等。</w:t>
      </w:r>
      <w:r>
        <w:rPr>
          <w:rFonts w:hint="eastAsia"/>
        </w:rPr>
        <w:t>根据建设单位提供的总平面布置图，主生产厂房</w:t>
      </w:r>
      <w:r>
        <w:rPr>
          <w:rFonts w:hint="eastAsia"/>
          <w:lang w:val="en-US" w:eastAsia="zh-CN"/>
        </w:rPr>
        <w:t>集中在</w:t>
      </w:r>
      <w:r>
        <w:rPr>
          <w:rFonts w:hint="eastAsia"/>
        </w:rPr>
        <w:t>项目场地中心</w:t>
      </w:r>
      <w:r>
        <w:rPr>
          <w:rFonts w:hint="eastAsia"/>
          <w:lang w:val="en-US" w:eastAsia="zh-CN"/>
        </w:rPr>
        <w:t>东侧，</w:t>
      </w:r>
      <w:r>
        <w:rPr>
          <w:rFonts w:hint="eastAsia"/>
        </w:rPr>
        <w:t>沿厂区中心线</w:t>
      </w:r>
      <w:r>
        <w:rPr>
          <w:rFonts w:hint="eastAsia"/>
          <w:lang w:val="en-US" w:eastAsia="zh-CN"/>
        </w:rPr>
        <w:t>北南</w:t>
      </w:r>
      <w:r>
        <w:rPr>
          <w:rFonts w:hint="eastAsia"/>
        </w:rPr>
        <w:t>向布置，由</w:t>
      </w:r>
      <w:r>
        <w:rPr>
          <w:rFonts w:hint="eastAsia"/>
          <w:lang w:val="en-US" w:eastAsia="zh-CN"/>
        </w:rPr>
        <w:t>北</w:t>
      </w:r>
      <w:r>
        <w:rPr>
          <w:rFonts w:hint="eastAsia"/>
        </w:rPr>
        <w:t>至</w:t>
      </w:r>
      <w:r>
        <w:rPr>
          <w:rFonts w:hint="eastAsia"/>
          <w:lang w:val="en-US" w:eastAsia="zh-CN"/>
        </w:rPr>
        <w:t>南</w:t>
      </w:r>
      <w:r>
        <w:rPr>
          <w:rFonts w:hint="eastAsia"/>
        </w:rPr>
        <w:t>分别为</w:t>
      </w:r>
      <w:r>
        <w:rPr>
          <w:rFonts w:hint="eastAsia"/>
          <w:lang w:val="en-US" w:eastAsia="zh-CN"/>
        </w:rPr>
        <w:t>1#联合</w:t>
      </w:r>
      <w:r>
        <w:rPr>
          <w:rFonts w:hint="eastAsia"/>
        </w:rPr>
        <w:t>车间、</w:t>
      </w:r>
      <w:r>
        <w:rPr>
          <w:rFonts w:hint="eastAsia"/>
          <w:lang w:val="en-US" w:eastAsia="zh-CN"/>
        </w:rPr>
        <w:t>1#成品仓库</w:t>
      </w:r>
      <w:r>
        <w:rPr>
          <w:rFonts w:hint="eastAsia"/>
        </w:rPr>
        <w:t>。</w:t>
      </w:r>
    </w:p>
    <w:p w14:paraId="2322A23E">
      <w:pPr>
        <w:keepNext w:val="0"/>
        <w:keepLines w:val="0"/>
        <w:pageBreakBefore w:val="0"/>
        <w:widowControl w:val="0"/>
        <w:kinsoku/>
        <w:wordWrap/>
        <w:overflowPunct/>
        <w:topLinePunct w:val="0"/>
        <w:autoSpaceDE/>
        <w:autoSpaceDN/>
        <w:bidi w:val="0"/>
        <w:adjustRightInd w:val="0"/>
        <w:snapToGrid/>
        <w:textAlignment w:val="auto"/>
        <w:rPr>
          <w:rFonts w:hint="default"/>
          <w:lang w:val="en-US" w:eastAsia="zh-CN"/>
        </w:rPr>
      </w:pPr>
      <w:r>
        <w:rPr>
          <w:rFonts w:hint="eastAsia"/>
        </w:rPr>
        <w:t>公辅设施围绕主生产厂房布置，由北至南依次布置</w:t>
      </w:r>
      <w:r>
        <w:rPr>
          <w:rFonts w:hint="eastAsia"/>
          <w:lang w:val="en-US" w:eastAsia="zh-CN"/>
        </w:rPr>
        <w:t>110kV</w:t>
      </w:r>
      <w:r>
        <w:rPr>
          <w:rFonts w:hint="eastAsia"/>
        </w:rPr>
        <w:t>变电站</w:t>
      </w:r>
      <w:r>
        <w:rPr>
          <w:rFonts w:hint="eastAsia"/>
          <w:lang w:eastAsia="zh-CN"/>
        </w:rPr>
        <w:t>（</w:t>
      </w:r>
      <w:r>
        <w:rPr>
          <w:rFonts w:hint="eastAsia"/>
          <w:lang w:val="en-US" w:eastAsia="zh-CN"/>
        </w:rPr>
        <w:t>其中：35kV动力变压器、35kV动态无功补偿装置室（SVG）、0.4kV低压配电室、物资仓库分别布置于变电站站房一楼；110kV高压中控室和35kV高压配电室布置于变电站站房二楼</w:t>
      </w:r>
      <w:r>
        <w:rPr>
          <w:rFonts w:hint="eastAsia"/>
          <w:lang w:eastAsia="zh-CN"/>
        </w:rPr>
        <w:t>）</w:t>
      </w:r>
      <w:r>
        <w:rPr>
          <w:rFonts w:hint="eastAsia"/>
        </w:rPr>
        <w:t>、</w:t>
      </w:r>
      <w:r>
        <w:rPr>
          <w:rFonts w:hint="eastAsia"/>
          <w:lang w:eastAsia="zh-CN"/>
        </w:rPr>
        <w:t>循环水池</w:t>
      </w:r>
      <w:r>
        <w:rPr>
          <w:rFonts w:hint="eastAsia"/>
        </w:rPr>
        <w:t>、</w:t>
      </w:r>
      <w:r>
        <w:rPr>
          <w:rFonts w:hint="eastAsia"/>
          <w:lang w:val="en-US" w:eastAsia="zh-CN"/>
        </w:rPr>
        <w:t>冷却塔、水泵房</w:t>
      </w:r>
      <w:r>
        <w:rPr>
          <w:rFonts w:hint="eastAsia"/>
        </w:rPr>
        <w:t>。</w:t>
      </w:r>
      <w:r>
        <w:rPr>
          <w:rFonts w:hint="eastAsia"/>
          <w:lang w:val="en-US" w:eastAsia="zh-CN"/>
        </w:rPr>
        <w:t>综合办公区设置于1#联合车间厂房西侧二楼；空压机站</w:t>
      </w:r>
      <w:r>
        <w:rPr>
          <w:rFonts w:hint="eastAsia"/>
          <w:lang w:eastAsia="zh-CN"/>
        </w:rPr>
        <w:t>（</w:t>
      </w:r>
      <w:r>
        <w:rPr>
          <w:rFonts w:hint="eastAsia"/>
          <w:lang w:val="en-US" w:eastAsia="zh-CN"/>
        </w:rPr>
        <w:t>含除尘设施</w:t>
      </w:r>
      <w:r>
        <w:rPr>
          <w:rFonts w:hint="eastAsia"/>
          <w:lang w:eastAsia="zh-CN"/>
        </w:rPr>
        <w:t>）</w:t>
      </w:r>
      <w:r>
        <w:rPr>
          <w:rFonts w:hint="eastAsia"/>
          <w:lang w:val="en-US" w:eastAsia="zh-CN"/>
        </w:rPr>
        <w:t>及</w:t>
      </w:r>
      <w:r>
        <w:rPr>
          <w:rFonts w:hint="eastAsia"/>
        </w:rPr>
        <w:t>SiO</w:t>
      </w:r>
      <w:r>
        <w:rPr>
          <w:rFonts w:hint="eastAsia"/>
          <w:vertAlign w:val="subscript"/>
        </w:rPr>
        <w:t>2</w:t>
      </w:r>
      <w:r>
        <w:rPr>
          <w:rFonts w:hint="eastAsia"/>
        </w:rPr>
        <w:t>微粉</w:t>
      </w:r>
      <w:r>
        <w:rPr>
          <w:rFonts w:hint="eastAsia"/>
          <w:lang w:val="en-US" w:eastAsia="zh-CN"/>
        </w:rPr>
        <w:t>回收区布置于1#联合车间北侧。</w:t>
      </w:r>
    </w:p>
    <w:p w14:paraId="31402BEE">
      <w:pPr>
        <w:keepNext w:val="0"/>
        <w:keepLines w:val="0"/>
        <w:pageBreakBefore w:val="0"/>
        <w:widowControl w:val="0"/>
        <w:kinsoku/>
        <w:wordWrap/>
        <w:overflowPunct/>
        <w:topLinePunct w:val="0"/>
        <w:autoSpaceDE/>
        <w:autoSpaceDN/>
        <w:bidi w:val="0"/>
        <w:adjustRightInd w:val="0"/>
        <w:snapToGrid/>
        <w:textAlignment w:val="auto"/>
        <w:rPr>
          <w:rFonts w:hint="eastAsia"/>
          <w:lang w:val="en-US" w:eastAsia="zh-CN"/>
        </w:rPr>
      </w:pPr>
      <w:r>
        <w:rPr>
          <w:rFonts w:hint="eastAsia"/>
          <w:lang w:val="en-US" w:eastAsia="zh-CN"/>
        </w:rPr>
        <w:t>厂区北侧设置主出入口，即人员及物料出入口。南侧和东侧各设置1个出入口，接入预留发展区，并通向厂外规划道路。</w:t>
      </w:r>
    </w:p>
    <w:p w14:paraId="708561FE">
      <w:pPr>
        <w:pStyle w:val="4"/>
        <w:keepNext w:val="0"/>
        <w:keepLines w:val="0"/>
        <w:pageBreakBefore w:val="0"/>
        <w:widowControl w:val="0"/>
        <w:kinsoku/>
        <w:bidi w:val="0"/>
        <w:rPr>
          <w:lang w:val="en-US" w:eastAsia="zh-CN"/>
        </w:rPr>
      </w:pPr>
      <w:bookmarkStart w:id="247" w:name="_Toc21279"/>
      <w:bookmarkStart w:id="248" w:name="_Toc27940"/>
      <w:bookmarkStart w:id="249" w:name="_Toc15882"/>
      <w:r>
        <w:rPr>
          <w:lang w:val="en-US" w:eastAsia="zh-CN"/>
        </w:rPr>
        <w:t>竖向布置</w:t>
      </w:r>
      <w:bookmarkEnd w:id="247"/>
      <w:bookmarkEnd w:id="248"/>
      <w:bookmarkEnd w:id="249"/>
    </w:p>
    <w:p w14:paraId="2AA48947">
      <w:pPr>
        <w:keepNext w:val="0"/>
        <w:keepLines w:val="0"/>
        <w:pageBreakBefore w:val="0"/>
        <w:widowControl w:val="0"/>
        <w:kinsoku/>
        <w:wordWrap/>
        <w:overflowPunct/>
        <w:topLinePunct w:val="0"/>
        <w:autoSpaceDE/>
        <w:autoSpaceDN/>
        <w:bidi w:val="0"/>
        <w:adjustRightInd w:val="0"/>
        <w:snapToGrid/>
        <w:textAlignment w:val="auto"/>
        <w:rPr>
          <w:rFonts w:hint="eastAsia" w:ascii="宋体" w:hAnsi="宋体" w:eastAsia="宋体" w:cs="Times New Roman"/>
          <w:lang w:val="en-US" w:eastAsia="zh-CN"/>
        </w:rPr>
      </w:pPr>
      <w:r>
        <w:rPr>
          <w:rFonts w:hint="eastAsia" w:ascii="宋体" w:hAnsi="宋体" w:eastAsia="宋体" w:cs="Times New Roman"/>
          <w:lang w:val="en-US" w:eastAsia="zh-CN"/>
        </w:rPr>
        <w:t>云南东锆新材料有限公司年产3万吨电熔氧化锆陶瓷产业基地建设项目的竖向布置与厂区外的园区现有的运输线路、排水系统、周围场地标高等进行了协调。竖向</w:t>
      </w:r>
      <w:r>
        <w:rPr>
          <w:rFonts w:hint="default" w:ascii="宋体" w:hAnsi="宋体" w:eastAsia="宋体" w:cs="Times New Roman"/>
          <w:lang w:val="en-US" w:eastAsia="zh-CN"/>
        </w:rPr>
        <w:t>布置</w:t>
      </w:r>
      <w:r>
        <w:rPr>
          <w:rFonts w:hint="eastAsia" w:ascii="宋体" w:hAnsi="宋体" w:eastAsia="宋体" w:cs="Times New Roman"/>
          <w:lang w:val="en-US" w:eastAsia="zh-CN"/>
        </w:rPr>
        <w:t>根据生产、运输、防洪、排水、管线敷设等要求，室外台阶及室外坡道地面均低于室内地面标150mm。</w:t>
      </w:r>
    </w:p>
    <w:p w14:paraId="62C50D0E">
      <w:pPr>
        <w:pStyle w:val="4"/>
        <w:keepNext w:val="0"/>
        <w:keepLines w:val="0"/>
        <w:pageBreakBefore w:val="0"/>
        <w:widowControl w:val="0"/>
        <w:kinsoku/>
        <w:bidi w:val="0"/>
        <w:rPr>
          <w:rFonts w:hint="eastAsia"/>
          <w:lang w:val="en-US" w:eastAsia="zh-CN"/>
        </w:rPr>
      </w:pPr>
      <w:bookmarkStart w:id="250" w:name="_Toc23396"/>
      <w:bookmarkStart w:id="251" w:name="_Toc13717"/>
      <w:bookmarkStart w:id="252" w:name="_Toc6212"/>
      <w:r>
        <w:rPr>
          <w:rFonts w:hint="eastAsia"/>
          <w:lang w:val="en-US" w:eastAsia="zh-CN"/>
        </w:rPr>
        <w:t>道路及运输</w:t>
      </w:r>
      <w:bookmarkEnd w:id="250"/>
      <w:bookmarkEnd w:id="251"/>
      <w:bookmarkEnd w:id="252"/>
    </w:p>
    <w:p w14:paraId="7A8920E7">
      <w:pPr>
        <w:keepNext w:val="0"/>
        <w:keepLines w:val="0"/>
        <w:pageBreakBefore w:val="0"/>
        <w:widowControl w:val="0"/>
        <w:numPr>
          <w:ilvl w:val="0"/>
          <w:numId w:val="14"/>
        </w:numPr>
        <w:kinsoku/>
        <w:wordWrap/>
        <w:overflowPunct/>
        <w:autoSpaceDE/>
        <w:autoSpaceDN/>
        <w:bidi w:val="0"/>
        <w:adjustRightInd w:val="0"/>
        <w:snapToGrid/>
        <w:spacing w:line="500" w:lineRule="exact"/>
        <w:ind w:left="0" w:leftChars="0" w:firstLine="560" w:firstLineChars="200"/>
        <w:jc w:val="left"/>
        <w:textAlignment w:val="auto"/>
        <w:outlineLvl w:val="9"/>
        <w:rPr>
          <w:rFonts w:hint="eastAsia" w:ascii="宋体" w:hAnsi="宋体" w:eastAsia="宋体" w:cs="宋体"/>
        </w:rPr>
      </w:pPr>
      <w:r>
        <w:rPr>
          <w:rFonts w:hint="eastAsia" w:ascii="宋体" w:hAnsi="宋体" w:eastAsia="宋体" w:cs="宋体"/>
        </w:rPr>
        <w:t>道路</w:t>
      </w:r>
    </w:p>
    <w:p w14:paraId="17483544">
      <w:pPr>
        <w:keepNext w:val="0"/>
        <w:keepLines w:val="0"/>
        <w:pageBreakBefore w:val="0"/>
        <w:widowControl w:val="0"/>
        <w:kinsoku/>
        <w:wordWrap/>
        <w:overflowPunct/>
        <w:autoSpaceDE/>
        <w:autoSpaceDN/>
        <w:bidi w:val="0"/>
        <w:adjustRightInd w:val="0"/>
        <w:snapToGrid/>
        <w:spacing w:line="500" w:lineRule="exact"/>
        <w:textAlignment w:val="auto"/>
        <w:rPr>
          <w:rFonts w:hint="eastAsia" w:ascii="宋体" w:hAnsi="宋体" w:eastAsia="宋体" w:cs="宋体"/>
        </w:rPr>
      </w:pPr>
      <w:r>
        <w:rPr>
          <w:rFonts w:hint="eastAsia" w:ascii="宋体" w:hAnsi="宋体" w:eastAsia="宋体" w:cs="宋体"/>
        </w:rPr>
        <w:t>本项目新建环形道路</w:t>
      </w:r>
      <w:r>
        <w:rPr>
          <w:rFonts w:hint="eastAsia" w:ascii="宋体" w:hAnsi="宋体" w:eastAsia="宋体" w:cs="宋体"/>
          <w:lang w:val="en-US" w:eastAsia="zh-CN"/>
        </w:rPr>
        <w:t>，</w:t>
      </w:r>
      <w:r>
        <w:rPr>
          <w:rFonts w:hint="eastAsia" w:ascii="宋体" w:hAnsi="宋体" w:eastAsia="宋体" w:cs="宋体"/>
        </w:rPr>
        <w:t>主要出入厂区道路宽度为</w:t>
      </w:r>
      <w:r>
        <w:rPr>
          <w:rFonts w:hint="eastAsia" w:ascii="宋体" w:hAnsi="宋体" w:eastAsia="宋体" w:cs="宋体"/>
          <w:lang w:val="en-US" w:eastAsia="zh-CN"/>
        </w:rPr>
        <w:t>2</w:t>
      </w:r>
      <w:r>
        <w:rPr>
          <w:rFonts w:hint="eastAsia" w:ascii="宋体" w:hAnsi="宋体" w:eastAsia="宋体" w:cs="宋体"/>
        </w:rPr>
        <w:t>0</w:t>
      </w:r>
      <w:r>
        <w:rPr>
          <w:rFonts w:hint="eastAsia" w:ascii="宋体" w:hAnsi="宋体" w:eastAsia="宋体" w:cs="宋体"/>
          <w:lang w:val="en-US" w:eastAsia="zh-CN"/>
        </w:rPr>
        <w:t>m</w:t>
      </w:r>
      <w:r>
        <w:rPr>
          <w:rFonts w:hint="eastAsia" w:ascii="宋体" w:hAnsi="宋体" w:eastAsia="宋体" w:cs="宋体"/>
        </w:rPr>
        <w:t>，厂区内部</w:t>
      </w:r>
      <w:r>
        <w:rPr>
          <w:rFonts w:hint="eastAsia" w:ascii="宋体" w:hAnsi="宋体" w:eastAsia="宋体" w:cs="宋体"/>
          <w:lang w:val="en-US" w:eastAsia="zh-CN"/>
        </w:rPr>
        <w:t>主干道</w:t>
      </w:r>
      <w:r>
        <w:rPr>
          <w:rFonts w:hint="eastAsia" w:ascii="宋体" w:hAnsi="宋体" w:eastAsia="宋体" w:cs="宋体"/>
        </w:rPr>
        <w:t>路宽度为12m，净空高度均大于4m。</w:t>
      </w:r>
    </w:p>
    <w:p w14:paraId="52C6E525">
      <w:pPr>
        <w:keepNext w:val="0"/>
        <w:keepLines w:val="0"/>
        <w:pageBreakBefore w:val="0"/>
        <w:widowControl w:val="0"/>
        <w:numPr>
          <w:ilvl w:val="0"/>
          <w:numId w:val="14"/>
        </w:numPr>
        <w:kinsoku/>
        <w:wordWrap/>
        <w:overflowPunct/>
        <w:autoSpaceDE/>
        <w:autoSpaceDN/>
        <w:bidi w:val="0"/>
        <w:adjustRightInd w:val="0"/>
        <w:snapToGrid/>
        <w:spacing w:line="500" w:lineRule="exact"/>
        <w:ind w:left="0" w:leftChars="0" w:firstLine="560" w:firstLineChars="200"/>
        <w:jc w:val="left"/>
        <w:textAlignment w:val="auto"/>
        <w:outlineLvl w:val="9"/>
        <w:rPr>
          <w:rFonts w:hint="eastAsia" w:ascii="宋体" w:hAnsi="宋体" w:eastAsia="宋体" w:cs="宋体"/>
        </w:rPr>
      </w:pPr>
      <w:r>
        <w:rPr>
          <w:rFonts w:hint="eastAsia" w:ascii="宋体" w:hAnsi="宋体" w:eastAsia="宋体" w:cs="宋体"/>
        </w:rPr>
        <w:t>运输</w:t>
      </w:r>
    </w:p>
    <w:p w14:paraId="528E915E">
      <w:pPr>
        <w:keepNext w:val="0"/>
        <w:keepLines w:val="0"/>
        <w:pageBreakBefore w:val="0"/>
        <w:widowControl w:val="0"/>
        <w:numPr>
          <w:ilvl w:val="0"/>
          <w:numId w:val="15"/>
        </w:numPr>
        <w:kinsoku/>
        <w:wordWrap/>
        <w:overflowPunct/>
        <w:topLinePunct/>
        <w:autoSpaceDE/>
        <w:autoSpaceDN/>
        <w:bidi w:val="0"/>
        <w:adjustRightInd w:val="0"/>
        <w:snapToGrid/>
        <w:spacing w:line="500" w:lineRule="exact"/>
        <w:ind w:left="0" w:leftChars="0" w:firstLine="560" w:firstLineChars="200"/>
        <w:jc w:val="left"/>
        <w:textAlignment w:val="auto"/>
        <w:outlineLvl w:val="9"/>
        <w:rPr>
          <w:rFonts w:hint="eastAsia" w:ascii="宋体" w:hAnsi="宋体" w:eastAsia="宋体" w:cs="宋体"/>
          <w:szCs w:val="28"/>
        </w:rPr>
      </w:pPr>
      <w:r>
        <w:rPr>
          <w:rFonts w:hint="eastAsia" w:ascii="宋体" w:hAnsi="宋体" w:eastAsia="宋体" w:cs="宋体"/>
          <w:szCs w:val="28"/>
        </w:rPr>
        <w:t>外</w:t>
      </w:r>
      <w:r>
        <w:rPr>
          <w:rFonts w:hint="eastAsia" w:ascii="宋体" w:hAnsi="宋体" w:eastAsia="宋体" w:cs="宋体"/>
          <w:szCs w:val="28"/>
          <w:lang w:val="en-US" w:eastAsia="zh-CN"/>
        </w:rPr>
        <w:t>部</w:t>
      </w:r>
      <w:r>
        <w:rPr>
          <w:rFonts w:hint="eastAsia" w:ascii="宋体" w:hAnsi="宋体" w:eastAsia="宋体" w:cs="宋体"/>
          <w:szCs w:val="28"/>
        </w:rPr>
        <w:t>运输</w:t>
      </w:r>
    </w:p>
    <w:p w14:paraId="1A83F5F5">
      <w:pPr>
        <w:pStyle w:val="14"/>
        <w:keepNext w:val="0"/>
        <w:keepLines w:val="0"/>
        <w:pageBreakBefore w:val="0"/>
        <w:widowControl w:val="0"/>
        <w:kinsoku/>
        <w:wordWrap/>
        <w:overflowPunct/>
        <w:topLinePunct/>
        <w:autoSpaceDE/>
        <w:autoSpaceDN/>
        <w:bidi w:val="0"/>
        <w:adjustRightInd w:val="0"/>
        <w:snapToGrid/>
        <w:spacing w:line="500" w:lineRule="exact"/>
        <w:ind w:firstLine="560"/>
        <w:jc w:val="left"/>
        <w:textAlignment w:val="auto"/>
        <w:rPr>
          <w:rFonts w:hint="eastAsia" w:ascii="宋体" w:hAnsi="宋体" w:eastAsia="宋体" w:cs="宋体"/>
        </w:rPr>
      </w:pPr>
      <w:r>
        <w:rPr>
          <w:rFonts w:hint="eastAsia" w:ascii="宋体" w:hAnsi="宋体" w:eastAsia="宋体" w:cs="宋体"/>
          <w:lang w:val="en-US" w:eastAsia="zh-CN"/>
        </w:rPr>
        <w:t>原辅材料、成品等外部运输使用</w:t>
      </w:r>
      <w:r>
        <w:rPr>
          <w:rFonts w:hint="eastAsia" w:ascii="宋体" w:hAnsi="宋体" w:eastAsia="宋体" w:cs="宋体"/>
        </w:rPr>
        <w:t>汽车运输。</w:t>
      </w:r>
    </w:p>
    <w:p w14:paraId="782B2FAF">
      <w:pPr>
        <w:keepNext w:val="0"/>
        <w:keepLines w:val="0"/>
        <w:pageBreakBefore w:val="0"/>
        <w:widowControl w:val="0"/>
        <w:numPr>
          <w:ilvl w:val="0"/>
          <w:numId w:val="15"/>
        </w:numPr>
        <w:kinsoku/>
        <w:wordWrap/>
        <w:overflowPunct/>
        <w:topLinePunct/>
        <w:autoSpaceDE/>
        <w:autoSpaceDN/>
        <w:bidi w:val="0"/>
        <w:adjustRightInd w:val="0"/>
        <w:snapToGrid/>
        <w:spacing w:line="500" w:lineRule="exact"/>
        <w:ind w:left="0" w:leftChars="0" w:firstLine="560" w:firstLineChars="200"/>
        <w:jc w:val="left"/>
        <w:textAlignment w:val="auto"/>
        <w:outlineLvl w:val="9"/>
        <w:rPr>
          <w:rFonts w:hint="eastAsia" w:ascii="宋体" w:hAnsi="宋体" w:eastAsia="宋体" w:cs="宋体"/>
          <w:szCs w:val="28"/>
        </w:rPr>
      </w:pPr>
      <w:r>
        <w:rPr>
          <w:rFonts w:hint="eastAsia" w:ascii="宋体" w:hAnsi="宋体" w:eastAsia="宋体" w:cs="宋体"/>
          <w:szCs w:val="28"/>
        </w:rPr>
        <w:t>厂内运输</w:t>
      </w:r>
    </w:p>
    <w:p w14:paraId="2DDCDD21">
      <w:pPr>
        <w:pStyle w:val="14"/>
        <w:keepNext w:val="0"/>
        <w:keepLines w:val="0"/>
        <w:pageBreakBefore w:val="0"/>
        <w:widowControl w:val="0"/>
        <w:kinsoku/>
        <w:wordWrap/>
        <w:overflowPunct/>
        <w:topLinePunct/>
        <w:autoSpaceDE/>
        <w:autoSpaceDN/>
        <w:bidi w:val="0"/>
        <w:adjustRightInd w:val="0"/>
        <w:snapToGrid/>
        <w:spacing w:line="500" w:lineRule="exact"/>
        <w:ind w:firstLine="560"/>
        <w:jc w:val="left"/>
        <w:textAlignment w:val="auto"/>
        <w:rPr>
          <w:rFonts w:hint="eastAsia" w:ascii="宋体" w:hAnsi="宋体" w:eastAsia="宋体" w:cs="宋体"/>
          <w:szCs w:val="28"/>
        </w:rPr>
      </w:pPr>
      <w:r>
        <w:rPr>
          <w:rFonts w:hint="eastAsia" w:ascii="宋体" w:hAnsi="宋体" w:eastAsia="宋体" w:cs="宋体"/>
          <w:szCs w:val="28"/>
          <w:lang w:val="en-US" w:eastAsia="zh-CN"/>
        </w:rPr>
        <w:t>车间内物资转运使用起重机和</w:t>
      </w:r>
      <w:r>
        <w:rPr>
          <w:rFonts w:hint="eastAsia" w:ascii="宋体" w:hAnsi="宋体" w:eastAsia="宋体" w:cs="宋体"/>
          <w:szCs w:val="28"/>
        </w:rPr>
        <w:t>叉车。</w:t>
      </w:r>
    </w:p>
    <w:p w14:paraId="049039A1">
      <w:pPr>
        <w:pStyle w:val="3"/>
        <w:keepNext w:val="0"/>
        <w:keepLines w:val="0"/>
        <w:pageBreakBefore w:val="0"/>
        <w:widowControl w:val="0"/>
        <w:kinsoku/>
        <w:bidi w:val="0"/>
        <w:rPr>
          <w:lang w:val="en-US" w:eastAsia="zh-CN"/>
        </w:rPr>
      </w:pPr>
      <w:bookmarkStart w:id="253" w:name="_Toc32562"/>
      <w:bookmarkStart w:id="254" w:name="_Toc8343"/>
      <w:bookmarkStart w:id="255" w:name="_Toc8930"/>
      <w:r>
        <w:rPr>
          <w:rFonts w:hint="eastAsia"/>
          <w:lang w:val="en-US" w:eastAsia="zh-CN"/>
        </w:rPr>
        <w:t>主要建构筑物</w:t>
      </w:r>
      <w:bookmarkEnd w:id="253"/>
      <w:bookmarkEnd w:id="254"/>
      <w:bookmarkEnd w:id="255"/>
    </w:p>
    <w:p w14:paraId="4CAD6D64">
      <w:pPr>
        <w:pStyle w:val="4"/>
        <w:keepNext w:val="0"/>
        <w:keepLines w:val="0"/>
        <w:pageBreakBefore w:val="0"/>
        <w:widowControl w:val="0"/>
        <w:kinsoku/>
        <w:bidi w:val="0"/>
        <w:rPr>
          <w:lang w:val="en-US" w:eastAsia="zh-CN"/>
        </w:rPr>
      </w:pPr>
      <w:bookmarkStart w:id="256" w:name="_Toc268726814"/>
      <w:bookmarkStart w:id="257" w:name="_Toc282716379"/>
      <w:bookmarkStart w:id="258" w:name="_Toc282716166"/>
      <w:bookmarkStart w:id="259" w:name="_Toc17712"/>
      <w:bookmarkStart w:id="260" w:name="_Toc268443257"/>
      <w:bookmarkStart w:id="261" w:name="_Toc269912580"/>
      <w:bookmarkStart w:id="262" w:name="_Toc265766572"/>
      <w:bookmarkStart w:id="263" w:name="_Toc14602"/>
      <w:bookmarkStart w:id="264" w:name="_Toc325717155"/>
      <w:bookmarkStart w:id="265" w:name="_Toc262139512"/>
      <w:bookmarkStart w:id="266" w:name="_Toc21019"/>
      <w:r>
        <w:rPr>
          <w:rFonts w:hint="eastAsia"/>
        </w:rPr>
        <w:t>主要建构筑物一览表</w:t>
      </w:r>
      <w:bookmarkEnd w:id="256"/>
      <w:bookmarkEnd w:id="257"/>
      <w:bookmarkEnd w:id="258"/>
      <w:bookmarkEnd w:id="259"/>
      <w:bookmarkEnd w:id="260"/>
      <w:bookmarkEnd w:id="261"/>
      <w:bookmarkEnd w:id="262"/>
      <w:bookmarkEnd w:id="263"/>
      <w:bookmarkEnd w:id="264"/>
      <w:bookmarkEnd w:id="265"/>
      <w:bookmarkEnd w:id="266"/>
    </w:p>
    <w:p w14:paraId="47087CD5">
      <w:pPr>
        <w:pStyle w:val="12"/>
        <w:keepNext w:val="0"/>
        <w:keepLines w:val="0"/>
        <w:pageBreakBefore w:val="0"/>
        <w:widowControl w:val="0"/>
        <w:kinsoku/>
        <w:bidi w:val="0"/>
        <w:adjustRightInd/>
        <w:spacing w:before="0" w:after="0" w:line="360" w:lineRule="auto"/>
        <w:textAlignment w:val="auto"/>
        <w:rPr>
          <w:rFonts w:hint="eastAsia"/>
        </w:rP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5</w:t>
      </w:r>
      <w:r>
        <w:fldChar w:fldCharType="end"/>
      </w:r>
      <w:r>
        <w:t>主要建</w:t>
      </w:r>
      <w:r>
        <w:rPr>
          <w:rFonts w:hint="eastAsia"/>
          <w:lang w:eastAsia="zh-CN"/>
        </w:rPr>
        <w:t>（</w:t>
      </w:r>
      <w:r>
        <w:t>构</w:t>
      </w:r>
      <w:r>
        <w:rPr>
          <w:rFonts w:hint="eastAsia"/>
          <w:lang w:eastAsia="zh-CN"/>
        </w:rPr>
        <w:t>）</w:t>
      </w:r>
      <w:r>
        <w:t>筑物特征一览表</w:t>
      </w:r>
    </w:p>
    <w:tbl>
      <w:tblPr>
        <w:tblStyle w:val="33"/>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1399"/>
        <w:gridCol w:w="1191"/>
        <w:gridCol w:w="1392"/>
        <w:gridCol w:w="1018"/>
        <w:gridCol w:w="1064"/>
        <w:gridCol w:w="925"/>
        <w:gridCol w:w="804"/>
      </w:tblGrid>
      <w:tr w14:paraId="24E8EB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425" w:type="pct"/>
            <w:tcBorders>
              <w:tl2br w:val="nil"/>
              <w:tr2bl w:val="nil"/>
            </w:tcBorders>
            <w:noWrap w:val="0"/>
            <w:vAlign w:val="center"/>
          </w:tcPr>
          <w:p w14:paraId="1989AE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序号</w:t>
            </w:r>
          </w:p>
        </w:tc>
        <w:tc>
          <w:tcPr>
            <w:tcW w:w="821" w:type="pct"/>
            <w:tcBorders>
              <w:tl2br w:val="nil"/>
              <w:tr2bl w:val="nil"/>
            </w:tcBorders>
            <w:noWrap w:val="0"/>
            <w:vAlign w:val="center"/>
          </w:tcPr>
          <w:p w14:paraId="35845C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建筑名称</w:t>
            </w:r>
          </w:p>
        </w:tc>
        <w:tc>
          <w:tcPr>
            <w:tcW w:w="699" w:type="pct"/>
            <w:tcBorders>
              <w:tl2br w:val="nil"/>
              <w:tr2bl w:val="nil"/>
            </w:tcBorders>
            <w:noWrap w:val="0"/>
            <w:vAlign w:val="center"/>
          </w:tcPr>
          <w:p w14:paraId="150FF5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建筑面积</w:t>
            </w:r>
            <w:r>
              <w:rPr>
                <w:rFonts w:hint="eastAsia" w:cs="宋体"/>
                <w:b/>
                <w:bCs/>
                <w:color w:val="auto"/>
                <w:sz w:val="21"/>
                <w:szCs w:val="21"/>
                <w:lang w:val="en-US" w:eastAsia="zh-CN"/>
              </w:rPr>
              <w:t>（</w:t>
            </w:r>
            <w:r>
              <w:rPr>
                <w:rFonts w:hint="eastAsia" w:ascii="宋体" w:hAnsi="宋体" w:eastAsia="宋体" w:cs="宋体"/>
                <w:b/>
                <w:bCs/>
                <w:color w:val="auto"/>
                <w:sz w:val="21"/>
                <w:szCs w:val="21"/>
                <w:lang w:val="en-US" w:eastAsia="zh-CN"/>
              </w:rPr>
              <w:t>㎡</w:t>
            </w:r>
            <w:r>
              <w:rPr>
                <w:rFonts w:hint="eastAsia" w:cs="宋体"/>
                <w:b/>
                <w:bCs/>
                <w:color w:val="auto"/>
                <w:sz w:val="21"/>
                <w:szCs w:val="21"/>
                <w:lang w:val="en-US" w:eastAsia="zh-CN"/>
              </w:rPr>
              <w:t>）</w:t>
            </w:r>
          </w:p>
        </w:tc>
        <w:tc>
          <w:tcPr>
            <w:tcW w:w="817" w:type="pct"/>
            <w:tcBorders>
              <w:tl2br w:val="nil"/>
              <w:tr2bl w:val="nil"/>
            </w:tcBorders>
            <w:noWrap w:val="0"/>
            <w:vAlign w:val="center"/>
          </w:tcPr>
          <w:p w14:paraId="3FBD9E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结构形式</w:t>
            </w:r>
          </w:p>
        </w:tc>
        <w:tc>
          <w:tcPr>
            <w:tcW w:w="597" w:type="pct"/>
            <w:tcBorders>
              <w:tl2br w:val="nil"/>
              <w:tr2bl w:val="nil"/>
            </w:tcBorders>
            <w:noWrap w:val="0"/>
            <w:vAlign w:val="center"/>
          </w:tcPr>
          <w:p w14:paraId="78ACFF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层数</w:t>
            </w:r>
          </w:p>
        </w:tc>
        <w:tc>
          <w:tcPr>
            <w:tcW w:w="624" w:type="pct"/>
            <w:tcBorders>
              <w:tl2br w:val="nil"/>
              <w:tr2bl w:val="nil"/>
            </w:tcBorders>
            <w:noWrap w:val="0"/>
            <w:vAlign w:val="center"/>
          </w:tcPr>
          <w:p w14:paraId="74FD44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高度</w:t>
            </w:r>
            <w:r>
              <w:rPr>
                <w:rFonts w:hint="eastAsia" w:cs="宋体"/>
                <w:b/>
                <w:bCs/>
                <w:color w:val="auto"/>
                <w:sz w:val="21"/>
                <w:szCs w:val="21"/>
                <w:lang w:val="en-US" w:eastAsia="zh-CN"/>
              </w:rPr>
              <w:t>（</w:t>
            </w:r>
            <w:r>
              <w:rPr>
                <w:rFonts w:hint="eastAsia" w:ascii="宋体" w:hAnsi="宋体" w:eastAsia="宋体" w:cs="宋体"/>
                <w:b/>
                <w:bCs/>
                <w:color w:val="auto"/>
                <w:sz w:val="21"/>
                <w:szCs w:val="21"/>
                <w:lang w:val="en-US" w:eastAsia="zh-CN"/>
              </w:rPr>
              <w:t>m</w:t>
            </w:r>
            <w:r>
              <w:rPr>
                <w:rFonts w:hint="eastAsia" w:cs="宋体"/>
                <w:b/>
                <w:bCs/>
                <w:color w:val="auto"/>
                <w:sz w:val="21"/>
                <w:szCs w:val="21"/>
                <w:lang w:val="en-US" w:eastAsia="zh-CN"/>
              </w:rPr>
              <w:t>）</w:t>
            </w:r>
          </w:p>
        </w:tc>
        <w:tc>
          <w:tcPr>
            <w:tcW w:w="543" w:type="pct"/>
            <w:tcBorders>
              <w:tl2br w:val="nil"/>
              <w:tr2bl w:val="nil"/>
            </w:tcBorders>
            <w:noWrap w:val="0"/>
            <w:vAlign w:val="center"/>
          </w:tcPr>
          <w:p w14:paraId="7B9243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火灾</w:t>
            </w:r>
          </w:p>
          <w:p w14:paraId="26D48F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类别</w:t>
            </w:r>
          </w:p>
        </w:tc>
        <w:tc>
          <w:tcPr>
            <w:tcW w:w="471" w:type="pct"/>
            <w:tcBorders>
              <w:tl2br w:val="nil"/>
              <w:tr2bl w:val="nil"/>
            </w:tcBorders>
            <w:noWrap w:val="0"/>
            <w:vAlign w:val="center"/>
          </w:tcPr>
          <w:p w14:paraId="49A4A5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耐火</w:t>
            </w:r>
          </w:p>
          <w:p w14:paraId="5E09B4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等级</w:t>
            </w:r>
          </w:p>
        </w:tc>
      </w:tr>
      <w:tr w14:paraId="0668E9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425" w:type="pct"/>
            <w:tcBorders>
              <w:tl2br w:val="nil"/>
              <w:tr2bl w:val="nil"/>
            </w:tcBorders>
            <w:noWrap w:val="0"/>
            <w:vAlign w:val="center"/>
          </w:tcPr>
          <w:p w14:paraId="0C5DBA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821" w:type="pct"/>
            <w:tcBorders>
              <w:tl2br w:val="nil"/>
              <w:tr2bl w:val="nil"/>
            </w:tcBorders>
            <w:noWrap w:val="0"/>
            <w:vAlign w:val="center"/>
          </w:tcPr>
          <w:p w14:paraId="1172B5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1#联合车间</w:t>
            </w:r>
          </w:p>
        </w:tc>
        <w:tc>
          <w:tcPr>
            <w:tcW w:w="699" w:type="pct"/>
            <w:tcBorders>
              <w:tl2br w:val="nil"/>
              <w:tr2bl w:val="nil"/>
            </w:tcBorders>
            <w:noWrap w:val="0"/>
            <w:vAlign w:val="center"/>
          </w:tcPr>
          <w:p w14:paraId="4F172E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5868.61</w:t>
            </w:r>
          </w:p>
        </w:tc>
        <w:tc>
          <w:tcPr>
            <w:tcW w:w="817" w:type="pct"/>
            <w:tcBorders>
              <w:tl2br w:val="nil"/>
              <w:tr2bl w:val="nil"/>
            </w:tcBorders>
            <w:noWrap w:val="0"/>
            <w:vAlign w:val="center"/>
          </w:tcPr>
          <w:p w14:paraId="412C89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cs="宋体"/>
                <w:color w:val="auto"/>
                <w:sz w:val="21"/>
                <w:szCs w:val="21"/>
                <w:lang w:val="en-US" w:eastAsia="zh-CN"/>
              </w:rPr>
              <w:t>钢结构</w:t>
            </w:r>
          </w:p>
        </w:tc>
        <w:tc>
          <w:tcPr>
            <w:tcW w:w="597" w:type="pct"/>
            <w:tcBorders>
              <w:tl2br w:val="nil"/>
              <w:tr2bl w:val="nil"/>
            </w:tcBorders>
            <w:noWrap w:val="0"/>
            <w:vAlign w:val="center"/>
          </w:tcPr>
          <w:p w14:paraId="440E6D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624" w:type="pct"/>
            <w:tcBorders>
              <w:tl2br w:val="nil"/>
              <w:tr2bl w:val="nil"/>
            </w:tcBorders>
            <w:noWrap w:val="0"/>
            <w:vAlign w:val="center"/>
          </w:tcPr>
          <w:p w14:paraId="3C561D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cs="宋体"/>
                <w:color w:val="auto"/>
                <w:sz w:val="21"/>
                <w:szCs w:val="21"/>
                <w:lang w:val="en-US" w:eastAsia="zh-CN"/>
              </w:rPr>
              <w:t>15.40</w:t>
            </w:r>
          </w:p>
        </w:tc>
        <w:tc>
          <w:tcPr>
            <w:tcW w:w="543" w:type="pct"/>
            <w:tcBorders>
              <w:tl2br w:val="nil"/>
              <w:tr2bl w:val="nil"/>
            </w:tcBorders>
            <w:noWrap w:val="0"/>
            <w:vAlign w:val="center"/>
          </w:tcPr>
          <w:p w14:paraId="70173D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丁类</w:t>
            </w:r>
          </w:p>
        </w:tc>
        <w:tc>
          <w:tcPr>
            <w:tcW w:w="471" w:type="pct"/>
            <w:tcBorders>
              <w:tl2br w:val="nil"/>
              <w:tr2bl w:val="nil"/>
            </w:tcBorders>
            <w:noWrap w:val="0"/>
            <w:vAlign w:val="center"/>
          </w:tcPr>
          <w:p w14:paraId="0605C2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二级</w:t>
            </w:r>
          </w:p>
        </w:tc>
      </w:tr>
      <w:tr w14:paraId="793550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425" w:type="pct"/>
            <w:tcBorders>
              <w:tl2br w:val="nil"/>
              <w:tr2bl w:val="nil"/>
            </w:tcBorders>
            <w:noWrap w:val="0"/>
            <w:vAlign w:val="center"/>
          </w:tcPr>
          <w:p w14:paraId="6F1516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821" w:type="pct"/>
            <w:tcBorders>
              <w:tl2br w:val="nil"/>
              <w:tr2bl w:val="nil"/>
            </w:tcBorders>
            <w:noWrap w:val="0"/>
            <w:vAlign w:val="center"/>
          </w:tcPr>
          <w:p w14:paraId="383564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1#成品仓库</w:t>
            </w:r>
          </w:p>
        </w:tc>
        <w:tc>
          <w:tcPr>
            <w:tcW w:w="699" w:type="pct"/>
            <w:tcBorders>
              <w:tl2br w:val="nil"/>
              <w:tr2bl w:val="nil"/>
            </w:tcBorders>
            <w:noWrap w:val="0"/>
            <w:vAlign w:val="center"/>
          </w:tcPr>
          <w:p w14:paraId="07851D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3562.24</w:t>
            </w:r>
          </w:p>
        </w:tc>
        <w:tc>
          <w:tcPr>
            <w:tcW w:w="817" w:type="pct"/>
            <w:tcBorders>
              <w:tl2br w:val="nil"/>
              <w:tr2bl w:val="nil"/>
            </w:tcBorders>
            <w:noWrap w:val="0"/>
            <w:vAlign w:val="center"/>
          </w:tcPr>
          <w:p w14:paraId="6B28FA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cs="宋体"/>
                <w:color w:val="auto"/>
                <w:sz w:val="21"/>
                <w:szCs w:val="21"/>
                <w:lang w:val="en-US" w:eastAsia="zh-CN"/>
              </w:rPr>
              <w:t>钢结构</w:t>
            </w:r>
          </w:p>
        </w:tc>
        <w:tc>
          <w:tcPr>
            <w:tcW w:w="597" w:type="pct"/>
            <w:tcBorders>
              <w:tl2br w:val="nil"/>
              <w:tr2bl w:val="nil"/>
            </w:tcBorders>
            <w:noWrap w:val="0"/>
            <w:vAlign w:val="center"/>
          </w:tcPr>
          <w:p w14:paraId="7FD2B1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624" w:type="pct"/>
            <w:tcBorders>
              <w:tl2br w:val="nil"/>
              <w:tr2bl w:val="nil"/>
            </w:tcBorders>
            <w:noWrap w:val="0"/>
            <w:vAlign w:val="center"/>
          </w:tcPr>
          <w:p w14:paraId="380EF6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cs="宋体"/>
                <w:color w:val="auto"/>
                <w:sz w:val="21"/>
                <w:szCs w:val="21"/>
                <w:lang w:val="en-US" w:eastAsia="zh-CN"/>
              </w:rPr>
              <w:t>11.10</w:t>
            </w:r>
          </w:p>
        </w:tc>
        <w:tc>
          <w:tcPr>
            <w:tcW w:w="543" w:type="pct"/>
            <w:tcBorders>
              <w:tl2br w:val="nil"/>
              <w:tr2bl w:val="nil"/>
            </w:tcBorders>
            <w:noWrap w:val="0"/>
            <w:vAlign w:val="center"/>
          </w:tcPr>
          <w:p w14:paraId="59CFD5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戊类</w:t>
            </w:r>
          </w:p>
        </w:tc>
        <w:tc>
          <w:tcPr>
            <w:tcW w:w="471" w:type="pct"/>
            <w:tcBorders>
              <w:tl2br w:val="nil"/>
              <w:tr2bl w:val="nil"/>
            </w:tcBorders>
            <w:noWrap w:val="0"/>
            <w:vAlign w:val="center"/>
          </w:tcPr>
          <w:p w14:paraId="138182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二级</w:t>
            </w:r>
          </w:p>
        </w:tc>
      </w:tr>
      <w:tr w14:paraId="040826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425" w:type="pct"/>
            <w:tcBorders>
              <w:tl2br w:val="nil"/>
              <w:tr2bl w:val="nil"/>
            </w:tcBorders>
            <w:noWrap w:val="0"/>
            <w:vAlign w:val="center"/>
          </w:tcPr>
          <w:p w14:paraId="4DDF54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p>
        </w:tc>
        <w:tc>
          <w:tcPr>
            <w:tcW w:w="821" w:type="pct"/>
            <w:tcBorders>
              <w:tl2br w:val="nil"/>
              <w:tr2bl w:val="nil"/>
            </w:tcBorders>
            <w:noWrap w:val="0"/>
            <w:vAlign w:val="center"/>
          </w:tcPr>
          <w:p w14:paraId="37BC7B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110kV变电站</w:t>
            </w:r>
          </w:p>
        </w:tc>
        <w:tc>
          <w:tcPr>
            <w:tcW w:w="699" w:type="pct"/>
            <w:tcBorders>
              <w:tl2br w:val="nil"/>
              <w:tr2bl w:val="nil"/>
            </w:tcBorders>
            <w:noWrap w:val="0"/>
            <w:vAlign w:val="center"/>
          </w:tcPr>
          <w:p w14:paraId="6B12BB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1633.19</w:t>
            </w:r>
          </w:p>
        </w:tc>
        <w:tc>
          <w:tcPr>
            <w:tcW w:w="817" w:type="pct"/>
            <w:tcBorders>
              <w:tl2br w:val="nil"/>
              <w:tr2bl w:val="nil"/>
            </w:tcBorders>
            <w:noWrap w:val="0"/>
            <w:vAlign w:val="center"/>
          </w:tcPr>
          <w:p w14:paraId="295A7E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混凝土框架</w:t>
            </w:r>
          </w:p>
        </w:tc>
        <w:tc>
          <w:tcPr>
            <w:tcW w:w="597" w:type="pct"/>
            <w:tcBorders>
              <w:tl2br w:val="nil"/>
              <w:tr2bl w:val="nil"/>
            </w:tcBorders>
            <w:noWrap w:val="0"/>
            <w:vAlign w:val="center"/>
          </w:tcPr>
          <w:p w14:paraId="735565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624" w:type="pct"/>
            <w:tcBorders>
              <w:tl2br w:val="nil"/>
              <w:tr2bl w:val="nil"/>
            </w:tcBorders>
            <w:noWrap w:val="0"/>
            <w:vAlign w:val="center"/>
          </w:tcPr>
          <w:p w14:paraId="53F91E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cs="宋体"/>
                <w:color w:val="auto"/>
                <w:sz w:val="21"/>
                <w:szCs w:val="21"/>
                <w:lang w:val="en-US" w:eastAsia="zh-CN"/>
              </w:rPr>
              <w:t>12.25</w:t>
            </w:r>
          </w:p>
        </w:tc>
        <w:tc>
          <w:tcPr>
            <w:tcW w:w="543" w:type="pct"/>
            <w:tcBorders>
              <w:tl2br w:val="nil"/>
              <w:tr2bl w:val="nil"/>
            </w:tcBorders>
            <w:noWrap w:val="0"/>
            <w:vAlign w:val="center"/>
          </w:tcPr>
          <w:p w14:paraId="56AA01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丙类</w:t>
            </w:r>
          </w:p>
        </w:tc>
        <w:tc>
          <w:tcPr>
            <w:tcW w:w="471" w:type="pct"/>
            <w:tcBorders>
              <w:tl2br w:val="nil"/>
              <w:tr2bl w:val="nil"/>
            </w:tcBorders>
            <w:noWrap w:val="0"/>
            <w:vAlign w:val="center"/>
          </w:tcPr>
          <w:p w14:paraId="5C4B59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二级</w:t>
            </w:r>
          </w:p>
        </w:tc>
      </w:tr>
      <w:tr w14:paraId="2B1615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425" w:type="pct"/>
            <w:tcBorders>
              <w:tl2br w:val="nil"/>
              <w:tr2bl w:val="nil"/>
            </w:tcBorders>
            <w:noWrap w:val="0"/>
            <w:vAlign w:val="center"/>
          </w:tcPr>
          <w:p w14:paraId="476A99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821" w:type="pct"/>
            <w:tcBorders>
              <w:tl2br w:val="nil"/>
              <w:tr2bl w:val="nil"/>
            </w:tcBorders>
            <w:noWrap w:val="0"/>
            <w:vAlign w:val="center"/>
          </w:tcPr>
          <w:p w14:paraId="3643BD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空压机站</w:t>
            </w:r>
          </w:p>
        </w:tc>
        <w:tc>
          <w:tcPr>
            <w:tcW w:w="699" w:type="pct"/>
            <w:tcBorders>
              <w:tl2br w:val="nil"/>
              <w:tr2bl w:val="nil"/>
            </w:tcBorders>
            <w:noWrap w:val="0"/>
            <w:vAlign w:val="center"/>
          </w:tcPr>
          <w:p w14:paraId="29364B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54</w:t>
            </w:r>
            <w:r>
              <w:rPr>
                <w:rFonts w:hint="eastAsia" w:cs="宋体"/>
                <w:color w:val="auto"/>
                <w:sz w:val="21"/>
                <w:szCs w:val="21"/>
                <w:lang w:val="en-US" w:eastAsia="zh-CN"/>
              </w:rPr>
              <w:t>.00</w:t>
            </w:r>
          </w:p>
        </w:tc>
        <w:tc>
          <w:tcPr>
            <w:tcW w:w="817" w:type="pct"/>
            <w:tcBorders>
              <w:tl2br w:val="nil"/>
              <w:tr2bl w:val="nil"/>
            </w:tcBorders>
            <w:noWrap w:val="0"/>
            <w:vAlign w:val="center"/>
          </w:tcPr>
          <w:p w14:paraId="5F694A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混凝土框架</w:t>
            </w:r>
          </w:p>
        </w:tc>
        <w:tc>
          <w:tcPr>
            <w:tcW w:w="597" w:type="pct"/>
            <w:tcBorders>
              <w:tl2br w:val="nil"/>
              <w:tr2bl w:val="nil"/>
            </w:tcBorders>
            <w:noWrap w:val="0"/>
            <w:vAlign w:val="center"/>
          </w:tcPr>
          <w:p w14:paraId="47EABC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624" w:type="pct"/>
            <w:tcBorders>
              <w:tl2br w:val="nil"/>
              <w:tr2bl w:val="nil"/>
            </w:tcBorders>
            <w:noWrap w:val="0"/>
            <w:vAlign w:val="center"/>
          </w:tcPr>
          <w:p w14:paraId="5F9266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cs="宋体"/>
                <w:color w:val="auto"/>
                <w:sz w:val="21"/>
                <w:szCs w:val="21"/>
                <w:lang w:val="en-US" w:eastAsia="zh-CN"/>
              </w:rPr>
              <w:t>6.45</w:t>
            </w:r>
          </w:p>
        </w:tc>
        <w:tc>
          <w:tcPr>
            <w:tcW w:w="543" w:type="pct"/>
            <w:tcBorders>
              <w:tl2br w:val="nil"/>
              <w:tr2bl w:val="nil"/>
            </w:tcBorders>
            <w:noWrap w:val="0"/>
            <w:vAlign w:val="center"/>
          </w:tcPr>
          <w:p w14:paraId="0A76B9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戊类</w:t>
            </w:r>
          </w:p>
        </w:tc>
        <w:tc>
          <w:tcPr>
            <w:tcW w:w="471" w:type="pct"/>
            <w:tcBorders>
              <w:tl2br w:val="nil"/>
              <w:tr2bl w:val="nil"/>
            </w:tcBorders>
            <w:noWrap w:val="0"/>
            <w:vAlign w:val="center"/>
          </w:tcPr>
          <w:p w14:paraId="03F15F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二级</w:t>
            </w:r>
          </w:p>
        </w:tc>
      </w:tr>
    </w:tbl>
    <w:p w14:paraId="4CD0FABE">
      <w:pPr>
        <w:pStyle w:val="12"/>
        <w:bidi w:val="0"/>
        <w:rPr>
          <w:rFonts w:hint="default"/>
          <w:lang w:val="en-US" w:eastAsia="zh-CN"/>
        </w:rPr>
      </w:pPr>
      <w:r>
        <w:t xml:space="preserve">表 </w:t>
      </w:r>
      <w:r>
        <w:fldChar w:fldCharType="begin"/>
      </w:r>
      <w:r>
        <w:instrText xml:space="preserve"> STYLEREF 1 \s </w:instrText>
      </w:r>
      <w:r>
        <w:fldChar w:fldCharType="separate"/>
      </w:r>
      <w:r>
        <w:t>2</w:t>
      </w:r>
      <w:r>
        <w:fldChar w:fldCharType="end"/>
      </w:r>
      <w:r>
        <w:rPr>
          <w:rFonts w:hint="default"/>
          <w:lang w:eastAsia="zh-CN"/>
        </w:rPr>
        <w:t>-</w:t>
      </w:r>
      <w:r>
        <w:fldChar w:fldCharType="begin"/>
      </w:r>
      <w:r>
        <w:instrText xml:space="preserve"> SEQ 表 \* ARABIC \s 1 </w:instrText>
      </w:r>
      <w:r>
        <w:fldChar w:fldCharType="separate"/>
      </w:r>
      <w:r>
        <w:t>6</w:t>
      </w:r>
      <w:r>
        <w:fldChar w:fldCharType="end"/>
      </w:r>
      <w:r>
        <w:rPr>
          <w:lang w:val="en-US" w:eastAsia="zh-CN"/>
        </w:rPr>
        <w:t>主要建筑物</w:t>
      </w:r>
      <w:r>
        <w:rPr>
          <w:rFonts w:hint="default"/>
          <w:lang w:val="en-US" w:eastAsia="zh-CN"/>
        </w:rPr>
        <w:t>防火</w:t>
      </w:r>
      <w:r>
        <w:rPr>
          <w:lang w:val="en-US" w:eastAsia="zh-CN"/>
        </w:rPr>
        <w:t>间</w:t>
      </w:r>
      <w:r>
        <w:rPr>
          <w:rFonts w:hint="default"/>
          <w:lang w:val="en-US" w:eastAsia="zh-CN"/>
        </w:rPr>
        <w:t>距</w:t>
      </w:r>
    </w:p>
    <w:tbl>
      <w:tblPr>
        <w:tblStyle w:val="32"/>
        <w:tblW w:w="525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301"/>
        <w:gridCol w:w="1462"/>
        <w:gridCol w:w="1485"/>
        <w:gridCol w:w="1485"/>
        <w:gridCol w:w="1485"/>
        <w:gridCol w:w="1524"/>
      </w:tblGrid>
      <w:tr w14:paraId="665A27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73" w:hRule="atLeast"/>
          <w:jc w:val="center"/>
        </w:trPr>
        <w:tc>
          <w:tcPr>
            <w:tcW w:w="744" w:type="pct"/>
            <w:vMerge w:val="restart"/>
            <w:tcBorders>
              <w:tl2br w:val="nil"/>
              <w:tr2bl w:val="nil"/>
            </w:tcBorders>
            <w:noWrap w:val="0"/>
            <w:vAlign w:val="center"/>
          </w:tcPr>
          <w:p w14:paraId="6601F49E">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建筑物</w:t>
            </w:r>
          </w:p>
        </w:tc>
        <w:tc>
          <w:tcPr>
            <w:tcW w:w="836" w:type="pct"/>
            <w:vMerge w:val="restart"/>
            <w:tcBorders>
              <w:tl2br w:val="nil"/>
              <w:tr2bl w:val="nil"/>
            </w:tcBorders>
            <w:noWrap w:val="0"/>
            <w:vAlign w:val="center"/>
          </w:tcPr>
          <w:p w14:paraId="4CF08339">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防火</w:t>
            </w:r>
            <w:r>
              <w:rPr>
                <w:rFonts w:hint="eastAsia" w:ascii="宋体" w:hAnsi="宋体" w:eastAsia="宋体" w:cs="宋体"/>
                <w:b/>
                <w:bCs/>
                <w:color w:val="auto"/>
                <w:sz w:val="21"/>
                <w:szCs w:val="21"/>
              </w:rPr>
              <w:t>间距要求</w:t>
            </w:r>
          </w:p>
        </w:tc>
        <w:tc>
          <w:tcPr>
            <w:tcW w:w="3418" w:type="pct"/>
            <w:gridSpan w:val="4"/>
            <w:tcBorders>
              <w:tl2br w:val="nil"/>
              <w:tr2bl w:val="nil"/>
            </w:tcBorders>
            <w:noWrap w:val="0"/>
            <w:vAlign w:val="center"/>
          </w:tcPr>
          <w:p w14:paraId="561F8BB7">
            <w:pPr>
              <w:keepNext w:val="0"/>
              <w:keepLines w:val="0"/>
              <w:pageBreakBefore w:val="0"/>
              <w:widowControl w:val="0"/>
              <w:suppressLineNumbers w:val="0"/>
              <w:kinsoku/>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建筑物</w:t>
            </w:r>
          </w:p>
        </w:tc>
      </w:tr>
      <w:tr w14:paraId="4CC6F8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30" w:hRule="atLeast"/>
          <w:jc w:val="center"/>
        </w:trPr>
        <w:tc>
          <w:tcPr>
            <w:tcW w:w="744" w:type="pct"/>
            <w:vMerge w:val="continue"/>
            <w:tcBorders>
              <w:tl2br w:val="nil"/>
              <w:tr2bl w:val="nil"/>
            </w:tcBorders>
            <w:noWrap w:val="0"/>
            <w:vAlign w:val="center"/>
          </w:tcPr>
          <w:p w14:paraId="710B687E">
            <w:pPr>
              <w:keepNext w:val="0"/>
              <w:keepLines w:val="0"/>
              <w:pageBreakBefore w:val="0"/>
              <w:widowControl w:val="0"/>
              <w:suppressLineNumbers w:val="0"/>
              <w:kinsoku/>
              <w:bidi w:val="0"/>
              <w:adjustRightInd w:val="0"/>
              <w:snapToGrid w:val="0"/>
              <w:spacing w:before="0" w:beforeAutospacing="0" w:after="0" w:afterAutospacing="0" w:line="240" w:lineRule="auto"/>
              <w:ind w:left="0" w:leftChars="0" w:right="0" w:rightChars="0" w:firstLine="0" w:firstLineChars="0"/>
              <w:jc w:val="center"/>
              <w:rPr>
                <w:rFonts w:hint="default"/>
                <w:sz w:val="21"/>
                <w:szCs w:val="21"/>
              </w:rPr>
            </w:pPr>
          </w:p>
        </w:tc>
        <w:tc>
          <w:tcPr>
            <w:tcW w:w="836" w:type="pct"/>
            <w:vMerge w:val="continue"/>
            <w:tcBorders>
              <w:tl2br w:val="nil"/>
              <w:tr2bl w:val="nil"/>
            </w:tcBorders>
            <w:noWrap w:val="0"/>
            <w:vAlign w:val="center"/>
          </w:tcPr>
          <w:p w14:paraId="1A1EABD9">
            <w:pPr>
              <w:keepNext w:val="0"/>
              <w:keepLines w:val="0"/>
              <w:pageBreakBefore w:val="0"/>
              <w:widowControl w:val="0"/>
              <w:suppressLineNumbers w:val="0"/>
              <w:kinsoku/>
              <w:bidi w:val="0"/>
              <w:adjustRightInd w:val="0"/>
              <w:snapToGrid w:val="0"/>
              <w:spacing w:before="0" w:beforeAutospacing="0" w:after="0" w:afterAutospacing="0" w:line="240" w:lineRule="auto"/>
              <w:ind w:left="0" w:leftChars="0" w:right="0" w:rightChars="0" w:firstLine="0" w:firstLineChars="0"/>
              <w:jc w:val="center"/>
              <w:rPr>
                <w:rFonts w:hint="default"/>
                <w:sz w:val="21"/>
                <w:szCs w:val="21"/>
              </w:rPr>
            </w:pPr>
          </w:p>
        </w:tc>
        <w:tc>
          <w:tcPr>
            <w:tcW w:w="849" w:type="pct"/>
            <w:tcBorders>
              <w:tl2br w:val="nil"/>
              <w:tr2bl w:val="nil"/>
            </w:tcBorders>
            <w:noWrap w:val="0"/>
            <w:vAlign w:val="center"/>
          </w:tcPr>
          <w:p w14:paraId="77A329D1">
            <w:pPr>
              <w:keepNext w:val="0"/>
              <w:keepLines w:val="0"/>
              <w:pageBreakBefore w:val="0"/>
              <w:widowControl w:val="0"/>
              <w:suppressLineNumbers w:val="0"/>
              <w:kinsoku/>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b/>
                <w:bCs/>
                <w:color w:val="auto"/>
                <w:sz w:val="21"/>
                <w:szCs w:val="21"/>
                <w:lang w:val="en-US" w:eastAsia="zh-CN"/>
              </w:rPr>
            </w:pPr>
            <w:r>
              <w:rPr>
                <w:rFonts w:hint="eastAsia" w:ascii="宋体" w:hAnsi="宋体" w:eastAsia="宋体" w:cs="宋体"/>
                <w:color w:val="auto"/>
                <w:sz w:val="21"/>
                <w:szCs w:val="21"/>
                <w:lang w:val="en-US" w:eastAsia="zh-CN"/>
              </w:rPr>
              <w:t>1#联合车间</w:t>
            </w:r>
          </w:p>
        </w:tc>
        <w:tc>
          <w:tcPr>
            <w:tcW w:w="849" w:type="pct"/>
            <w:tcBorders>
              <w:tl2br w:val="nil"/>
              <w:tr2bl w:val="nil"/>
            </w:tcBorders>
            <w:noWrap w:val="0"/>
            <w:vAlign w:val="center"/>
          </w:tcPr>
          <w:p w14:paraId="488FD653">
            <w:pPr>
              <w:keepNext w:val="0"/>
              <w:keepLines w:val="0"/>
              <w:pageBreakBefore w:val="0"/>
              <w:widowControl w:val="0"/>
              <w:suppressLineNumbers w:val="0"/>
              <w:kinsoku/>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b/>
                <w:bCs/>
                <w:color w:val="auto"/>
                <w:sz w:val="21"/>
                <w:szCs w:val="21"/>
                <w:lang w:val="en-US" w:eastAsia="zh-CN"/>
              </w:rPr>
            </w:pPr>
            <w:r>
              <w:rPr>
                <w:rFonts w:hint="eastAsia" w:ascii="宋体" w:hAnsi="宋体" w:eastAsia="宋体" w:cs="宋体"/>
                <w:color w:val="auto"/>
                <w:sz w:val="21"/>
                <w:szCs w:val="21"/>
                <w:lang w:val="en-US" w:eastAsia="zh-CN"/>
              </w:rPr>
              <w:t>1#成品仓库</w:t>
            </w:r>
          </w:p>
        </w:tc>
        <w:tc>
          <w:tcPr>
            <w:tcW w:w="849" w:type="pct"/>
            <w:tcBorders>
              <w:tl2br w:val="nil"/>
              <w:tr2bl w:val="nil"/>
            </w:tcBorders>
            <w:noWrap w:val="0"/>
            <w:vAlign w:val="center"/>
          </w:tcPr>
          <w:p w14:paraId="616859B0">
            <w:pPr>
              <w:keepNext w:val="0"/>
              <w:keepLines w:val="0"/>
              <w:pageBreakBefore w:val="0"/>
              <w:widowControl w:val="0"/>
              <w:suppressLineNumbers w:val="0"/>
              <w:kinsoku/>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b/>
                <w:bCs/>
                <w:color w:val="auto"/>
                <w:sz w:val="21"/>
                <w:szCs w:val="21"/>
                <w:lang w:val="en-US" w:eastAsia="zh-CN"/>
              </w:rPr>
            </w:pPr>
            <w:r>
              <w:rPr>
                <w:rFonts w:hint="eastAsia" w:ascii="宋体" w:hAnsi="宋体" w:eastAsia="宋体" w:cs="宋体"/>
                <w:color w:val="auto"/>
                <w:sz w:val="21"/>
                <w:szCs w:val="21"/>
                <w:lang w:val="en-US" w:eastAsia="zh-CN"/>
              </w:rPr>
              <w:t>变电站</w:t>
            </w:r>
          </w:p>
        </w:tc>
        <w:tc>
          <w:tcPr>
            <w:tcW w:w="871" w:type="pct"/>
            <w:tcBorders>
              <w:tl2br w:val="nil"/>
              <w:tr2bl w:val="nil"/>
            </w:tcBorders>
            <w:noWrap w:val="0"/>
            <w:vAlign w:val="center"/>
          </w:tcPr>
          <w:p w14:paraId="0C9C23AC">
            <w:pPr>
              <w:keepNext w:val="0"/>
              <w:keepLines w:val="0"/>
              <w:pageBreakBefore w:val="0"/>
              <w:widowControl w:val="0"/>
              <w:suppressLineNumbers w:val="0"/>
              <w:kinsoku/>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空压机站</w:t>
            </w:r>
          </w:p>
        </w:tc>
      </w:tr>
      <w:tr w14:paraId="7624C4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744" w:type="pct"/>
            <w:vMerge w:val="restart"/>
            <w:tcBorders>
              <w:tl2br w:val="nil"/>
              <w:tr2bl w:val="nil"/>
            </w:tcBorders>
            <w:noWrap w:val="0"/>
            <w:vAlign w:val="center"/>
          </w:tcPr>
          <w:p w14:paraId="5CAB8BF7">
            <w:pPr>
              <w:keepNext w:val="0"/>
              <w:keepLines w:val="0"/>
              <w:pageBreakBefore w:val="0"/>
              <w:widowControl w:val="0"/>
              <w:suppressLineNumbers w:val="0"/>
              <w:kinsoku/>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b/>
                <w:bCs/>
                <w:color w:val="auto"/>
                <w:sz w:val="21"/>
                <w:szCs w:val="21"/>
              </w:rPr>
            </w:pPr>
            <w:r>
              <w:rPr>
                <w:rFonts w:hint="eastAsia" w:ascii="宋体" w:hAnsi="宋体" w:eastAsia="宋体" w:cs="宋体"/>
                <w:color w:val="auto"/>
                <w:sz w:val="21"/>
                <w:szCs w:val="21"/>
                <w:lang w:val="en-US" w:eastAsia="zh-CN"/>
              </w:rPr>
              <w:t>1#联合车间</w:t>
            </w:r>
          </w:p>
        </w:tc>
        <w:tc>
          <w:tcPr>
            <w:tcW w:w="836" w:type="pct"/>
            <w:tcBorders>
              <w:tl2br w:val="nil"/>
              <w:tr2bl w:val="nil"/>
            </w:tcBorders>
            <w:noWrap w:val="0"/>
            <w:vAlign w:val="center"/>
          </w:tcPr>
          <w:p w14:paraId="64D97C06">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设计要求</w:t>
            </w:r>
          </w:p>
        </w:tc>
        <w:tc>
          <w:tcPr>
            <w:tcW w:w="849" w:type="pct"/>
            <w:tcBorders>
              <w:tl2br w:val="nil"/>
              <w:tr2bl w:val="nil"/>
            </w:tcBorders>
            <w:noWrap w:val="0"/>
            <w:vAlign w:val="center"/>
          </w:tcPr>
          <w:p w14:paraId="607B823F">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c>
          <w:tcPr>
            <w:tcW w:w="849" w:type="pct"/>
            <w:tcBorders>
              <w:tl2br w:val="nil"/>
              <w:tr2bl w:val="nil"/>
            </w:tcBorders>
            <w:noWrap w:val="0"/>
            <w:vAlign w:val="center"/>
          </w:tcPr>
          <w:p w14:paraId="61064525">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hint="eastAsia" w:ascii="宋体" w:hAnsi="宋体" w:cs="宋体"/>
                <w:color w:val="auto"/>
                <w:sz w:val="21"/>
                <w:szCs w:val="21"/>
                <w:lang w:val="en-US" w:eastAsia="zh-CN"/>
              </w:rPr>
              <w:t>0</w:t>
            </w:r>
          </w:p>
        </w:tc>
        <w:tc>
          <w:tcPr>
            <w:tcW w:w="849" w:type="pct"/>
            <w:tcBorders>
              <w:tl2br w:val="nil"/>
              <w:tr2bl w:val="nil"/>
            </w:tcBorders>
            <w:noWrap w:val="0"/>
            <w:vAlign w:val="center"/>
          </w:tcPr>
          <w:p w14:paraId="7AFA98B0">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rPr>
            </w:pPr>
            <w:r>
              <w:rPr>
                <w:rFonts w:hint="eastAsia" w:ascii="宋体" w:hAnsi="宋体" w:cs="宋体"/>
                <w:color w:val="auto"/>
                <w:sz w:val="21"/>
                <w:szCs w:val="21"/>
                <w:lang w:eastAsia="zh-CN"/>
              </w:rPr>
              <w:t>1</w:t>
            </w:r>
            <w:r>
              <w:rPr>
                <w:rFonts w:hint="eastAsia" w:cs="宋体"/>
                <w:color w:val="auto"/>
                <w:sz w:val="21"/>
                <w:szCs w:val="21"/>
                <w:lang w:val="en-US" w:eastAsia="zh-CN"/>
              </w:rPr>
              <w:t>2</w:t>
            </w:r>
          </w:p>
        </w:tc>
        <w:tc>
          <w:tcPr>
            <w:tcW w:w="871" w:type="pct"/>
            <w:tcBorders>
              <w:tl2br w:val="nil"/>
              <w:tr2bl w:val="nil"/>
            </w:tcBorders>
            <w:noWrap w:val="0"/>
            <w:vAlign w:val="center"/>
          </w:tcPr>
          <w:p w14:paraId="1EFAD7FB">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cs="宋体"/>
                <w:color w:val="auto"/>
                <w:sz w:val="21"/>
                <w:szCs w:val="21"/>
                <w:lang w:val="en-US" w:eastAsia="zh-CN"/>
              </w:rPr>
            </w:pPr>
            <w:r>
              <w:rPr>
                <w:rFonts w:hint="eastAsia" w:cs="宋体"/>
                <w:color w:val="auto"/>
                <w:sz w:val="21"/>
                <w:szCs w:val="21"/>
                <w:lang w:val="en-US" w:eastAsia="zh-CN"/>
              </w:rPr>
              <w:t>10</w:t>
            </w:r>
          </w:p>
        </w:tc>
      </w:tr>
      <w:tr w14:paraId="0A2F01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744" w:type="pct"/>
            <w:vMerge w:val="continue"/>
            <w:tcBorders>
              <w:tl2br w:val="nil"/>
              <w:tr2bl w:val="nil"/>
            </w:tcBorders>
            <w:noWrap w:val="0"/>
            <w:vAlign w:val="center"/>
          </w:tcPr>
          <w:p w14:paraId="6B80C175">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b/>
                <w:bCs/>
                <w:color w:val="auto"/>
                <w:sz w:val="21"/>
                <w:szCs w:val="21"/>
              </w:rPr>
            </w:pPr>
          </w:p>
        </w:tc>
        <w:tc>
          <w:tcPr>
            <w:tcW w:w="836" w:type="pct"/>
            <w:tcBorders>
              <w:tl2br w:val="nil"/>
              <w:tr2bl w:val="nil"/>
            </w:tcBorders>
            <w:noWrap w:val="0"/>
            <w:vAlign w:val="center"/>
          </w:tcPr>
          <w:p w14:paraId="2EBAA6A5">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实际距离</w:t>
            </w:r>
          </w:p>
        </w:tc>
        <w:tc>
          <w:tcPr>
            <w:tcW w:w="849" w:type="pct"/>
            <w:tcBorders>
              <w:tl2br w:val="nil"/>
              <w:tr2bl w:val="nil"/>
            </w:tcBorders>
            <w:noWrap w:val="0"/>
            <w:vAlign w:val="center"/>
          </w:tcPr>
          <w:p w14:paraId="5F7985AF">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c>
          <w:tcPr>
            <w:tcW w:w="849" w:type="pct"/>
            <w:tcBorders>
              <w:tl2br w:val="nil"/>
              <w:tr2bl w:val="nil"/>
            </w:tcBorders>
            <w:noWrap w:val="0"/>
            <w:vAlign w:val="center"/>
          </w:tcPr>
          <w:p w14:paraId="05CB489C">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lang w:val="en-US" w:eastAsia="zh-CN"/>
              </w:rPr>
            </w:pPr>
            <w:r>
              <w:rPr>
                <w:rFonts w:hint="eastAsia" w:cs="宋体"/>
                <w:color w:val="auto"/>
                <w:sz w:val="21"/>
                <w:szCs w:val="21"/>
                <w:lang w:val="en-US" w:eastAsia="zh-CN"/>
              </w:rPr>
              <w:t>12</w:t>
            </w:r>
          </w:p>
        </w:tc>
        <w:tc>
          <w:tcPr>
            <w:tcW w:w="849" w:type="pct"/>
            <w:tcBorders>
              <w:tl2br w:val="nil"/>
              <w:tr2bl w:val="nil"/>
            </w:tcBorders>
            <w:noWrap w:val="0"/>
            <w:vAlign w:val="center"/>
          </w:tcPr>
          <w:p w14:paraId="05A72C4B">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lang w:val="en-US" w:eastAsia="zh-CN"/>
              </w:rPr>
            </w:pPr>
            <w:r>
              <w:rPr>
                <w:rFonts w:hint="eastAsia" w:cs="宋体"/>
                <w:color w:val="auto"/>
                <w:sz w:val="21"/>
                <w:szCs w:val="21"/>
                <w:lang w:val="en-US" w:eastAsia="zh-CN"/>
              </w:rPr>
              <w:t>47</w:t>
            </w:r>
          </w:p>
        </w:tc>
        <w:tc>
          <w:tcPr>
            <w:tcW w:w="871" w:type="pct"/>
            <w:tcBorders>
              <w:tl2br w:val="nil"/>
              <w:tr2bl w:val="nil"/>
            </w:tcBorders>
            <w:noWrap w:val="0"/>
            <w:vAlign w:val="center"/>
          </w:tcPr>
          <w:p w14:paraId="59FE36EB">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cs="宋体"/>
                <w:color w:val="auto"/>
                <w:sz w:val="21"/>
                <w:szCs w:val="21"/>
                <w:lang w:val="en-US" w:eastAsia="zh-CN"/>
              </w:rPr>
            </w:pPr>
            <w:r>
              <w:rPr>
                <w:rFonts w:hint="eastAsia" w:cs="宋体"/>
                <w:color w:val="auto"/>
                <w:sz w:val="21"/>
                <w:szCs w:val="21"/>
                <w:lang w:val="en-US" w:eastAsia="zh-CN"/>
              </w:rPr>
              <w:t>15</w:t>
            </w:r>
          </w:p>
        </w:tc>
      </w:tr>
      <w:tr w14:paraId="02C22B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744" w:type="pct"/>
            <w:vMerge w:val="restart"/>
            <w:tcBorders>
              <w:tl2br w:val="nil"/>
              <w:tr2bl w:val="nil"/>
            </w:tcBorders>
            <w:noWrap w:val="0"/>
            <w:vAlign w:val="center"/>
          </w:tcPr>
          <w:p w14:paraId="06222A17">
            <w:pPr>
              <w:keepNext w:val="0"/>
              <w:keepLines w:val="0"/>
              <w:pageBreakBefore w:val="0"/>
              <w:widowControl w:val="0"/>
              <w:suppressLineNumbers w:val="0"/>
              <w:kinsoku/>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b/>
                <w:bCs/>
                <w:color w:val="auto"/>
                <w:sz w:val="21"/>
                <w:szCs w:val="21"/>
              </w:rPr>
            </w:pPr>
            <w:r>
              <w:rPr>
                <w:rFonts w:hint="eastAsia" w:ascii="宋体" w:hAnsi="宋体" w:eastAsia="宋体" w:cs="宋体"/>
                <w:color w:val="auto"/>
                <w:sz w:val="21"/>
                <w:szCs w:val="21"/>
                <w:lang w:val="en-US" w:eastAsia="zh-CN"/>
              </w:rPr>
              <w:t>1#成品仓库</w:t>
            </w:r>
          </w:p>
        </w:tc>
        <w:tc>
          <w:tcPr>
            <w:tcW w:w="836" w:type="pct"/>
            <w:tcBorders>
              <w:tl2br w:val="nil"/>
              <w:tr2bl w:val="nil"/>
            </w:tcBorders>
            <w:noWrap w:val="0"/>
            <w:vAlign w:val="center"/>
          </w:tcPr>
          <w:p w14:paraId="1872C126">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设计要求</w:t>
            </w:r>
          </w:p>
        </w:tc>
        <w:tc>
          <w:tcPr>
            <w:tcW w:w="849" w:type="pct"/>
            <w:tcBorders>
              <w:tl2br w:val="nil"/>
              <w:tr2bl w:val="nil"/>
            </w:tcBorders>
            <w:noWrap w:val="0"/>
            <w:vAlign w:val="center"/>
          </w:tcPr>
          <w:p w14:paraId="324C9947">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0</w:t>
            </w:r>
          </w:p>
        </w:tc>
        <w:tc>
          <w:tcPr>
            <w:tcW w:w="849" w:type="pct"/>
            <w:tcBorders>
              <w:tl2br w:val="nil"/>
              <w:tr2bl w:val="nil"/>
            </w:tcBorders>
            <w:noWrap w:val="0"/>
            <w:vAlign w:val="center"/>
          </w:tcPr>
          <w:p w14:paraId="62CE61CE">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c>
          <w:tcPr>
            <w:tcW w:w="849" w:type="pct"/>
            <w:tcBorders>
              <w:tl2br w:val="nil"/>
              <w:tr2bl w:val="nil"/>
            </w:tcBorders>
            <w:noWrap w:val="0"/>
            <w:vAlign w:val="center"/>
          </w:tcPr>
          <w:p w14:paraId="325CCC14">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cs="宋体"/>
                <w:color w:val="auto"/>
                <w:sz w:val="21"/>
                <w:szCs w:val="21"/>
                <w:lang w:val="en-US" w:eastAsia="zh-CN"/>
              </w:rPr>
              <w:t>2</w:t>
            </w:r>
          </w:p>
        </w:tc>
        <w:tc>
          <w:tcPr>
            <w:tcW w:w="871" w:type="pct"/>
            <w:tcBorders>
              <w:tl2br w:val="nil"/>
              <w:tr2bl w:val="nil"/>
            </w:tcBorders>
            <w:noWrap w:val="0"/>
            <w:vAlign w:val="center"/>
          </w:tcPr>
          <w:p w14:paraId="7B0E24C2">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cs="宋体"/>
                <w:color w:val="auto"/>
                <w:sz w:val="21"/>
                <w:szCs w:val="21"/>
                <w:lang w:val="en-US" w:eastAsia="zh-CN"/>
              </w:rPr>
            </w:pPr>
            <w:r>
              <w:rPr>
                <w:rFonts w:hint="eastAsia" w:cs="宋体"/>
                <w:color w:val="auto"/>
                <w:sz w:val="21"/>
                <w:szCs w:val="21"/>
                <w:lang w:val="en-US" w:eastAsia="zh-CN"/>
              </w:rPr>
              <w:t>10</w:t>
            </w:r>
          </w:p>
        </w:tc>
      </w:tr>
      <w:tr w14:paraId="1CA03C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0" w:hRule="atLeast"/>
          <w:jc w:val="center"/>
        </w:trPr>
        <w:tc>
          <w:tcPr>
            <w:tcW w:w="744" w:type="pct"/>
            <w:vMerge w:val="continue"/>
            <w:tcBorders>
              <w:tl2br w:val="nil"/>
              <w:tr2bl w:val="nil"/>
            </w:tcBorders>
            <w:noWrap w:val="0"/>
            <w:vAlign w:val="center"/>
          </w:tcPr>
          <w:p w14:paraId="3DA6C893">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b/>
                <w:bCs/>
                <w:color w:val="auto"/>
                <w:sz w:val="21"/>
                <w:szCs w:val="21"/>
              </w:rPr>
            </w:pPr>
          </w:p>
        </w:tc>
        <w:tc>
          <w:tcPr>
            <w:tcW w:w="836" w:type="pct"/>
            <w:tcBorders>
              <w:tl2br w:val="nil"/>
              <w:tr2bl w:val="nil"/>
            </w:tcBorders>
            <w:noWrap w:val="0"/>
            <w:vAlign w:val="center"/>
          </w:tcPr>
          <w:p w14:paraId="1052111E">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实际距离</w:t>
            </w:r>
          </w:p>
        </w:tc>
        <w:tc>
          <w:tcPr>
            <w:tcW w:w="849" w:type="pct"/>
            <w:tcBorders>
              <w:tl2br w:val="nil"/>
              <w:tr2bl w:val="nil"/>
            </w:tcBorders>
            <w:noWrap w:val="0"/>
            <w:vAlign w:val="center"/>
          </w:tcPr>
          <w:p w14:paraId="2B936350">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lang w:val="en-US" w:eastAsia="zh-CN"/>
              </w:rPr>
            </w:pPr>
            <w:r>
              <w:rPr>
                <w:rFonts w:hint="eastAsia" w:cs="宋体"/>
                <w:color w:val="auto"/>
                <w:sz w:val="21"/>
                <w:szCs w:val="21"/>
                <w:lang w:val="en-US" w:eastAsia="zh-CN"/>
              </w:rPr>
              <w:t>12</w:t>
            </w:r>
          </w:p>
        </w:tc>
        <w:tc>
          <w:tcPr>
            <w:tcW w:w="849" w:type="pct"/>
            <w:tcBorders>
              <w:tl2br w:val="nil"/>
              <w:tr2bl w:val="nil"/>
            </w:tcBorders>
            <w:noWrap w:val="0"/>
            <w:vAlign w:val="center"/>
          </w:tcPr>
          <w:p w14:paraId="23AE0237">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c>
          <w:tcPr>
            <w:tcW w:w="849" w:type="pct"/>
            <w:tcBorders>
              <w:tl2br w:val="nil"/>
              <w:tr2bl w:val="nil"/>
            </w:tcBorders>
            <w:noWrap w:val="0"/>
            <w:vAlign w:val="center"/>
          </w:tcPr>
          <w:p w14:paraId="63021F13">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lang w:val="en-US" w:eastAsia="zh-CN"/>
              </w:rPr>
            </w:pPr>
            <w:r>
              <w:rPr>
                <w:rFonts w:hint="eastAsia" w:cs="宋体"/>
                <w:color w:val="auto"/>
                <w:sz w:val="21"/>
                <w:szCs w:val="21"/>
                <w:lang w:val="en-US" w:eastAsia="zh-CN"/>
              </w:rPr>
              <w:t>97</w:t>
            </w:r>
          </w:p>
        </w:tc>
        <w:tc>
          <w:tcPr>
            <w:tcW w:w="871" w:type="pct"/>
            <w:tcBorders>
              <w:tl2br w:val="nil"/>
              <w:tr2bl w:val="nil"/>
            </w:tcBorders>
            <w:noWrap w:val="0"/>
            <w:vAlign w:val="center"/>
          </w:tcPr>
          <w:p w14:paraId="746876FB">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cs="宋体"/>
                <w:color w:val="auto"/>
                <w:sz w:val="21"/>
                <w:szCs w:val="21"/>
                <w:lang w:val="en-US" w:eastAsia="zh-CN"/>
              </w:rPr>
            </w:pPr>
            <w:r>
              <w:rPr>
                <w:rFonts w:hint="eastAsia" w:cs="宋体"/>
                <w:color w:val="auto"/>
                <w:sz w:val="21"/>
                <w:szCs w:val="21"/>
                <w:lang w:val="en-US" w:eastAsia="zh-CN"/>
              </w:rPr>
              <w:t>75</w:t>
            </w:r>
          </w:p>
        </w:tc>
      </w:tr>
      <w:tr w14:paraId="12EB2B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82" w:hRule="atLeast"/>
          <w:jc w:val="center"/>
        </w:trPr>
        <w:tc>
          <w:tcPr>
            <w:tcW w:w="744" w:type="pct"/>
            <w:vMerge w:val="restart"/>
            <w:tcBorders>
              <w:tl2br w:val="nil"/>
              <w:tr2bl w:val="nil"/>
            </w:tcBorders>
            <w:noWrap w:val="0"/>
            <w:vAlign w:val="center"/>
          </w:tcPr>
          <w:p w14:paraId="23322724">
            <w:pPr>
              <w:keepNext w:val="0"/>
              <w:keepLines w:val="0"/>
              <w:pageBreakBefore w:val="0"/>
              <w:widowControl w:val="0"/>
              <w:suppressLineNumbers w:val="0"/>
              <w:kinsoku/>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b/>
                <w:bCs/>
                <w:color w:val="auto"/>
                <w:sz w:val="21"/>
                <w:szCs w:val="21"/>
              </w:rPr>
            </w:pPr>
            <w:r>
              <w:rPr>
                <w:rFonts w:hint="eastAsia" w:ascii="宋体" w:hAnsi="宋体" w:eastAsia="宋体" w:cs="宋体"/>
                <w:color w:val="auto"/>
                <w:sz w:val="21"/>
                <w:szCs w:val="21"/>
                <w:lang w:val="en-US" w:eastAsia="zh-CN"/>
              </w:rPr>
              <w:t>110kV变电站</w:t>
            </w:r>
          </w:p>
        </w:tc>
        <w:tc>
          <w:tcPr>
            <w:tcW w:w="836" w:type="pct"/>
            <w:tcBorders>
              <w:tl2br w:val="nil"/>
              <w:tr2bl w:val="nil"/>
            </w:tcBorders>
            <w:noWrap w:val="0"/>
            <w:vAlign w:val="center"/>
          </w:tcPr>
          <w:p w14:paraId="6D812DBD">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设计要求</w:t>
            </w:r>
          </w:p>
        </w:tc>
        <w:tc>
          <w:tcPr>
            <w:tcW w:w="849" w:type="pct"/>
            <w:tcBorders>
              <w:tl2br w:val="nil"/>
              <w:tr2bl w:val="nil"/>
            </w:tcBorders>
            <w:noWrap w:val="0"/>
            <w:vAlign w:val="center"/>
          </w:tcPr>
          <w:p w14:paraId="353ABD9C">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lang w:val="en-US"/>
              </w:rPr>
            </w:pPr>
            <w:r>
              <w:rPr>
                <w:rFonts w:hint="eastAsia" w:cs="宋体"/>
                <w:color w:val="auto"/>
                <w:sz w:val="21"/>
                <w:szCs w:val="21"/>
                <w:lang w:val="en-US" w:eastAsia="zh-CN"/>
              </w:rPr>
              <w:t>12</w:t>
            </w:r>
          </w:p>
        </w:tc>
        <w:tc>
          <w:tcPr>
            <w:tcW w:w="849" w:type="pct"/>
            <w:tcBorders>
              <w:tl2br w:val="nil"/>
              <w:tr2bl w:val="nil"/>
            </w:tcBorders>
            <w:noWrap w:val="0"/>
            <w:vAlign w:val="center"/>
          </w:tcPr>
          <w:p w14:paraId="321E18FE">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lang w:val="en-US"/>
              </w:rPr>
            </w:pPr>
            <w:r>
              <w:rPr>
                <w:rFonts w:hint="eastAsia" w:cs="宋体"/>
                <w:color w:val="auto"/>
                <w:sz w:val="21"/>
                <w:szCs w:val="21"/>
                <w:lang w:val="en-US" w:eastAsia="zh-CN"/>
              </w:rPr>
              <w:t>12</w:t>
            </w:r>
          </w:p>
        </w:tc>
        <w:tc>
          <w:tcPr>
            <w:tcW w:w="849" w:type="pct"/>
            <w:tcBorders>
              <w:tl2br w:val="nil"/>
              <w:tr2bl w:val="nil"/>
            </w:tcBorders>
            <w:noWrap w:val="0"/>
            <w:vAlign w:val="center"/>
          </w:tcPr>
          <w:p w14:paraId="4E097DDE">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c>
          <w:tcPr>
            <w:tcW w:w="871" w:type="pct"/>
            <w:tcBorders>
              <w:tl2br w:val="nil"/>
              <w:tr2bl w:val="nil"/>
            </w:tcBorders>
            <w:noWrap w:val="0"/>
            <w:vAlign w:val="center"/>
          </w:tcPr>
          <w:p w14:paraId="09374386">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cs="宋体"/>
                <w:color w:val="auto"/>
                <w:sz w:val="21"/>
                <w:szCs w:val="21"/>
                <w:lang w:val="en-US" w:eastAsia="zh-CN"/>
              </w:rPr>
            </w:pPr>
            <w:r>
              <w:rPr>
                <w:rFonts w:hint="eastAsia" w:cs="宋体"/>
                <w:color w:val="auto"/>
                <w:sz w:val="21"/>
                <w:szCs w:val="21"/>
                <w:lang w:val="en-US" w:eastAsia="zh-CN"/>
              </w:rPr>
              <w:t>12</w:t>
            </w:r>
          </w:p>
        </w:tc>
      </w:tr>
      <w:tr w14:paraId="312A70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7" w:hRule="atLeast"/>
          <w:jc w:val="center"/>
        </w:trPr>
        <w:tc>
          <w:tcPr>
            <w:tcW w:w="744" w:type="pct"/>
            <w:vMerge w:val="continue"/>
            <w:tcBorders>
              <w:tl2br w:val="nil"/>
              <w:tr2bl w:val="nil"/>
            </w:tcBorders>
            <w:noWrap w:val="0"/>
            <w:vAlign w:val="center"/>
          </w:tcPr>
          <w:p w14:paraId="18A301C6">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p>
        </w:tc>
        <w:tc>
          <w:tcPr>
            <w:tcW w:w="836" w:type="pct"/>
            <w:tcBorders>
              <w:tl2br w:val="nil"/>
              <w:tr2bl w:val="nil"/>
            </w:tcBorders>
            <w:noWrap w:val="0"/>
            <w:vAlign w:val="center"/>
          </w:tcPr>
          <w:p w14:paraId="10978B5B">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实际距离</w:t>
            </w:r>
          </w:p>
        </w:tc>
        <w:tc>
          <w:tcPr>
            <w:tcW w:w="849" w:type="pct"/>
            <w:tcBorders>
              <w:tl2br w:val="nil"/>
              <w:tr2bl w:val="nil"/>
            </w:tcBorders>
            <w:noWrap w:val="0"/>
            <w:vAlign w:val="center"/>
          </w:tcPr>
          <w:p w14:paraId="5B21AD82">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lang w:val="en-US" w:eastAsia="zh-CN"/>
              </w:rPr>
            </w:pPr>
            <w:r>
              <w:rPr>
                <w:rFonts w:hint="eastAsia" w:cs="宋体"/>
                <w:color w:val="auto"/>
                <w:sz w:val="21"/>
                <w:szCs w:val="21"/>
                <w:lang w:val="en-US" w:eastAsia="zh-CN"/>
              </w:rPr>
              <w:t>47</w:t>
            </w:r>
          </w:p>
        </w:tc>
        <w:tc>
          <w:tcPr>
            <w:tcW w:w="849" w:type="pct"/>
            <w:tcBorders>
              <w:tl2br w:val="nil"/>
              <w:tr2bl w:val="nil"/>
            </w:tcBorders>
            <w:noWrap w:val="0"/>
            <w:vAlign w:val="center"/>
          </w:tcPr>
          <w:p w14:paraId="149BB1FA">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lang w:val="en-US" w:eastAsia="zh-CN"/>
              </w:rPr>
            </w:pPr>
            <w:r>
              <w:rPr>
                <w:rFonts w:hint="eastAsia" w:cs="宋体"/>
                <w:color w:val="auto"/>
                <w:sz w:val="21"/>
                <w:szCs w:val="21"/>
                <w:lang w:val="en-US" w:eastAsia="zh-CN"/>
              </w:rPr>
              <w:t>97</w:t>
            </w:r>
          </w:p>
        </w:tc>
        <w:tc>
          <w:tcPr>
            <w:tcW w:w="849" w:type="pct"/>
            <w:tcBorders>
              <w:tl2br w:val="nil"/>
              <w:tr2bl w:val="nil"/>
            </w:tcBorders>
            <w:noWrap w:val="0"/>
            <w:vAlign w:val="center"/>
          </w:tcPr>
          <w:p w14:paraId="15D88C99">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c>
          <w:tcPr>
            <w:tcW w:w="871" w:type="pct"/>
            <w:tcBorders>
              <w:tl2br w:val="nil"/>
              <w:tr2bl w:val="nil"/>
            </w:tcBorders>
            <w:noWrap w:val="0"/>
            <w:vAlign w:val="center"/>
          </w:tcPr>
          <w:p w14:paraId="483A0AD5">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cs="宋体"/>
                <w:color w:val="auto"/>
                <w:sz w:val="21"/>
                <w:szCs w:val="21"/>
                <w:lang w:val="en-US" w:eastAsia="zh-CN"/>
              </w:rPr>
            </w:pPr>
            <w:r>
              <w:rPr>
                <w:rFonts w:hint="eastAsia" w:cs="宋体"/>
                <w:color w:val="auto"/>
                <w:sz w:val="21"/>
                <w:szCs w:val="21"/>
                <w:lang w:val="en-US" w:eastAsia="zh-CN"/>
              </w:rPr>
              <w:t>22</w:t>
            </w:r>
          </w:p>
        </w:tc>
      </w:tr>
      <w:tr w14:paraId="6B9A22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7" w:hRule="atLeast"/>
          <w:jc w:val="center"/>
        </w:trPr>
        <w:tc>
          <w:tcPr>
            <w:tcW w:w="744" w:type="pct"/>
            <w:vMerge w:val="restart"/>
            <w:tcBorders>
              <w:tl2br w:val="nil"/>
              <w:tr2bl w:val="nil"/>
            </w:tcBorders>
            <w:noWrap w:val="0"/>
            <w:vAlign w:val="center"/>
          </w:tcPr>
          <w:p w14:paraId="460A6806">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highlight w:val="yellow"/>
              </w:rPr>
            </w:pPr>
            <w:r>
              <w:rPr>
                <w:rFonts w:hint="eastAsia" w:ascii="宋体" w:hAnsi="宋体" w:eastAsia="宋体" w:cs="宋体"/>
                <w:color w:val="auto"/>
                <w:sz w:val="21"/>
                <w:szCs w:val="21"/>
                <w:lang w:val="en-US" w:eastAsia="zh-CN"/>
              </w:rPr>
              <w:t>空压机站</w:t>
            </w:r>
          </w:p>
        </w:tc>
        <w:tc>
          <w:tcPr>
            <w:tcW w:w="836" w:type="pct"/>
            <w:tcBorders>
              <w:tl2br w:val="nil"/>
              <w:tr2bl w:val="nil"/>
            </w:tcBorders>
            <w:noWrap w:val="0"/>
            <w:vAlign w:val="center"/>
          </w:tcPr>
          <w:p w14:paraId="79C897FA">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设计要求</w:t>
            </w:r>
          </w:p>
        </w:tc>
        <w:tc>
          <w:tcPr>
            <w:tcW w:w="849" w:type="pct"/>
            <w:tcBorders>
              <w:tl2br w:val="nil"/>
              <w:tr2bl w:val="nil"/>
            </w:tcBorders>
            <w:noWrap w:val="0"/>
            <w:vAlign w:val="center"/>
          </w:tcPr>
          <w:p w14:paraId="5777A28A">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lang w:val="en-US" w:eastAsia="zh-CN"/>
              </w:rPr>
            </w:pPr>
            <w:r>
              <w:rPr>
                <w:rFonts w:hint="eastAsia" w:cs="宋体"/>
                <w:color w:val="auto"/>
                <w:sz w:val="21"/>
                <w:szCs w:val="21"/>
                <w:lang w:val="en-US" w:eastAsia="zh-CN"/>
              </w:rPr>
              <w:t>10</w:t>
            </w:r>
          </w:p>
        </w:tc>
        <w:tc>
          <w:tcPr>
            <w:tcW w:w="849" w:type="pct"/>
            <w:tcBorders>
              <w:tl2br w:val="nil"/>
              <w:tr2bl w:val="nil"/>
            </w:tcBorders>
            <w:noWrap w:val="0"/>
            <w:vAlign w:val="center"/>
          </w:tcPr>
          <w:p w14:paraId="6A0480FF">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lang w:val="en-US" w:eastAsia="zh-CN"/>
              </w:rPr>
            </w:pPr>
            <w:r>
              <w:rPr>
                <w:rFonts w:hint="eastAsia" w:cs="宋体"/>
                <w:color w:val="auto"/>
                <w:sz w:val="21"/>
                <w:szCs w:val="21"/>
                <w:lang w:val="en-US" w:eastAsia="zh-CN"/>
              </w:rPr>
              <w:t>10</w:t>
            </w:r>
          </w:p>
        </w:tc>
        <w:tc>
          <w:tcPr>
            <w:tcW w:w="849" w:type="pct"/>
            <w:tcBorders>
              <w:tl2br w:val="nil"/>
              <w:tr2bl w:val="nil"/>
            </w:tcBorders>
            <w:noWrap w:val="0"/>
            <w:vAlign w:val="center"/>
          </w:tcPr>
          <w:p w14:paraId="411550D9">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lang w:val="en-US" w:eastAsia="zh-CN"/>
              </w:rPr>
            </w:pPr>
            <w:r>
              <w:rPr>
                <w:rFonts w:hint="eastAsia" w:cs="宋体"/>
                <w:color w:val="auto"/>
                <w:sz w:val="21"/>
                <w:szCs w:val="21"/>
                <w:lang w:val="en-US" w:eastAsia="zh-CN"/>
              </w:rPr>
              <w:t>12</w:t>
            </w:r>
          </w:p>
        </w:tc>
        <w:tc>
          <w:tcPr>
            <w:tcW w:w="871" w:type="pct"/>
            <w:tcBorders>
              <w:tl2br w:val="nil"/>
              <w:tr2bl w:val="nil"/>
            </w:tcBorders>
            <w:noWrap w:val="0"/>
            <w:vAlign w:val="center"/>
          </w:tcPr>
          <w:p w14:paraId="044004AA">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r>
      <w:tr w14:paraId="610105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7" w:hRule="atLeast"/>
          <w:jc w:val="center"/>
        </w:trPr>
        <w:tc>
          <w:tcPr>
            <w:tcW w:w="744" w:type="pct"/>
            <w:vMerge w:val="continue"/>
            <w:tcBorders>
              <w:tl2br w:val="nil"/>
              <w:tr2bl w:val="nil"/>
            </w:tcBorders>
            <w:noWrap w:val="0"/>
            <w:vAlign w:val="center"/>
          </w:tcPr>
          <w:p w14:paraId="7F0DEF61">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lang w:val="en-US" w:eastAsia="zh-CN"/>
              </w:rPr>
            </w:pPr>
          </w:p>
        </w:tc>
        <w:tc>
          <w:tcPr>
            <w:tcW w:w="836" w:type="pct"/>
            <w:tcBorders>
              <w:tl2br w:val="nil"/>
              <w:tr2bl w:val="nil"/>
            </w:tcBorders>
            <w:noWrap w:val="0"/>
            <w:vAlign w:val="center"/>
          </w:tcPr>
          <w:p w14:paraId="4FF50FE1">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实际距离</w:t>
            </w:r>
          </w:p>
        </w:tc>
        <w:tc>
          <w:tcPr>
            <w:tcW w:w="849" w:type="pct"/>
            <w:tcBorders>
              <w:tl2br w:val="nil"/>
              <w:tr2bl w:val="nil"/>
            </w:tcBorders>
            <w:noWrap w:val="0"/>
            <w:vAlign w:val="center"/>
          </w:tcPr>
          <w:p w14:paraId="51093B6F">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lang w:val="en-US" w:eastAsia="zh-CN"/>
              </w:rPr>
            </w:pPr>
            <w:r>
              <w:rPr>
                <w:rFonts w:hint="eastAsia" w:cs="宋体"/>
                <w:color w:val="auto"/>
                <w:sz w:val="21"/>
                <w:szCs w:val="21"/>
                <w:lang w:val="en-US" w:eastAsia="zh-CN"/>
              </w:rPr>
              <w:t>15</w:t>
            </w:r>
          </w:p>
        </w:tc>
        <w:tc>
          <w:tcPr>
            <w:tcW w:w="849" w:type="pct"/>
            <w:tcBorders>
              <w:tl2br w:val="nil"/>
              <w:tr2bl w:val="nil"/>
            </w:tcBorders>
            <w:noWrap w:val="0"/>
            <w:vAlign w:val="center"/>
          </w:tcPr>
          <w:p w14:paraId="0F26FD51">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lang w:val="en-US" w:eastAsia="zh-CN"/>
              </w:rPr>
            </w:pPr>
            <w:r>
              <w:rPr>
                <w:rFonts w:hint="eastAsia" w:cs="宋体"/>
                <w:color w:val="auto"/>
                <w:sz w:val="21"/>
                <w:szCs w:val="21"/>
                <w:lang w:val="en-US" w:eastAsia="zh-CN"/>
              </w:rPr>
              <w:t>75</w:t>
            </w:r>
          </w:p>
        </w:tc>
        <w:tc>
          <w:tcPr>
            <w:tcW w:w="849" w:type="pct"/>
            <w:tcBorders>
              <w:tl2br w:val="nil"/>
              <w:tr2bl w:val="nil"/>
            </w:tcBorders>
            <w:noWrap w:val="0"/>
            <w:vAlign w:val="center"/>
          </w:tcPr>
          <w:p w14:paraId="494297D4">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lang w:val="en-US" w:eastAsia="zh-CN"/>
              </w:rPr>
            </w:pPr>
            <w:r>
              <w:rPr>
                <w:rFonts w:hint="eastAsia" w:cs="宋体"/>
                <w:color w:val="auto"/>
                <w:sz w:val="21"/>
                <w:szCs w:val="21"/>
                <w:lang w:val="en-US" w:eastAsia="zh-CN"/>
              </w:rPr>
              <w:t>22</w:t>
            </w:r>
          </w:p>
        </w:tc>
        <w:tc>
          <w:tcPr>
            <w:tcW w:w="871" w:type="pct"/>
            <w:tcBorders>
              <w:tl2br w:val="nil"/>
              <w:tr2bl w:val="nil"/>
            </w:tcBorders>
            <w:noWrap w:val="0"/>
            <w:vAlign w:val="center"/>
          </w:tcPr>
          <w:p w14:paraId="094E910F">
            <w:pPr>
              <w:keepNext w:val="0"/>
              <w:keepLines w:val="0"/>
              <w:pageBreakBefore w:val="0"/>
              <w:widowControl w:val="0"/>
              <w:suppressLineNumbers w:val="0"/>
              <w:kinsoku/>
              <w:wordWrap/>
              <w:overflowPunct/>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w:t>
            </w:r>
          </w:p>
        </w:tc>
      </w:tr>
    </w:tbl>
    <w:p w14:paraId="166AD0AE">
      <w:pPr>
        <w:keepNext w:val="0"/>
        <w:keepLines w:val="0"/>
        <w:pageBreakBefore w:val="0"/>
        <w:widowControl w:val="0"/>
        <w:kinsoku/>
        <w:wordWrap/>
        <w:overflowPunct/>
        <w:topLinePunct w:val="0"/>
        <w:autoSpaceDE/>
        <w:autoSpaceDN/>
        <w:bidi w:val="0"/>
        <w:adjustRightInd w:val="0"/>
        <w:snapToGrid/>
        <w:spacing w:line="500" w:lineRule="exact"/>
        <w:textAlignment w:val="auto"/>
        <w:rPr>
          <w:rFonts w:hint="eastAsia" w:ascii="宋体" w:hAnsi="宋体" w:eastAsia="宋体" w:cs="宋体"/>
          <w:lang w:eastAsia="zh-CN"/>
        </w:rPr>
      </w:pPr>
      <w:r>
        <w:rPr>
          <w:rFonts w:hint="eastAsia" w:ascii="宋体" w:hAnsi="宋体" w:eastAsia="宋体" w:cs="宋体"/>
        </w:rPr>
        <w:t>注：“</w:t>
      </w:r>
      <w:r>
        <w:rPr>
          <w:rFonts w:hint="eastAsia" w:ascii="宋体" w:hAnsi="宋体" w:eastAsia="宋体" w:cs="宋体"/>
          <w:lang w:eastAsia="zh-CN"/>
        </w:rPr>
        <w:t>－</w:t>
      </w:r>
      <w:r>
        <w:rPr>
          <w:rFonts w:hint="eastAsia" w:ascii="宋体" w:hAnsi="宋体" w:eastAsia="宋体" w:cs="宋体"/>
        </w:rPr>
        <w:t>”表示规范无要求</w:t>
      </w:r>
      <w:r>
        <w:rPr>
          <w:rFonts w:hint="eastAsia" w:ascii="宋体" w:hAnsi="宋体" w:eastAsia="宋体" w:cs="宋体"/>
          <w:lang w:eastAsia="zh-CN"/>
        </w:rPr>
        <w:t>。</w:t>
      </w:r>
    </w:p>
    <w:p w14:paraId="038C80DE">
      <w:pPr>
        <w:keepNext w:val="0"/>
        <w:keepLines w:val="0"/>
        <w:pageBreakBefore w:val="0"/>
        <w:widowControl w:val="0"/>
        <w:kinsoku/>
        <w:wordWrap/>
        <w:overflowPunct/>
        <w:topLinePunct w:val="0"/>
        <w:autoSpaceDE/>
        <w:autoSpaceDN/>
        <w:bidi w:val="0"/>
        <w:adjustRightInd w:val="0"/>
        <w:snapToGrid/>
        <w:spacing w:line="500" w:lineRule="exact"/>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t>本表</w:t>
      </w:r>
      <w:r>
        <w:rPr>
          <w:rFonts w:hint="eastAsia" w:ascii="宋体" w:hAnsi="宋体" w:eastAsia="宋体" w:cs="宋体"/>
          <w:b w:val="0"/>
          <w:bCs w:val="0"/>
          <w:sz w:val="28"/>
          <w:szCs w:val="28"/>
          <w:lang w:val="en-US" w:eastAsia="zh-CN"/>
        </w:rPr>
        <w:t>设计要求距离，为设计所依据的《建筑设计防火规范（2018年版）》（GB50016-2014）所要求距离。</w:t>
      </w:r>
    </w:p>
    <w:p w14:paraId="631084B9">
      <w:pPr>
        <w:pStyle w:val="4"/>
        <w:keepNext w:val="0"/>
        <w:keepLines w:val="0"/>
        <w:pageBreakBefore w:val="0"/>
        <w:widowControl w:val="0"/>
        <w:kinsoku/>
        <w:bidi w:val="0"/>
        <w:rPr>
          <w:rFonts w:hint="eastAsia"/>
          <w:lang w:val="en-US" w:eastAsia="zh-CN"/>
        </w:rPr>
      </w:pPr>
      <w:bookmarkStart w:id="267" w:name="_Toc20631"/>
      <w:bookmarkStart w:id="268" w:name="_Toc23622"/>
      <w:bookmarkStart w:id="269" w:name="_Toc325717156"/>
      <w:bookmarkStart w:id="270" w:name="_Toc18025"/>
      <w:r>
        <w:rPr>
          <w:rFonts w:hint="eastAsia"/>
          <w:lang w:val="en-US" w:eastAsia="zh-CN"/>
        </w:rPr>
        <w:t>主要建筑物防火分区及安全疏散设置</w:t>
      </w:r>
      <w:bookmarkEnd w:id="267"/>
      <w:bookmarkEnd w:id="268"/>
      <w:bookmarkEnd w:id="269"/>
      <w:bookmarkEnd w:id="270"/>
    </w:p>
    <w:p w14:paraId="66C428F3">
      <w:pPr>
        <w:pStyle w:val="5"/>
        <w:keepNext w:val="0"/>
        <w:keepLines w:val="0"/>
        <w:pageBreakBefore w:val="0"/>
        <w:widowControl w:val="0"/>
        <w:kinsoku/>
        <w:bidi w:val="0"/>
        <w:rPr>
          <w:rFonts w:hint="eastAsia"/>
          <w:lang w:val="en-US" w:eastAsia="zh-CN"/>
        </w:rPr>
      </w:pPr>
      <w:bookmarkStart w:id="271" w:name="_Toc26583"/>
      <w:r>
        <w:rPr>
          <w:rFonts w:hint="eastAsia"/>
          <w:lang w:val="en-US" w:eastAsia="zh-CN"/>
        </w:rPr>
        <w:t>防火分区</w:t>
      </w:r>
      <w:bookmarkEnd w:id="271"/>
    </w:p>
    <w:p w14:paraId="374A888C">
      <w:pPr>
        <w:pStyle w:val="14"/>
        <w:keepNext w:val="0"/>
        <w:keepLines w:val="0"/>
        <w:pageBreakBefore w:val="0"/>
        <w:widowControl w:val="0"/>
        <w:kinsoku/>
        <w:bidi w:val="0"/>
        <w:spacing w:line="360" w:lineRule="auto"/>
        <w:ind w:firstLine="560" w:firstLineChars="200"/>
        <w:jc w:val="both"/>
        <w:rPr>
          <w:rFonts w:hint="eastAsia" w:ascii="宋体" w:hAnsi="宋体" w:eastAsia="宋体" w:cs="Times New Roman"/>
          <w:color w:val="000000"/>
        </w:rPr>
      </w:pPr>
      <w:r>
        <w:rPr>
          <w:rFonts w:hint="eastAsia" w:ascii="宋体" w:hAnsi="宋体" w:eastAsia="宋体" w:cs="Times New Roman"/>
          <w:snapToGrid w:val="0"/>
          <w:color w:val="000000"/>
          <w:kern w:val="0"/>
        </w:rPr>
        <w:t>本项目</w:t>
      </w:r>
      <w:r>
        <w:rPr>
          <w:rFonts w:hint="eastAsia" w:ascii="宋体" w:hAnsi="宋体" w:eastAsia="宋体" w:cs="Times New Roman"/>
          <w:color w:val="000000"/>
        </w:rPr>
        <w:t>主要建筑防火分区见表</w:t>
      </w:r>
      <w:r>
        <w:rPr>
          <w:rFonts w:hint="eastAsia" w:ascii="宋体" w:hAnsi="宋体" w:eastAsia="宋体" w:cs="Times New Roman"/>
          <w:color w:val="000000"/>
          <w:lang w:val="en-US" w:eastAsia="zh-CN"/>
        </w:rPr>
        <w:t>2-</w:t>
      </w:r>
      <w:r>
        <w:rPr>
          <w:rFonts w:hint="eastAsia" w:ascii="宋体" w:hAnsi="宋体" w:cs="Times New Roman"/>
          <w:color w:val="000000"/>
          <w:lang w:val="en-US" w:eastAsia="zh-CN"/>
        </w:rPr>
        <w:t>7</w:t>
      </w:r>
      <w:r>
        <w:rPr>
          <w:rFonts w:hint="eastAsia" w:ascii="宋体" w:hAnsi="宋体" w:eastAsia="宋体" w:cs="Times New Roman"/>
          <w:color w:val="000000"/>
        </w:rPr>
        <w:t>。</w:t>
      </w:r>
    </w:p>
    <w:p w14:paraId="0743A9A4">
      <w:pPr>
        <w:pStyle w:val="12"/>
        <w:keepNext w:val="0"/>
        <w:keepLines w:val="0"/>
        <w:pageBreakBefore w:val="0"/>
        <w:widowControl w:val="0"/>
        <w:kinsoku/>
        <w:bidi w:val="0"/>
        <w:spacing w:line="360" w:lineRule="auto"/>
        <w:ind w:firstLine="420"/>
        <w:jc w:val="center"/>
      </w:pPr>
    </w:p>
    <w:p w14:paraId="712B6E61">
      <w:pPr>
        <w:pStyle w:val="12"/>
        <w:keepNext w:val="0"/>
        <w:keepLines w:val="0"/>
        <w:pageBreakBefore w:val="0"/>
        <w:widowControl w:val="0"/>
        <w:kinsoku/>
        <w:bidi w:val="0"/>
        <w:spacing w:line="360" w:lineRule="auto"/>
        <w:ind w:firstLine="420"/>
        <w:jc w:val="center"/>
        <w:rPr>
          <w:rFonts w:hint="eastAsia"/>
        </w:rP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7</w:t>
      </w:r>
      <w:r>
        <w:fldChar w:fldCharType="end"/>
      </w:r>
      <w:r>
        <w:rPr>
          <w:rFonts w:hint="eastAsia"/>
        </w:rPr>
        <w:t>主要建筑防火分区表</w:t>
      </w:r>
    </w:p>
    <w:tbl>
      <w:tblPr>
        <w:tblStyle w:val="32"/>
        <w:tblpPr w:leftFromText="180" w:rightFromText="180" w:vertAnchor="text" w:tblpX="94" w:tblpY="57"/>
        <w:tblOverlap w:val="never"/>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23"/>
        <w:gridCol w:w="1458"/>
        <w:gridCol w:w="1126"/>
        <w:gridCol w:w="1284"/>
        <w:gridCol w:w="471"/>
        <w:gridCol w:w="858"/>
        <w:gridCol w:w="993"/>
        <w:gridCol w:w="1066"/>
        <w:gridCol w:w="643"/>
      </w:tblGrid>
      <w:tr w14:paraId="2CDB20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365" w:type="pct"/>
            <w:tcBorders>
              <w:tl2br w:val="nil"/>
              <w:tr2bl w:val="nil"/>
            </w:tcBorders>
            <w:noWrap w:val="0"/>
            <w:vAlign w:val="center"/>
          </w:tcPr>
          <w:p w14:paraId="2EEE6B0C">
            <w:pPr>
              <w:keepNext w:val="0"/>
              <w:keepLines w:val="0"/>
              <w:pageBreakBefore w:val="0"/>
              <w:widowControl w:val="0"/>
              <w:suppressLineNumbers w:val="0"/>
              <w:kinsoku/>
              <w:bidi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bookmarkStart w:id="272" w:name="_Hlk140506170"/>
            <w:r>
              <w:rPr>
                <w:rFonts w:hint="eastAsia" w:ascii="宋体" w:hAnsi="宋体" w:eastAsia="宋体" w:cs="宋体"/>
                <w:b/>
                <w:bCs/>
                <w:color w:val="000000"/>
                <w:sz w:val="21"/>
                <w:szCs w:val="21"/>
              </w:rPr>
              <w:t>序号</w:t>
            </w:r>
          </w:p>
        </w:tc>
        <w:tc>
          <w:tcPr>
            <w:tcW w:w="855" w:type="pct"/>
            <w:tcBorders>
              <w:tl2br w:val="nil"/>
              <w:tr2bl w:val="nil"/>
            </w:tcBorders>
            <w:noWrap w:val="0"/>
            <w:vAlign w:val="center"/>
          </w:tcPr>
          <w:p w14:paraId="3C3D950E">
            <w:pPr>
              <w:keepNext w:val="0"/>
              <w:keepLines w:val="0"/>
              <w:pageBreakBefore w:val="0"/>
              <w:widowControl w:val="0"/>
              <w:suppressLineNumbers w:val="0"/>
              <w:kinsoku/>
              <w:bidi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建筑名称</w:t>
            </w:r>
          </w:p>
        </w:tc>
        <w:tc>
          <w:tcPr>
            <w:tcW w:w="660" w:type="pct"/>
            <w:tcBorders>
              <w:tl2br w:val="nil"/>
              <w:tr2bl w:val="nil"/>
            </w:tcBorders>
            <w:noWrap w:val="0"/>
            <w:vAlign w:val="center"/>
          </w:tcPr>
          <w:p w14:paraId="205BECCE">
            <w:pPr>
              <w:keepNext w:val="0"/>
              <w:keepLines w:val="0"/>
              <w:pageBreakBefore w:val="0"/>
              <w:widowControl w:val="0"/>
              <w:suppressLineNumbers w:val="0"/>
              <w:kinsoku/>
              <w:bidi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建筑面积</w:t>
            </w:r>
          </w:p>
        </w:tc>
        <w:tc>
          <w:tcPr>
            <w:tcW w:w="753" w:type="pct"/>
            <w:tcBorders>
              <w:tl2br w:val="nil"/>
              <w:tr2bl w:val="nil"/>
            </w:tcBorders>
            <w:noWrap w:val="0"/>
            <w:vAlign w:val="center"/>
          </w:tcPr>
          <w:p w14:paraId="24C585F5">
            <w:pPr>
              <w:keepNext w:val="0"/>
              <w:keepLines w:val="0"/>
              <w:pageBreakBefore w:val="0"/>
              <w:widowControl w:val="0"/>
              <w:suppressLineNumbers w:val="0"/>
              <w:kinsoku/>
              <w:bidi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结构</w:t>
            </w:r>
          </w:p>
          <w:p w14:paraId="56EBABAA">
            <w:pPr>
              <w:keepNext w:val="0"/>
              <w:keepLines w:val="0"/>
              <w:pageBreakBefore w:val="0"/>
              <w:widowControl w:val="0"/>
              <w:suppressLineNumbers w:val="0"/>
              <w:kinsoku/>
              <w:bidi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形式</w:t>
            </w:r>
          </w:p>
        </w:tc>
        <w:tc>
          <w:tcPr>
            <w:tcW w:w="276" w:type="pct"/>
            <w:tcBorders>
              <w:tl2br w:val="nil"/>
              <w:tr2bl w:val="nil"/>
            </w:tcBorders>
            <w:noWrap w:val="0"/>
            <w:vAlign w:val="center"/>
          </w:tcPr>
          <w:p w14:paraId="67B18F4D">
            <w:pPr>
              <w:keepNext w:val="0"/>
              <w:keepLines w:val="0"/>
              <w:pageBreakBefore w:val="0"/>
              <w:widowControl w:val="0"/>
              <w:suppressLineNumbers w:val="0"/>
              <w:kinsoku/>
              <w:bidi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层数</w:t>
            </w:r>
          </w:p>
        </w:tc>
        <w:tc>
          <w:tcPr>
            <w:tcW w:w="503" w:type="pct"/>
            <w:tcBorders>
              <w:tl2br w:val="nil"/>
              <w:tr2bl w:val="nil"/>
            </w:tcBorders>
            <w:noWrap w:val="0"/>
            <w:vAlign w:val="center"/>
          </w:tcPr>
          <w:p w14:paraId="6F1F3E83">
            <w:pPr>
              <w:keepNext w:val="0"/>
              <w:keepLines w:val="0"/>
              <w:pageBreakBefore w:val="0"/>
              <w:widowControl w:val="0"/>
              <w:suppressLineNumbers w:val="0"/>
              <w:kinsoku/>
              <w:bidi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高度</w:t>
            </w:r>
          </w:p>
        </w:tc>
        <w:tc>
          <w:tcPr>
            <w:tcW w:w="582" w:type="pct"/>
            <w:tcBorders>
              <w:tl2br w:val="nil"/>
              <w:tr2bl w:val="nil"/>
            </w:tcBorders>
            <w:noWrap w:val="0"/>
            <w:vAlign w:val="center"/>
          </w:tcPr>
          <w:p w14:paraId="66AB9511">
            <w:pPr>
              <w:keepNext w:val="0"/>
              <w:keepLines w:val="0"/>
              <w:pageBreakBefore w:val="0"/>
              <w:widowControl w:val="0"/>
              <w:suppressLineNumbers w:val="0"/>
              <w:kinsoku/>
              <w:bidi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火灾</w:t>
            </w:r>
          </w:p>
          <w:p w14:paraId="506C6D17">
            <w:pPr>
              <w:keepNext w:val="0"/>
              <w:keepLines w:val="0"/>
              <w:pageBreakBefore w:val="0"/>
              <w:widowControl w:val="0"/>
              <w:suppressLineNumbers w:val="0"/>
              <w:kinsoku/>
              <w:bidi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类别</w:t>
            </w:r>
          </w:p>
        </w:tc>
        <w:tc>
          <w:tcPr>
            <w:tcW w:w="625" w:type="pct"/>
            <w:tcBorders>
              <w:tl2br w:val="nil"/>
              <w:tr2bl w:val="nil"/>
            </w:tcBorders>
            <w:noWrap w:val="0"/>
            <w:vAlign w:val="center"/>
          </w:tcPr>
          <w:p w14:paraId="173F073D">
            <w:pPr>
              <w:keepNext w:val="0"/>
              <w:keepLines w:val="0"/>
              <w:pageBreakBefore w:val="0"/>
              <w:widowControl w:val="0"/>
              <w:suppressLineNumbers w:val="0"/>
              <w:kinsoku/>
              <w:bidi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耐火</w:t>
            </w:r>
          </w:p>
          <w:p w14:paraId="2DA018A6">
            <w:pPr>
              <w:keepNext w:val="0"/>
              <w:keepLines w:val="0"/>
              <w:pageBreakBefore w:val="0"/>
              <w:widowControl w:val="0"/>
              <w:suppressLineNumbers w:val="0"/>
              <w:kinsoku/>
              <w:bidi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等级</w:t>
            </w:r>
          </w:p>
        </w:tc>
        <w:tc>
          <w:tcPr>
            <w:tcW w:w="377" w:type="pct"/>
            <w:tcBorders>
              <w:tl2br w:val="nil"/>
              <w:tr2bl w:val="nil"/>
            </w:tcBorders>
            <w:noWrap w:val="0"/>
            <w:vAlign w:val="center"/>
          </w:tcPr>
          <w:p w14:paraId="463FD51F">
            <w:pPr>
              <w:keepNext w:val="0"/>
              <w:keepLines w:val="0"/>
              <w:pageBreakBefore w:val="0"/>
              <w:widowControl w:val="0"/>
              <w:suppressLineNumbers w:val="0"/>
              <w:kinsoku/>
              <w:bidi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备注</w:t>
            </w:r>
          </w:p>
        </w:tc>
      </w:tr>
      <w:tr w14:paraId="1A7CC9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9" w:hRule="atLeast"/>
        </w:trPr>
        <w:tc>
          <w:tcPr>
            <w:tcW w:w="365" w:type="pct"/>
            <w:tcBorders>
              <w:tl2br w:val="nil"/>
              <w:tr2bl w:val="nil"/>
            </w:tcBorders>
            <w:noWrap w:val="0"/>
            <w:vAlign w:val="center"/>
          </w:tcPr>
          <w:p w14:paraId="39D57BD1">
            <w:pPr>
              <w:keepNext w:val="0"/>
              <w:keepLines w:val="0"/>
              <w:pageBreakBefore w:val="0"/>
              <w:widowControl w:val="0"/>
              <w:suppressLineNumbers w:val="0"/>
              <w:kinsoku/>
              <w:bidi w:val="0"/>
              <w:spacing w:before="0" w:beforeAutospacing="0" w:after="0" w:afterAutospacing="0" w:line="500" w:lineRule="exact"/>
              <w:ind w:left="0" w:right="0"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855" w:type="pct"/>
            <w:tcBorders>
              <w:tl2br w:val="nil"/>
              <w:tr2bl w:val="nil"/>
            </w:tcBorders>
            <w:noWrap w:val="0"/>
            <w:vAlign w:val="center"/>
          </w:tcPr>
          <w:p w14:paraId="66DC15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1#联合车间</w:t>
            </w:r>
          </w:p>
        </w:tc>
        <w:tc>
          <w:tcPr>
            <w:tcW w:w="660" w:type="pct"/>
            <w:tcBorders>
              <w:tl2br w:val="nil"/>
              <w:tr2bl w:val="nil"/>
            </w:tcBorders>
            <w:noWrap w:val="0"/>
            <w:vAlign w:val="center"/>
          </w:tcPr>
          <w:p w14:paraId="3A9465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5868.61</w:t>
            </w:r>
          </w:p>
        </w:tc>
        <w:tc>
          <w:tcPr>
            <w:tcW w:w="753" w:type="pct"/>
            <w:tcBorders>
              <w:tl2br w:val="nil"/>
              <w:tr2bl w:val="nil"/>
            </w:tcBorders>
            <w:noWrap w:val="0"/>
            <w:vAlign w:val="center"/>
          </w:tcPr>
          <w:p w14:paraId="641932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cs="宋体"/>
                <w:color w:val="auto"/>
                <w:sz w:val="21"/>
                <w:szCs w:val="21"/>
                <w:lang w:val="en-US" w:eastAsia="zh-CN"/>
              </w:rPr>
              <w:t>钢结构</w:t>
            </w:r>
          </w:p>
        </w:tc>
        <w:tc>
          <w:tcPr>
            <w:tcW w:w="276" w:type="pct"/>
            <w:tcBorders>
              <w:tl2br w:val="nil"/>
              <w:tr2bl w:val="nil"/>
            </w:tcBorders>
            <w:noWrap w:val="0"/>
            <w:vAlign w:val="center"/>
          </w:tcPr>
          <w:p w14:paraId="2364E9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w:t>
            </w:r>
          </w:p>
        </w:tc>
        <w:tc>
          <w:tcPr>
            <w:tcW w:w="503" w:type="pct"/>
            <w:tcBorders>
              <w:tl2br w:val="nil"/>
              <w:tr2bl w:val="nil"/>
            </w:tcBorders>
            <w:shd w:val="clear" w:color="auto" w:fill="auto"/>
            <w:noWrap w:val="0"/>
            <w:vAlign w:val="center"/>
          </w:tcPr>
          <w:p w14:paraId="344DF1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cs="宋体"/>
                <w:color w:val="auto"/>
                <w:sz w:val="21"/>
                <w:szCs w:val="21"/>
                <w:lang w:val="en-US" w:eastAsia="zh-CN"/>
              </w:rPr>
              <w:t>15.40</w:t>
            </w:r>
          </w:p>
        </w:tc>
        <w:tc>
          <w:tcPr>
            <w:tcW w:w="582" w:type="pct"/>
            <w:tcBorders>
              <w:tl2br w:val="nil"/>
              <w:tr2bl w:val="nil"/>
            </w:tcBorders>
            <w:noWrap w:val="0"/>
            <w:vAlign w:val="center"/>
          </w:tcPr>
          <w:p w14:paraId="53D18A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丁类</w:t>
            </w:r>
          </w:p>
        </w:tc>
        <w:tc>
          <w:tcPr>
            <w:tcW w:w="625" w:type="pct"/>
            <w:tcBorders>
              <w:tl2br w:val="nil"/>
              <w:tr2bl w:val="nil"/>
            </w:tcBorders>
            <w:noWrap w:val="0"/>
            <w:vAlign w:val="center"/>
          </w:tcPr>
          <w:p w14:paraId="41FD87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二级</w:t>
            </w:r>
          </w:p>
        </w:tc>
        <w:tc>
          <w:tcPr>
            <w:tcW w:w="377" w:type="pct"/>
            <w:tcBorders>
              <w:tl2br w:val="nil"/>
              <w:tr2bl w:val="nil"/>
            </w:tcBorders>
            <w:noWrap w:val="0"/>
            <w:vAlign w:val="center"/>
          </w:tcPr>
          <w:p w14:paraId="74FCF0F6">
            <w:pPr>
              <w:keepNext w:val="0"/>
              <w:keepLines w:val="0"/>
              <w:pageBreakBefore w:val="0"/>
              <w:widowControl w:val="0"/>
              <w:suppressLineNumbers w:val="0"/>
              <w:kinsoku/>
              <w:bidi w:val="0"/>
              <w:spacing w:before="0" w:beforeAutospacing="0" w:after="0" w:afterAutospacing="0" w:line="500" w:lineRule="exact"/>
              <w:ind w:left="0" w:right="0" w:firstLine="0" w:firstLineChars="0"/>
              <w:jc w:val="center"/>
              <w:rPr>
                <w:rFonts w:hint="eastAsia" w:ascii="宋体" w:hAnsi="宋体" w:eastAsia="宋体" w:cs="宋体"/>
                <w:color w:val="000000"/>
                <w:sz w:val="21"/>
                <w:szCs w:val="21"/>
              </w:rPr>
            </w:pPr>
          </w:p>
        </w:tc>
      </w:tr>
      <w:tr w14:paraId="1AD02C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365" w:type="pct"/>
            <w:tcBorders>
              <w:tl2br w:val="nil"/>
              <w:tr2bl w:val="nil"/>
            </w:tcBorders>
            <w:noWrap w:val="0"/>
            <w:vAlign w:val="center"/>
          </w:tcPr>
          <w:p w14:paraId="07C8B02B">
            <w:pPr>
              <w:keepNext w:val="0"/>
              <w:keepLines w:val="0"/>
              <w:pageBreakBefore w:val="0"/>
              <w:widowControl w:val="0"/>
              <w:suppressLineNumbers w:val="0"/>
              <w:kinsoku/>
              <w:bidi w:val="0"/>
              <w:spacing w:before="0" w:beforeAutospacing="0" w:after="0" w:afterAutospacing="0" w:line="500" w:lineRule="exact"/>
              <w:ind w:left="0" w:right="0"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855" w:type="pct"/>
            <w:tcBorders>
              <w:tl2br w:val="nil"/>
              <w:tr2bl w:val="nil"/>
            </w:tcBorders>
            <w:noWrap w:val="0"/>
            <w:vAlign w:val="center"/>
          </w:tcPr>
          <w:p w14:paraId="3CCF2B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1#成品仓库</w:t>
            </w:r>
          </w:p>
        </w:tc>
        <w:tc>
          <w:tcPr>
            <w:tcW w:w="660" w:type="pct"/>
            <w:tcBorders>
              <w:tl2br w:val="nil"/>
              <w:tr2bl w:val="nil"/>
            </w:tcBorders>
            <w:noWrap w:val="0"/>
            <w:vAlign w:val="center"/>
          </w:tcPr>
          <w:p w14:paraId="742D60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3562.24</w:t>
            </w:r>
          </w:p>
        </w:tc>
        <w:tc>
          <w:tcPr>
            <w:tcW w:w="753" w:type="pct"/>
            <w:tcBorders>
              <w:tl2br w:val="nil"/>
              <w:tr2bl w:val="nil"/>
            </w:tcBorders>
            <w:noWrap w:val="0"/>
            <w:vAlign w:val="center"/>
          </w:tcPr>
          <w:p w14:paraId="449713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cs="宋体"/>
                <w:color w:val="auto"/>
                <w:sz w:val="21"/>
                <w:szCs w:val="21"/>
                <w:lang w:val="en-US" w:eastAsia="zh-CN"/>
              </w:rPr>
              <w:t>钢结构</w:t>
            </w:r>
          </w:p>
        </w:tc>
        <w:tc>
          <w:tcPr>
            <w:tcW w:w="276" w:type="pct"/>
            <w:tcBorders>
              <w:tl2br w:val="nil"/>
              <w:tr2bl w:val="nil"/>
            </w:tcBorders>
            <w:noWrap w:val="0"/>
            <w:vAlign w:val="center"/>
          </w:tcPr>
          <w:p w14:paraId="74CA33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w:t>
            </w:r>
          </w:p>
        </w:tc>
        <w:tc>
          <w:tcPr>
            <w:tcW w:w="503" w:type="pct"/>
            <w:tcBorders>
              <w:tl2br w:val="nil"/>
              <w:tr2bl w:val="nil"/>
            </w:tcBorders>
            <w:shd w:val="clear" w:color="auto" w:fill="auto"/>
            <w:noWrap w:val="0"/>
            <w:vAlign w:val="center"/>
          </w:tcPr>
          <w:p w14:paraId="3D1C7C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cs="宋体"/>
                <w:color w:val="auto"/>
                <w:sz w:val="21"/>
                <w:szCs w:val="21"/>
                <w:lang w:val="en-US" w:eastAsia="zh-CN"/>
              </w:rPr>
              <w:t>11.10</w:t>
            </w:r>
          </w:p>
        </w:tc>
        <w:tc>
          <w:tcPr>
            <w:tcW w:w="582" w:type="pct"/>
            <w:tcBorders>
              <w:tl2br w:val="nil"/>
              <w:tr2bl w:val="nil"/>
            </w:tcBorders>
            <w:noWrap w:val="0"/>
            <w:vAlign w:val="center"/>
          </w:tcPr>
          <w:p w14:paraId="5EC019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戊类</w:t>
            </w:r>
          </w:p>
        </w:tc>
        <w:tc>
          <w:tcPr>
            <w:tcW w:w="625" w:type="pct"/>
            <w:tcBorders>
              <w:tl2br w:val="nil"/>
              <w:tr2bl w:val="nil"/>
            </w:tcBorders>
            <w:noWrap w:val="0"/>
            <w:vAlign w:val="center"/>
          </w:tcPr>
          <w:p w14:paraId="19A011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二级</w:t>
            </w:r>
          </w:p>
        </w:tc>
        <w:tc>
          <w:tcPr>
            <w:tcW w:w="377" w:type="pct"/>
            <w:tcBorders>
              <w:tl2br w:val="nil"/>
              <w:tr2bl w:val="nil"/>
            </w:tcBorders>
            <w:noWrap w:val="0"/>
            <w:vAlign w:val="center"/>
          </w:tcPr>
          <w:p w14:paraId="31DD538D">
            <w:pPr>
              <w:keepNext w:val="0"/>
              <w:keepLines w:val="0"/>
              <w:pageBreakBefore w:val="0"/>
              <w:widowControl w:val="0"/>
              <w:suppressLineNumbers w:val="0"/>
              <w:kinsoku/>
              <w:bidi w:val="0"/>
              <w:spacing w:before="0" w:beforeAutospacing="0" w:after="0" w:afterAutospacing="0" w:line="500" w:lineRule="exact"/>
              <w:ind w:left="0" w:right="0" w:firstLine="0" w:firstLineChars="0"/>
              <w:jc w:val="center"/>
              <w:rPr>
                <w:rFonts w:hint="eastAsia" w:ascii="宋体" w:hAnsi="宋体" w:eastAsia="宋体" w:cs="宋体"/>
                <w:color w:val="000000"/>
                <w:sz w:val="21"/>
                <w:szCs w:val="21"/>
              </w:rPr>
            </w:pPr>
          </w:p>
        </w:tc>
      </w:tr>
      <w:tr w14:paraId="5623A5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365" w:type="pct"/>
            <w:tcBorders>
              <w:tl2br w:val="nil"/>
              <w:tr2bl w:val="nil"/>
            </w:tcBorders>
            <w:noWrap w:val="0"/>
            <w:vAlign w:val="center"/>
          </w:tcPr>
          <w:p w14:paraId="7DFECF3F">
            <w:pPr>
              <w:keepNext w:val="0"/>
              <w:keepLines w:val="0"/>
              <w:pageBreakBefore w:val="0"/>
              <w:widowControl w:val="0"/>
              <w:suppressLineNumbers w:val="0"/>
              <w:kinsoku/>
              <w:bidi w:val="0"/>
              <w:spacing w:before="0" w:beforeAutospacing="0" w:after="0" w:afterAutospacing="0" w:line="500" w:lineRule="exact"/>
              <w:ind w:left="0" w:right="0"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855" w:type="pct"/>
            <w:tcBorders>
              <w:tl2br w:val="nil"/>
              <w:tr2bl w:val="nil"/>
            </w:tcBorders>
            <w:noWrap w:val="0"/>
            <w:vAlign w:val="center"/>
          </w:tcPr>
          <w:p w14:paraId="0CCBB3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110kV变电</w:t>
            </w:r>
            <w:r>
              <w:rPr>
                <w:rFonts w:hint="eastAsia" w:cs="宋体"/>
                <w:color w:val="auto"/>
                <w:sz w:val="21"/>
                <w:szCs w:val="21"/>
                <w:lang w:val="en-US" w:eastAsia="zh-CN"/>
              </w:rPr>
              <w:t>站</w:t>
            </w:r>
          </w:p>
        </w:tc>
        <w:tc>
          <w:tcPr>
            <w:tcW w:w="660" w:type="pct"/>
            <w:tcBorders>
              <w:tl2br w:val="nil"/>
              <w:tr2bl w:val="nil"/>
            </w:tcBorders>
            <w:noWrap w:val="0"/>
            <w:vAlign w:val="center"/>
          </w:tcPr>
          <w:p w14:paraId="18E4EA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1633.19</w:t>
            </w:r>
          </w:p>
        </w:tc>
        <w:tc>
          <w:tcPr>
            <w:tcW w:w="753" w:type="pct"/>
            <w:tcBorders>
              <w:tl2br w:val="nil"/>
              <w:tr2bl w:val="nil"/>
            </w:tcBorders>
            <w:noWrap w:val="0"/>
            <w:vAlign w:val="center"/>
          </w:tcPr>
          <w:p w14:paraId="127226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混凝土框架</w:t>
            </w:r>
          </w:p>
        </w:tc>
        <w:tc>
          <w:tcPr>
            <w:tcW w:w="276" w:type="pct"/>
            <w:tcBorders>
              <w:tl2br w:val="nil"/>
              <w:tr2bl w:val="nil"/>
            </w:tcBorders>
            <w:noWrap w:val="0"/>
            <w:vAlign w:val="center"/>
          </w:tcPr>
          <w:p w14:paraId="02DFF4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p>
        </w:tc>
        <w:tc>
          <w:tcPr>
            <w:tcW w:w="503" w:type="pct"/>
            <w:tcBorders>
              <w:tl2br w:val="nil"/>
              <w:tr2bl w:val="nil"/>
            </w:tcBorders>
            <w:shd w:val="clear" w:color="auto" w:fill="auto"/>
            <w:noWrap w:val="0"/>
            <w:vAlign w:val="center"/>
          </w:tcPr>
          <w:p w14:paraId="0E8942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cs="宋体"/>
                <w:color w:val="auto"/>
                <w:sz w:val="21"/>
                <w:szCs w:val="21"/>
                <w:lang w:val="en-US" w:eastAsia="zh-CN"/>
              </w:rPr>
              <w:t>12.25</w:t>
            </w:r>
          </w:p>
        </w:tc>
        <w:tc>
          <w:tcPr>
            <w:tcW w:w="582" w:type="pct"/>
            <w:tcBorders>
              <w:tl2br w:val="nil"/>
              <w:tr2bl w:val="nil"/>
            </w:tcBorders>
            <w:noWrap w:val="0"/>
            <w:vAlign w:val="center"/>
          </w:tcPr>
          <w:p w14:paraId="6BC5D7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丙类</w:t>
            </w:r>
          </w:p>
        </w:tc>
        <w:tc>
          <w:tcPr>
            <w:tcW w:w="625" w:type="pct"/>
            <w:tcBorders>
              <w:tl2br w:val="nil"/>
              <w:tr2bl w:val="nil"/>
            </w:tcBorders>
            <w:noWrap w:val="0"/>
            <w:vAlign w:val="center"/>
          </w:tcPr>
          <w:p w14:paraId="48DD9B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二级</w:t>
            </w:r>
          </w:p>
        </w:tc>
        <w:tc>
          <w:tcPr>
            <w:tcW w:w="377" w:type="pct"/>
            <w:tcBorders>
              <w:tl2br w:val="nil"/>
              <w:tr2bl w:val="nil"/>
            </w:tcBorders>
            <w:noWrap w:val="0"/>
            <w:vAlign w:val="center"/>
          </w:tcPr>
          <w:p w14:paraId="00E0E0FC">
            <w:pPr>
              <w:keepNext w:val="0"/>
              <w:keepLines w:val="0"/>
              <w:pageBreakBefore w:val="0"/>
              <w:widowControl w:val="0"/>
              <w:suppressLineNumbers w:val="0"/>
              <w:kinsoku/>
              <w:bidi w:val="0"/>
              <w:spacing w:before="0" w:beforeAutospacing="0" w:after="0" w:afterAutospacing="0" w:line="500" w:lineRule="exact"/>
              <w:ind w:left="0" w:right="0" w:firstLine="0" w:firstLineChars="0"/>
              <w:jc w:val="center"/>
              <w:rPr>
                <w:rFonts w:hint="eastAsia" w:ascii="宋体" w:hAnsi="宋体" w:eastAsia="宋体" w:cs="宋体"/>
                <w:color w:val="000000"/>
                <w:sz w:val="21"/>
                <w:szCs w:val="21"/>
              </w:rPr>
            </w:pPr>
          </w:p>
        </w:tc>
      </w:tr>
      <w:tr w14:paraId="188B89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365" w:type="pct"/>
            <w:tcBorders>
              <w:tl2br w:val="nil"/>
              <w:tr2bl w:val="nil"/>
            </w:tcBorders>
            <w:noWrap w:val="0"/>
            <w:vAlign w:val="center"/>
          </w:tcPr>
          <w:p w14:paraId="22FB546C">
            <w:pPr>
              <w:keepNext w:val="0"/>
              <w:keepLines w:val="0"/>
              <w:pageBreakBefore w:val="0"/>
              <w:widowControl w:val="0"/>
              <w:suppressLineNumbers w:val="0"/>
              <w:kinsoku/>
              <w:bidi w:val="0"/>
              <w:spacing w:before="0" w:beforeAutospacing="0" w:after="0" w:afterAutospacing="0" w:line="500" w:lineRule="exact"/>
              <w:ind w:left="0" w:right="0"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855" w:type="pct"/>
            <w:tcBorders>
              <w:tl2br w:val="nil"/>
              <w:tr2bl w:val="nil"/>
            </w:tcBorders>
            <w:noWrap w:val="0"/>
            <w:vAlign w:val="center"/>
          </w:tcPr>
          <w:p w14:paraId="4A4478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highlight w:val="yellow"/>
                <w:lang w:val="en-US" w:eastAsia="zh-CN" w:bidi="ar-SA"/>
              </w:rPr>
            </w:pPr>
            <w:r>
              <w:rPr>
                <w:rFonts w:hint="eastAsia" w:ascii="宋体" w:hAnsi="宋体" w:eastAsia="宋体" w:cs="宋体"/>
                <w:color w:val="auto"/>
                <w:sz w:val="21"/>
                <w:szCs w:val="21"/>
                <w:lang w:val="en-US" w:eastAsia="zh-CN"/>
              </w:rPr>
              <w:t>空压机站</w:t>
            </w:r>
          </w:p>
        </w:tc>
        <w:tc>
          <w:tcPr>
            <w:tcW w:w="660" w:type="pct"/>
            <w:tcBorders>
              <w:tl2br w:val="nil"/>
              <w:tr2bl w:val="nil"/>
            </w:tcBorders>
            <w:noWrap w:val="0"/>
            <w:vAlign w:val="center"/>
          </w:tcPr>
          <w:p w14:paraId="50460B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highlight w:val="yellow"/>
                <w:lang w:val="en-US" w:eastAsia="zh-CN" w:bidi="ar-SA"/>
              </w:rPr>
            </w:pPr>
            <w:r>
              <w:rPr>
                <w:rFonts w:hint="eastAsia" w:ascii="宋体" w:hAnsi="宋体" w:eastAsia="宋体" w:cs="宋体"/>
                <w:color w:val="auto"/>
                <w:sz w:val="21"/>
                <w:szCs w:val="21"/>
                <w:lang w:val="en-US" w:eastAsia="zh-CN"/>
              </w:rPr>
              <w:t>54</w:t>
            </w:r>
          </w:p>
        </w:tc>
        <w:tc>
          <w:tcPr>
            <w:tcW w:w="753" w:type="pct"/>
            <w:tcBorders>
              <w:tl2br w:val="nil"/>
              <w:tr2bl w:val="nil"/>
            </w:tcBorders>
            <w:noWrap w:val="0"/>
            <w:vAlign w:val="center"/>
          </w:tcPr>
          <w:p w14:paraId="7E02C4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混凝土框架</w:t>
            </w:r>
          </w:p>
        </w:tc>
        <w:tc>
          <w:tcPr>
            <w:tcW w:w="276" w:type="pct"/>
            <w:tcBorders>
              <w:tl2br w:val="nil"/>
              <w:tr2bl w:val="nil"/>
            </w:tcBorders>
            <w:noWrap w:val="0"/>
            <w:vAlign w:val="center"/>
          </w:tcPr>
          <w:p w14:paraId="434F57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503" w:type="pct"/>
            <w:tcBorders>
              <w:tl2br w:val="nil"/>
              <w:tr2bl w:val="nil"/>
            </w:tcBorders>
            <w:shd w:val="clear" w:color="auto" w:fill="auto"/>
            <w:noWrap w:val="0"/>
            <w:vAlign w:val="center"/>
          </w:tcPr>
          <w:p w14:paraId="09A6FF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cs="宋体"/>
                <w:color w:val="auto"/>
                <w:sz w:val="21"/>
                <w:szCs w:val="21"/>
                <w:lang w:val="en-US" w:eastAsia="zh-CN"/>
              </w:rPr>
              <w:t>6.45</w:t>
            </w:r>
          </w:p>
        </w:tc>
        <w:tc>
          <w:tcPr>
            <w:tcW w:w="582" w:type="pct"/>
            <w:tcBorders>
              <w:tl2br w:val="nil"/>
              <w:tr2bl w:val="nil"/>
            </w:tcBorders>
            <w:noWrap w:val="0"/>
            <w:vAlign w:val="center"/>
          </w:tcPr>
          <w:p w14:paraId="262DB8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戊类</w:t>
            </w:r>
          </w:p>
        </w:tc>
        <w:tc>
          <w:tcPr>
            <w:tcW w:w="625" w:type="pct"/>
            <w:tcBorders>
              <w:tl2br w:val="nil"/>
              <w:tr2bl w:val="nil"/>
            </w:tcBorders>
            <w:noWrap w:val="0"/>
            <w:vAlign w:val="center"/>
          </w:tcPr>
          <w:p w14:paraId="548AED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二级</w:t>
            </w:r>
          </w:p>
        </w:tc>
        <w:tc>
          <w:tcPr>
            <w:tcW w:w="377" w:type="pct"/>
            <w:tcBorders>
              <w:tl2br w:val="nil"/>
              <w:tr2bl w:val="nil"/>
            </w:tcBorders>
            <w:noWrap w:val="0"/>
            <w:vAlign w:val="center"/>
          </w:tcPr>
          <w:p w14:paraId="31AF4A4B">
            <w:pPr>
              <w:keepNext w:val="0"/>
              <w:keepLines w:val="0"/>
              <w:pageBreakBefore w:val="0"/>
              <w:widowControl w:val="0"/>
              <w:suppressLineNumbers w:val="0"/>
              <w:kinsoku/>
              <w:bidi w:val="0"/>
              <w:spacing w:before="0" w:beforeAutospacing="0" w:after="0" w:afterAutospacing="0" w:line="500" w:lineRule="exact"/>
              <w:ind w:left="0" w:right="0" w:firstLine="0" w:firstLineChars="0"/>
              <w:jc w:val="center"/>
              <w:rPr>
                <w:rFonts w:hint="eastAsia" w:ascii="宋体" w:hAnsi="宋体" w:eastAsia="宋体" w:cs="宋体"/>
                <w:color w:val="000000"/>
                <w:sz w:val="21"/>
                <w:szCs w:val="21"/>
              </w:rPr>
            </w:pPr>
          </w:p>
        </w:tc>
      </w:tr>
      <w:bookmarkEnd w:id="272"/>
    </w:tbl>
    <w:p w14:paraId="32C8A3A8">
      <w:pPr>
        <w:pStyle w:val="5"/>
        <w:keepNext w:val="0"/>
        <w:keepLines w:val="0"/>
        <w:pageBreakBefore w:val="0"/>
        <w:widowControl w:val="0"/>
        <w:kinsoku/>
        <w:bidi w:val="0"/>
        <w:rPr>
          <w:rFonts w:hint="eastAsia"/>
          <w:lang w:val="en-US" w:eastAsia="zh-CN"/>
        </w:rPr>
      </w:pPr>
      <w:bookmarkStart w:id="273" w:name="_Toc31700"/>
      <w:r>
        <w:rPr>
          <w:rFonts w:hint="eastAsia"/>
          <w:lang w:val="en-US" w:eastAsia="zh-CN"/>
        </w:rPr>
        <w:t>安全疏散</w:t>
      </w:r>
      <w:bookmarkEnd w:id="273"/>
    </w:p>
    <w:p w14:paraId="321ADBFB">
      <w:pPr>
        <w:bidi w:val="0"/>
        <w:rPr>
          <w:rFonts w:hint="eastAsia"/>
          <w:lang w:val="en-US" w:eastAsia="zh-CN"/>
        </w:rPr>
      </w:pPr>
      <w:r>
        <w:rPr>
          <w:rFonts w:hint="eastAsia"/>
        </w:rPr>
        <w:t>本项目生产</w:t>
      </w:r>
      <w:r>
        <w:rPr>
          <w:rFonts w:hint="eastAsia"/>
          <w:lang w:val="en-US" w:eastAsia="zh-CN"/>
        </w:rPr>
        <w:t>厂房（仓库）</w:t>
      </w:r>
      <w:r>
        <w:rPr>
          <w:rFonts w:hint="eastAsia"/>
        </w:rPr>
        <w:t>设有多个直通室外的安全出口</w:t>
      </w:r>
      <w:r>
        <w:rPr>
          <w:rFonts w:hint="eastAsia"/>
          <w:lang w:eastAsia="zh-CN"/>
        </w:rPr>
        <w:t>，</w:t>
      </w:r>
      <w:r>
        <w:rPr>
          <w:rFonts w:hint="eastAsia"/>
          <w:lang w:val="en-US" w:eastAsia="zh-CN"/>
        </w:rPr>
        <w:t>疏散门、疏散通道，110kV变电站按规范要求设置不少于</w:t>
      </w:r>
      <w:r>
        <w:rPr>
          <w:rFonts w:hint="default"/>
          <w:lang w:val="en-US" w:eastAsia="zh-CN"/>
        </w:rPr>
        <w:t>2个</w:t>
      </w:r>
      <w:r>
        <w:rPr>
          <w:rFonts w:hint="eastAsia"/>
          <w:lang w:val="en-US" w:eastAsia="zh-CN"/>
        </w:rPr>
        <w:t>安全出口。</w:t>
      </w:r>
    </w:p>
    <w:bookmarkEnd w:id="233"/>
    <w:bookmarkEnd w:id="246"/>
    <w:p w14:paraId="466BB145">
      <w:pPr>
        <w:pStyle w:val="3"/>
        <w:keepNext w:val="0"/>
        <w:keepLines w:val="0"/>
        <w:pageBreakBefore w:val="0"/>
        <w:widowControl w:val="0"/>
        <w:kinsoku/>
        <w:bidi w:val="0"/>
        <w:rPr>
          <w:rFonts w:hint="eastAsia"/>
        </w:rPr>
      </w:pPr>
      <w:bookmarkStart w:id="274" w:name="_Toc325717146"/>
      <w:bookmarkStart w:id="275" w:name="_Toc19580"/>
      <w:bookmarkStart w:id="276" w:name="_Toc14916"/>
      <w:bookmarkStart w:id="277" w:name="_Toc22016"/>
      <w:bookmarkStart w:id="278" w:name="_Toc55567364"/>
      <w:bookmarkStart w:id="279" w:name="_Toc60925339"/>
      <w:bookmarkStart w:id="280" w:name="_Toc55945233"/>
      <w:bookmarkStart w:id="281" w:name="_Toc55033299"/>
      <w:bookmarkStart w:id="282" w:name="_Toc531271061"/>
      <w:bookmarkStart w:id="283" w:name="_Toc1019"/>
      <w:bookmarkStart w:id="284" w:name="_Toc378322675"/>
      <w:bookmarkStart w:id="285" w:name="_Toc477116109"/>
      <w:bookmarkStart w:id="286" w:name="_Toc522811440"/>
      <w:bookmarkStart w:id="287" w:name="_Toc378002204"/>
      <w:bookmarkStart w:id="288" w:name="_Toc413501830"/>
      <w:bookmarkStart w:id="289" w:name="_Toc394409072"/>
      <w:bookmarkStart w:id="290" w:name="_Toc22821"/>
      <w:bookmarkStart w:id="291" w:name="_Toc393462810"/>
      <w:r>
        <w:rPr>
          <w:rFonts w:hint="eastAsia"/>
        </w:rPr>
        <w:t>物料供应及动力能源消耗</w:t>
      </w:r>
      <w:bookmarkEnd w:id="274"/>
      <w:bookmarkEnd w:id="275"/>
      <w:bookmarkEnd w:id="276"/>
      <w:bookmarkEnd w:id="277"/>
    </w:p>
    <w:p w14:paraId="1C714AF6">
      <w:pPr>
        <w:pStyle w:val="4"/>
        <w:bidi w:val="0"/>
        <w:rPr>
          <w:rFonts w:hint="eastAsia"/>
        </w:rPr>
      </w:pPr>
      <w:bookmarkStart w:id="292" w:name="_Toc19044"/>
      <w:r>
        <w:rPr>
          <w:rFonts w:hint="eastAsia"/>
          <w:lang w:val="en-US" w:eastAsia="zh-CN"/>
        </w:rPr>
        <w:t>主要原辅料</w:t>
      </w:r>
      <w:bookmarkEnd w:id="292"/>
    </w:p>
    <w:p w14:paraId="17E66A1A">
      <w:pPr>
        <w:pStyle w:val="12"/>
        <w:keepNext w:val="0"/>
        <w:keepLines w:val="0"/>
        <w:pageBreakBefore w:val="0"/>
        <w:widowControl w:val="0"/>
        <w:shd w:val="clear" w:color="auto" w:fill="FFFFFF"/>
        <w:kinsoku/>
        <w:bidi w:val="0"/>
        <w:spacing w:line="360" w:lineRule="auto"/>
        <w:jc w:val="center"/>
        <w:textAlignment w:val="baseline"/>
        <w:rPr>
          <w:rFonts w:hint="eastAsia"/>
        </w:rP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8</w:t>
      </w:r>
      <w:r>
        <w:fldChar w:fldCharType="end"/>
      </w:r>
      <w:r>
        <w:rPr>
          <w:rFonts w:hint="eastAsia"/>
          <w:lang w:val="en-US" w:eastAsia="zh-CN"/>
        </w:rPr>
        <w:t>主要原辅料</w:t>
      </w:r>
      <w:r>
        <w:rPr>
          <w:rFonts w:hint="eastAsia"/>
          <w:lang w:eastAsia="zh-CN"/>
        </w:rPr>
        <w:t>的贮存及使用情况一览表</w:t>
      </w:r>
    </w:p>
    <w:tbl>
      <w:tblPr>
        <w:tblStyle w:val="32"/>
        <w:tblW w:w="508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475"/>
        <w:gridCol w:w="1773"/>
        <w:gridCol w:w="1297"/>
        <w:gridCol w:w="1186"/>
        <w:gridCol w:w="1206"/>
        <w:gridCol w:w="1174"/>
        <w:gridCol w:w="1350"/>
      </w:tblGrid>
      <w:tr w14:paraId="1CA4B8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6" w:hRule="atLeast"/>
          <w:tblHeader/>
          <w:jc w:val="center"/>
        </w:trPr>
        <w:tc>
          <w:tcPr>
            <w:tcW w:w="281" w:type="pct"/>
            <w:tcBorders>
              <w:tl2br w:val="nil"/>
              <w:tr2bl w:val="nil"/>
            </w:tcBorders>
            <w:noWrap w:val="0"/>
            <w:vAlign w:val="center"/>
          </w:tcPr>
          <w:p w14:paraId="4D82F6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1047" w:type="pct"/>
            <w:tcBorders>
              <w:tl2br w:val="nil"/>
              <w:tr2bl w:val="nil"/>
            </w:tcBorders>
            <w:noWrap w:val="0"/>
            <w:vAlign w:val="center"/>
          </w:tcPr>
          <w:p w14:paraId="453914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名称</w:t>
            </w:r>
          </w:p>
        </w:tc>
        <w:tc>
          <w:tcPr>
            <w:tcW w:w="766" w:type="pct"/>
            <w:tcBorders>
              <w:tl2br w:val="nil"/>
              <w:tr2bl w:val="nil"/>
            </w:tcBorders>
            <w:noWrap w:val="0"/>
            <w:vAlign w:val="center"/>
          </w:tcPr>
          <w:p w14:paraId="7B705C76">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bCs/>
                <w:i w:val="0"/>
                <w:iCs w:val="0"/>
                <w:color w:val="000000"/>
                <w:kern w:val="0"/>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rPr>
              <w:t>规格</w:t>
            </w:r>
          </w:p>
        </w:tc>
        <w:tc>
          <w:tcPr>
            <w:tcW w:w="700" w:type="pct"/>
            <w:tcBorders>
              <w:tl2br w:val="nil"/>
              <w:tr2bl w:val="nil"/>
            </w:tcBorders>
            <w:noWrap w:val="0"/>
            <w:vAlign w:val="center"/>
          </w:tcPr>
          <w:p w14:paraId="3F5DE5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年用量</w:t>
            </w:r>
          </w:p>
        </w:tc>
        <w:tc>
          <w:tcPr>
            <w:tcW w:w="712" w:type="pct"/>
            <w:tcBorders>
              <w:tl2br w:val="nil"/>
              <w:tr2bl w:val="nil"/>
            </w:tcBorders>
            <w:noWrap w:val="0"/>
            <w:vAlign w:val="center"/>
          </w:tcPr>
          <w:p w14:paraId="77D062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最大储存量</w:t>
            </w:r>
          </w:p>
        </w:tc>
        <w:tc>
          <w:tcPr>
            <w:tcW w:w="693" w:type="pct"/>
            <w:tcBorders>
              <w:tl2br w:val="nil"/>
              <w:tr2bl w:val="nil"/>
            </w:tcBorders>
            <w:noWrap w:val="0"/>
            <w:vAlign w:val="center"/>
          </w:tcPr>
          <w:p w14:paraId="55CD44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eastAsia="zh-CN"/>
              </w:rPr>
              <w:t>贮存</w:t>
            </w:r>
            <w:r>
              <w:rPr>
                <w:rFonts w:hint="eastAsia" w:ascii="宋体" w:hAnsi="宋体" w:eastAsia="宋体" w:cs="宋体"/>
                <w:b/>
                <w:bCs/>
                <w:color w:val="000000"/>
                <w:sz w:val="21"/>
                <w:szCs w:val="21"/>
                <w:lang w:val="en-US" w:eastAsia="zh-CN"/>
              </w:rPr>
              <w:t>位置</w:t>
            </w:r>
          </w:p>
        </w:tc>
        <w:tc>
          <w:tcPr>
            <w:tcW w:w="797" w:type="pct"/>
            <w:tcBorders>
              <w:tl2br w:val="nil"/>
              <w:tr2bl w:val="nil"/>
            </w:tcBorders>
            <w:noWrap w:val="0"/>
            <w:vAlign w:val="center"/>
          </w:tcPr>
          <w:p w14:paraId="1CA8C8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cs="宋体"/>
                <w:b/>
                <w:bCs/>
                <w:i w:val="0"/>
                <w:iCs w:val="0"/>
                <w:color w:val="000000"/>
                <w:kern w:val="0"/>
                <w:sz w:val="21"/>
                <w:szCs w:val="21"/>
                <w:u w:val="none"/>
                <w:lang w:val="en-US" w:eastAsia="zh-CN"/>
              </w:rPr>
              <w:t>来源</w:t>
            </w:r>
          </w:p>
        </w:tc>
      </w:tr>
      <w:tr w14:paraId="0A612F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6" w:hRule="atLeast"/>
          <w:tblHeader/>
          <w:jc w:val="center"/>
        </w:trPr>
        <w:tc>
          <w:tcPr>
            <w:tcW w:w="281" w:type="pct"/>
            <w:tcBorders>
              <w:tl2br w:val="nil"/>
              <w:tr2bl w:val="nil"/>
            </w:tcBorders>
            <w:noWrap w:val="0"/>
            <w:vAlign w:val="center"/>
          </w:tcPr>
          <w:p w14:paraId="74FD6F21">
            <w:pPr>
              <w:keepNext w:val="0"/>
              <w:keepLines w:val="0"/>
              <w:pageBreakBefore w:val="0"/>
              <w:widowControl w:val="0"/>
              <w:numPr>
                <w:ilvl w:val="0"/>
                <w:numId w:val="16"/>
              </w:numPr>
              <w:suppressLineNumbers w:val="0"/>
              <w:tabs>
                <w:tab w:val="clear" w:pos="0"/>
              </w:tabs>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rPr>
                <w:rFonts w:hint="eastAsia" w:ascii="宋体" w:hAnsi="宋体" w:eastAsia="宋体" w:cs="宋体"/>
                <w:color w:val="000000"/>
                <w:sz w:val="21"/>
                <w:szCs w:val="21"/>
              </w:rPr>
            </w:pPr>
          </w:p>
        </w:tc>
        <w:tc>
          <w:tcPr>
            <w:tcW w:w="1047" w:type="pct"/>
            <w:tcBorders>
              <w:tl2br w:val="nil"/>
              <w:tr2bl w:val="nil"/>
            </w:tcBorders>
            <w:noWrap w:val="0"/>
            <w:vAlign w:val="center"/>
          </w:tcPr>
          <w:p w14:paraId="7C80150E">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锆英沙</w:t>
            </w:r>
          </w:p>
        </w:tc>
        <w:tc>
          <w:tcPr>
            <w:tcW w:w="766" w:type="pct"/>
            <w:tcBorders>
              <w:tl2br w:val="nil"/>
              <w:tr2bl w:val="nil"/>
            </w:tcBorders>
            <w:noWrap w:val="0"/>
            <w:vAlign w:val="center"/>
          </w:tcPr>
          <w:p w14:paraId="6976D8FD">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2吨/</w:t>
            </w:r>
            <w:r>
              <w:rPr>
                <w:rFonts w:hint="eastAsia" w:cs="宋体"/>
                <w:b w:val="0"/>
                <w:bCs w:val="0"/>
                <w:i w:val="0"/>
                <w:iCs w:val="0"/>
                <w:color w:val="000000"/>
                <w:kern w:val="0"/>
                <w:sz w:val="21"/>
                <w:szCs w:val="21"/>
                <w:u w:val="none"/>
                <w:lang w:val="en-US" w:eastAsia="zh-CN"/>
              </w:rPr>
              <w:t>袋</w:t>
            </w:r>
          </w:p>
        </w:tc>
        <w:tc>
          <w:tcPr>
            <w:tcW w:w="700" w:type="pct"/>
            <w:tcBorders>
              <w:tl2br w:val="nil"/>
              <w:tr2bl w:val="nil"/>
            </w:tcBorders>
            <w:noWrap w:val="0"/>
            <w:vAlign w:val="center"/>
          </w:tcPr>
          <w:p w14:paraId="4F94E480">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cs="宋体"/>
                <w:b w:val="0"/>
                <w:bCs w:val="0"/>
                <w:color w:val="000000"/>
                <w:sz w:val="21"/>
                <w:szCs w:val="21"/>
                <w:lang w:val="en-US" w:eastAsia="zh-CN"/>
              </w:rPr>
              <w:t>69736.30</w:t>
            </w:r>
            <w:r>
              <w:rPr>
                <w:rFonts w:hint="eastAsia" w:ascii="宋体" w:hAnsi="宋体" w:eastAsia="宋体" w:cs="宋体"/>
                <w:b w:val="0"/>
                <w:bCs w:val="0"/>
                <w:color w:val="000000"/>
                <w:sz w:val="21"/>
                <w:szCs w:val="21"/>
                <w:lang w:val="en-US" w:eastAsia="zh-CN"/>
              </w:rPr>
              <w:t>0t</w:t>
            </w:r>
          </w:p>
        </w:tc>
        <w:tc>
          <w:tcPr>
            <w:tcW w:w="712" w:type="pct"/>
            <w:tcBorders>
              <w:tl2br w:val="nil"/>
              <w:tr2bl w:val="nil"/>
            </w:tcBorders>
            <w:noWrap w:val="0"/>
            <w:vAlign w:val="center"/>
          </w:tcPr>
          <w:p w14:paraId="01277B6A">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1800t</w:t>
            </w:r>
          </w:p>
        </w:tc>
        <w:tc>
          <w:tcPr>
            <w:tcW w:w="693" w:type="pct"/>
            <w:tcBorders>
              <w:tl2br w:val="nil"/>
              <w:tr2bl w:val="nil"/>
            </w:tcBorders>
            <w:noWrap w:val="0"/>
            <w:vAlign w:val="center"/>
          </w:tcPr>
          <w:p w14:paraId="04BA80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宋体" w:hAnsi="宋体" w:eastAsia="宋体" w:cs="宋体"/>
                <w:b w:val="0"/>
                <w:bCs w:val="0"/>
                <w:color w:val="0000FF"/>
                <w:sz w:val="21"/>
                <w:szCs w:val="21"/>
                <w:lang w:val="en-US" w:eastAsia="zh-CN"/>
              </w:rPr>
            </w:pPr>
            <w:r>
              <w:rPr>
                <w:rFonts w:hint="eastAsia" w:ascii="宋体" w:hAnsi="宋体" w:eastAsia="宋体" w:cs="宋体"/>
                <w:b w:val="0"/>
                <w:bCs w:val="0"/>
                <w:color w:val="000000"/>
                <w:sz w:val="21"/>
                <w:szCs w:val="21"/>
                <w:lang w:val="en-US" w:eastAsia="zh-CN"/>
              </w:rPr>
              <w:t>室外</w:t>
            </w:r>
          </w:p>
        </w:tc>
        <w:tc>
          <w:tcPr>
            <w:tcW w:w="797" w:type="pct"/>
            <w:tcBorders>
              <w:tl2br w:val="nil"/>
              <w:tr2bl w:val="nil"/>
            </w:tcBorders>
            <w:noWrap w:val="0"/>
            <w:vAlign w:val="center"/>
          </w:tcPr>
          <w:p w14:paraId="50A0EB56">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cs="宋体"/>
                <w:b w:val="0"/>
                <w:bCs w:val="0"/>
                <w:i w:val="0"/>
                <w:iCs w:val="0"/>
                <w:color w:val="000000"/>
                <w:kern w:val="0"/>
                <w:sz w:val="21"/>
                <w:szCs w:val="21"/>
                <w:u w:val="none"/>
                <w:lang w:val="en-US" w:eastAsia="zh-CN"/>
              </w:rPr>
            </w:pPr>
            <w:r>
              <w:rPr>
                <w:rFonts w:hint="eastAsia" w:ascii="宋体" w:hAnsi="宋体" w:cs="宋体"/>
                <w:b w:val="0"/>
                <w:bCs w:val="0"/>
                <w:i w:val="0"/>
                <w:iCs w:val="0"/>
                <w:color w:val="000000"/>
                <w:kern w:val="0"/>
                <w:sz w:val="21"/>
                <w:szCs w:val="21"/>
                <w:u w:val="none"/>
                <w:lang w:val="en-US" w:eastAsia="zh-CN"/>
              </w:rPr>
              <w:t>澳大利亚进口</w:t>
            </w:r>
          </w:p>
        </w:tc>
      </w:tr>
      <w:tr w14:paraId="2BBAD6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6" w:hRule="atLeast"/>
          <w:tblHeader/>
          <w:jc w:val="center"/>
        </w:trPr>
        <w:tc>
          <w:tcPr>
            <w:tcW w:w="281" w:type="pct"/>
            <w:tcBorders>
              <w:tl2br w:val="nil"/>
              <w:tr2bl w:val="nil"/>
            </w:tcBorders>
            <w:noWrap w:val="0"/>
            <w:vAlign w:val="center"/>
          </w:tcPr>
          <w:p w14:paraId="321C2A97">
            <w:pPr>
              <w:keepNext w:val="0"/>
              <w:keepLines w:val="0"/>
              <w:pageBreakBefore w:val="0"/>
              <w:widowControl w:val="0"/>
              <w:numPr>
                <w:ilvl w:val="0"/>
                <w:numId w:val="16"/>
              </w:numPr>
              <w:suppressLineNumbers w:val="0"/>
              <w:tabs>
                <w:tab w:val="clear" w:pos="0"/>
              </w:tabs>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rPr>
                <w:rFonts w:hint="eastAsia" w:ascii="宋体" w:hAnsi="宋体" w:eastAsia="宋体" w:cs="宋体"/>
                <w:color w:val="000000"/>
                <w:sz w:val="21"/>
                <w:szCs w:val="21"/>
              </w:rPr>
            </w:pPr>
          </w:p>
        </w:tc>
        <w:tc>
          <w:tcPr>
            <w:tcW w:w="1047" w:type="pct"/>
            <w:tcBorders>
              <w:tl2br w:val="nil"/>
              <w:tr2bl w:val="nil"/>
            </w:tcBorders>
            <w:noWrap w:val="0"/>
            <w:vAlign w:val="center"/>
          </w:tcPr>
          <w:p w14:paraId="7767CFAF">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石油焦</w:t>
            </w:r>
          </w:p>
        </w:tc>
        <w:tc>
          <w:tcPr>
            <w:tcW w:w="766" w:type="pct"/>
            <w:tcBorders>
              <w:tl2br w:val="nil"/>
              <w:tr2bl w:val="nil"/>
            </w:tcBorders>
            <w:noWrap w:val="0"/>
            <w:vAlign w:val="center"/>
          </w:tcPr>
          <w:p w14:paraId="21DEDDDE">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0.9吨/</w:t>
            </w:r>
            <w:r>
              <w:rPr>
                <w:rFonts w:hint="eastAsia" w:cs="宋体"/>
                <w:b w:val="0"/>
                <w:bCs w:val="0"/>
                <w:i w:val="0"/>
                <w:iCs w:val="0"/>
                <w:color w:val="000000"/>
                <w:kern w:val="0"/>
                <w:sz w:val="21"/>
                <w:szCs w:val="21"/>
                <w:u w:val="none"/>
                <w:lang w:val="en-US" w:eastAsia="zh-CN"/>
              </w:rPr>
              <w:t>袋</w:t>
            </w:r>
          </w:p>
        </w:tc>
        <w:tc>
          <w:tcPr>
            <w:tcW w:w="700" w:type="pct"/>
            <w:tcBorders>
              <w:tl2br w:val="nil"/>
              <w:tr2bl w:val="nil"/>
            </w:tcBorders>
            <w:noWrap w:val="0"/>
            <w:vAlign w:val="center"/>
          </w:tcPr>
          <w:p w14:paraId="2BB06699">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color w:val="000000"/>
                <w:sz w:val="21"/>
                <w:szCs w:val="21"/>
                <w:lang w:val="en-US" w:eastAsia="zh-CN"/>
              </w:rPr>
              <w:t>600t</w:t>
            </w:r>
          </w:p>
        </w:tc>
        <w:tc>
          <w:tcPr>
            <w:tcW w:w="712" w:type="pct"/>
            <w:tcBorders>
              <w:tl2br w:val="nil"/>
              <w:tr2bl w:val="nil"/>
            </w:tcBorders>
            <w:noWrap w:val="0"/>
            <w:vAlign w:val="center"/>
          </w:tcPr>
          <w:p w14:paraId="59EF976F">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180t</w:t>
            </w:r>
          </w:p>
        </w:tc>
        <w:tc>
          <w:tcPr>
            <w:tcW w:w="693" w:type="pct"/>
            <w:tcBorders>
              <w:tl2br w:val="nil"/>
              <w:tr2bl w:val="nil"/>
            </w:tcBorders>
            <w:noWrap w:val="0"/>
            <w:vAlign w:val="center"/>
          </w:tcPr>
          <w:p w14:paraId="07F56B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宋体" w:hAnsi="宋体" w:eastAsia="宋体" w:cs="宋体"/>
                <w:b w:val="0"/>
                <w:bCs w:val="0"/>
                <w:color w:val="0000FF"/>
                <w:sz w:val="21"/>
                <w:szCs w:val="21"/>
                <w:lang w:val="en-US" w:eastAsia="zh-CN"/>
              </w:rPr>
            </w:pPr>
            <w:r>
              <w:rPr>
                <w:rFonts w:hint="eastAsia" w:ascii="宋体" w:hAnsi="宋体" w:eastAsia="宋体" w:cs="宋体"/>
                <w:b w:val="0"/>
                <w:bCs w:val="0"/>
                <w:color w:val="000000"/>
                <w:sz w:val="21"/>
                <w:szCs w:val="21"/>
                <w:lang w:val="en-US" w:eastAsia="zh-CN"/>
              </w:rPr>
              <w:t>1#联合车间</w:t>
            </w:r>
          </w:p>
        </w:tc>
        <w:tc>
          <w:tcPr>
            <w:tcW w:w="797" w:type="pct"/>
            <w:tcBorders>
              <w:tl2br w:val="nil"/>
              <w:tr2bl w:val="nil"/>
            </w:tcBorders>
            <w:noWrap w:val="0"/>
            <w:vAlign w:val="center"/>
          </w:tcPr>
          <w:p w14:paraId="04C645D2">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cs="宋体"/>
                <w:b w:val="0"/>
                <w:bCs w:val="0"/>
                <w:i w:val="0"/>
                <w:iCs w:val="0"/>
                <w:color w:val="000000"/>
                <w:kern w:val="0"/>
                <w:sz w:val="21"/>
                <w:szCs w:val="21"/>
                <w:u w:val="none"/>
                <w:lang w:val="en-US" w:eastAsia="zh-CN"/>
              </w:rPr>
            </w:pPr>
            <w:r>
              <w:rPr>
                <w:rFonts w:hint="eastAsia" w:ascii="宋体" w:hAnsi="宋体" w:cs="宋体"/>
                <w:b w:val="0"/>
                <w:bCs w:val="0"/>
                <w:i w:val="0"/>
                <w:iCs w:val="0"/>
                <w:color w:val="000000"/>
                <w:kern w:val="0"/>
                <w:sz w:val="21"/>
                <w:szCs w:val="21"/>
                <w:u w:val="none"/>
                <w:lang w:val="en-US" w:eastAsia="zh-CN"/>
              </w:rPr>
              <w:t>外购</w:t>
            </w:r>
          </w:p>
        </w:tc>
      </w:tr>
      <w:tr w14:paraId="109FDC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6" w:hRule="atLeast"/>
          <w:tblHeader/>
          <w:jc w:val="center"/>
        </w:trPr>
        <w:tc>
          <w:tcPr>
            <w:tcW w:w="281" w:type="pct"/>
            <w:tcBorders>
              <w:tl2br w:val="nil"/>
              <w:tr2bl w:val="nil"/>
            </w:tcBorders>
            <w:noWrap w:val="0"/>
            <w:vAlign w:val="center"/>
          </w:tcPr>
          <w:p w14:paraId="124C150B">
            <w:pPr>
              <w:keepNext w:val="0"/>
              <w:keepLines w:val="0"/>
              <w:pageBreakBefore w:val="0"/>
              <w:widowControl w:val="0"/>
              <w:numPr>
                <w:ilvl w:val="0"/>
                <w:numId w:val="16"/>
              </w:numPr>
              <w:suppressLineNumbers w:val="0"/>
              <w:tabs>
                <w:tab w:val="clear" w:pos="0"/>
              </w:tabs>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rPr>
                <w:rFonts w:hint="eastAsia" w:ascii="宋体" w:hAnsi="宋体" w:eastAsia="宋体" w:cs="宋体"/>
                <w:color w:val="000000"/>
                <w:sz w:val="21"/>
                <w:szCs w:val="21"/>
              </w:rPr>
            </w:pPr>
          </w:p>
        </w:tc>
        <w:tc>
          <w:tcPr>
            <w:tcW w:w="1047" w:type="pct"/>
            <w:tcBorders>
              <w:tl2br w:val="nil"/>
              <w:tr2bl w:val="nil"/>
            </w:tcBorders>
            <w:noWrap w:val="0"/>
            <w:vAlign w:val="center"/>
          </w:tcPr>
          <w:p w14:paraId="7FE8AADB">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氧气[压缩的]</w:t>
            </w:r>
          </w:p>
        </w:tc>
        <w:tc>
          <w:tcPr>
            <w:tcW w:w="766" w:type="pct"/>
            <w:tcBorders>
              <w:tl2br w:val="nil"/>
              <w:tr2bl w:val="nil"/>
            </w:tcBorders>
            <w:noWrap w:val="0"/>
            <w:vAlign w:val="center"/>
          </w:tcPr>
          <w:p w14:paraId="66214631">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钢瓶装</w:t>
            </w:r>
          </w:p>
        </w:tc>
        <w:tc>
          <w:tcPr>
            <w:tcW w:w="700" w:type="pct"/>
            <w:tcBorders>
              <w:tl2br w:val="nil"/>
              <w:tr2bl w:val="nil"/>
            </w:tcBorders>
            <w:noWrap w:val="0"/>
            <w:vAlign w:val="center"/>
          </w:tcPr>
          <w:p w14:paraId="0FAB64F3">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60瓶</w:t>
            </w:r>
          </w:p>
        </w:tc>
        <w:tc>
          <w:tcPr>
            <w:tcW w:w="712" w:type="pct"/>
            <w:tcBorders>
              <w:tl2br w:val="nil"/>
              <w:tr2bl w:val="nil"/>
            </w:tcBorders>
            <w:noWrap w:val="0"/>
            <w:vAlign w:val="center"/>
          </w:tcPr>
          <w:p w14:paraId="26397A0A">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1</w:t>
            </w:r>
            <w:r>
              <w:rPr>
                <w:rFonts w:hint="eastAsia" w:cs="宋体"/>
                <w:b w:val="0"/>
                <w:bCs w:val="0"/>
                <w:i w:val="0"/>
                <w:iCs w:val="0"/>
                <w:color w:val="000000"/>
                <w:kern w:val="0"/>
                <w:sz w:val="21"/>
                <w:szCs w:val="21"/>
                <w:u w:val="none"/>
                <w:lang w:val="en-US" w:eastAsia="zh-CN"/>
              </w:rPr>
              <w:t>0</w:t>
            </w:r>
            <w:r>
              <w:rPr>
                <w:rFonts w:hint="eastAsia" w:ascii="宋体" w:hAnsi="宋体" w:eastAsia="宋体" w:cs="宋体"/>
                <w:b w:val="0"/>
                <w:bCs w:val="0"/>
                <w:i w:val="0"/>
                <w:iCs w:val="0"/>
                <w:color w:val="000000"/>
                <w:kern w:val="0"/>
                <w:sz w:val="21"/>
                <w:szCs w:val="21"/>
                <w:u w:val="none"/>
                <w:lang w:val="en-US" w:eastAsia="zh-CN"/>
              </w:rPr>
              <w:t>瓶</w:t>
            </w:r>
          </w:p>
        </w:tc>
        <w:tc>
          <w:tcPr>
            <w:tcW w:w="693" w:type="pct"/>
            <w:tcBorders>
              <w:tl2br w:val="nil"/>
              <w:tr2bl w:val="nil"/>
            </w:tcBorders>
            <w:noWrap w:val="0"/>
            <w:vAlign w:val="center"/>
          </w:tcPr>
          <w:p w14:paraId="05AE29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气瓶</w:t>
            </w:r>
            <w:r>
              <w:rPr>
                <w:rFonts w:hint="eastAsia" w:cs="宋体"/>
                <w:b w:val="0"/>
                <w:bCs w:val="0"/>
                <w:color w:val="000000"/>
                <w:sz w:val="21"/>
                <w:szCs w:val="21"/>
                <w:lang w:val="en-US" w:eastAsia="zh-CN"/>
              </w:rPr>
              <w:t>储存区</w:t>
            </w:r>
          </w:p>
        </w:tc>
        <w:tc>
          <w:tcPr>
            <w:tcW w:w="797" w:type="pct"/>
            <w:tcBorders>
              <w:tl2br w:val="nil"/>
              <w:tr2bl w:val="nil"/>
            </w:tcBorders>
            <w:noWrap w:val="0"/>
            <w:vAlign w:val="center"/>
          </w:tcPr>
          <w:p w14:paraId="7598F5E0">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cs="宋体"/>
                <w:b w:val="0"/>
                <w:bCs w:val="0"/>
                <w:i w:val="0"/>
                <w:iCs w:val="0"/>
                <w:color w:val="000000"/>
                <w:kern w:val="0"/>
                <w:sz w:val="21"/>
                <w:szCs w:val="21"/>
                <w:u w:val="none"/>
                <w:lang w:val="en-US" w:eastAsia="zh-CN"/>
              </w:rPr>
            </w:pPr>
            <w:r>
              <w:rPr>
                <w:rFonts w:hint="eastAsia" w:ascii="宋体" w:hAnsi="宋体" w:cs="宋体"/>
                <w:b w:val="0"/>
                <w:bCs w:val="0"/>
                <w:i w:val="0"/>
                <w:iCs w:val="0"/>
                <w:color w:val="000000"/>
                <w:kern w:val="0"/>
                <w:sz w:val="21"/>
                <w:szCs w:val="21"/>
                <w:u w:val="none"/>
                <w:lang w:val="en-US" w:eastAsia="zh-CN"/>
              </w:rPr>
              <w:t>外购</w:t>
            </w:r>
          </w:p>
        </w:tc>
      </w:tr>
      <w:tr w14:paraId="6FD6C2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6" w:hRule="atLeast"/>
          <w:tblHeader/>
          <w:jc w:val="center"/>
        </w:trPr>
        <w:tc>
          <w:tcPr>
            <w:tcW w:w="281" w:type="pct"/>
            <w:tcBorders>
              <w:tl2br w:val="nil"/>
              <w:tr2bl w:val="nil"/>
            </w:tcBorders>
            <w:noWrap w:val="0"/>
            <w:vAlign w:val="center"/>
          </w:tcPr>
          <w:p w14:paraId="495E5D79">
            <w:pPr>
              <w:keepNext w:val="0"/>
              <w:keepLines w:val="0"/>
              <w:pageBreakBefore w:val="0"/>
              <w:widowControl w:val="0"/>
              <w:numPr>
                <w:ilvl w:val="0"/>
                <w:numId w:val="16"/>
              </w:numPr>
              <w:suppressLineNumbers w:val="0"/>
              <w:tabs>
                <w:tab w:val="clear" w:pos="0"/>
              </w:tabs>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rPr>
                <w:rFonts w:hint="eastAsia" w:ascii="宋体" w:hAnsi="宋体" w:eastAsia="宋体" w:cs="宋体"/>
                <w:color w:val="000000"/>
                <w:sz w:val="21"/>
                <w:szCs w:val="21"/>
              </w:rPr>
            </w:pPr>
          </w:p>
        </w:tc>
        <w:tc>
          <w:tcPr>
            <w:tcW w:w="1047" w:type="pct"/>
            <w:tcBorders>
              <w:tl2br w:val="nil"/>
              <w:tr2bl w:val="nil"/>
            </w:tcBorders>
            <w:noWrap w:val="0"/>
            <w:vAlign w:val="center"/>
          </w:tcPr>
          <w:p w14:paraId="70C3AF5A">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乙炔</w:t>
            </w:r>
          </w:p>
        </w:tc>
        <w:tc>
          <w:tcPr>
            <w:tcW w:w="766" w:type="pct"/>
            <w:tcBorders>
              <w:tl2br w:val="nil"/>
              <w:tr2bl w:val="nil"/>
            </w:tcBorders>
            <w:noWrap w:val="0"/>
            <w:vAlign w:val="center"/>
          </w:tcPr>
          <w:p w14:paraId="1036F8D9">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钢瓶装</w:t>
            </w:r>
          </w:p>
        </w:tc>
        <w:tc>
          <w:tcPr>
            <w:tcW w:w="700" w:type="pct"/>
            <w:tcBorders>
              <w:tl2br w:val="nil"/>
              <w:tr2bl w:val="nil"/>
            </w:tcBorders>
            <w:noWrap w:val="0"/>
            <w:vAlign w:val="center"/>
          </w:tcPr>
          <w:p w14:paraId="4492C13F">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30瓶</w:t>
            </w:r>
          </w:p>
        </w:tc>
        <w:tc>
          <w:tcPr>
            <w:tcW w:w="712" w:type="pct"/>
            <w:tcBorders>
              <w:tl2br w:val="nil"/>
              <w:tr2bl w:val="nil"/>
            </w:tcBorders>
            <w:noWrap w:val="0"/>
            <w:vAlign w:val="center"/>
          </w:tcPr>
          <w:p w14:paraId="43A2024A">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cs="宋体"/>
                <w:b w:val="0"/>
                <w:bCs w:val="0"/>
                <w:i w:val="0"/>
                <w:iCs w:val="0"/>
                <w:color w:val="000000"/>
                <w:kern w:val="0"/>
                <w:sz w:val="21"/>
                <w:szCs w:val="21"/>
                <w:u w:val="none"/>
                <w:lang w:val="en-US" w:eastAsia="zh-CN"/>
              </w:rPr>
              <w:t>/</w:t>
            </w:r>
          </w:p>
        </w:tc>
        <w:tc>
          <w:tcPr>
            <w:tcW w:w="1490" w:type="pct"/>
            <w:gridSpan w:val="2"/>
            <w:tcBorders>
              <w:tl2br w:val="nil"/>
              <w:tr2bl w:val="nil"/>
            </w:tcBorders>
            <w:noWrap w:val="0"/>
            <w:vAlign w:val="center"/>
          </w:tcPr>
          <w:p w14:paraId="56DD71ED">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cs="宋体"/>
                <w:b w:val="0"/>
                <w:bCs w:val="0"/>
                <w:i w:val="0"/>
                <w:iCs w:val="0"/>
                <w:color w:val="000000"/>
                <w:kern w:val="0"/>
                <w:sz w:val="21"/>
                <w:szCs w:val="21"/>
                <w:u w:val="none"/>
                <w:lang w:val="en-US" w:eastAsia="zh-CN"/>
              </w:rPr>
            </w:pPr>
            <w:r>
              <w:rPr>
                <w:rFonts w:hint="eastAsia" w:cs="宋体"/>
                <w:b w:val="0"/>
                <w:bCs w:val="0"/>
                <w:i w:val="0"/>
                <w:iCs w:val="0"/>
                <w:color w:val="000000"/>
                <w:kern w:val="0"/>
                <w:sz w:val="21"/>
                <w:szCs w:val="21"/>
                <w:u w:val="none"/>
                <w:lang w:val="en-US" w:eastAsia="zh-CN"/>
              </w:rPr>
              <w:t>现用现买，不储存</w:t>
            </w:r>
          </w:p>
        </w:tc>
      </w:tr>
      <w:tr w14:paraId="647568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6" w:hRule="atLeast"/>
          <w:tblHeader/>
          <w:jc w:val="center"/>
        </w:trPr>
        <w:tc>
          <w:tcPr>
            <w:tcW w:w="281" w:type="pct"/>
            <w:tcBorders>
              <w:tl2br w:val="nil"/>
              <w:tr2bl w:val="nil"/>
            </w:tcBorders>
            <w:noWrap w:val="0"/>
            <w:vAlign w:val="center"/>
          </w:tcPr>
          <w:p w14:paraId="2E99E78C">
            <w:pPr>
              <w:keepNext w:val="0"/>
              <w:keepLines w:val="0"/>
              <w:pageBreakBefore w:val="0"/>
              <w:widowControl w:val="0"/>
              <w:numPr>
                <w:ilvl w:val="0"/>
                <w:numId w:val="16"/>
              </w:numPr>
              <w:suppressLineNumbers w:val="0"/>
              <w:tabs>
                <w:tab w:val="clear" w:pos="0"/>
              </w:tabs>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rPr>
                <w:rFonts w:hint="eastAsia" w:ascii="宋体" w:hAnsi="宋体" w:eastAsia="宋体" w:cs="宋体"/>
                <w:color w:val="000000"/>
                <w:sz w:val="21"/>
                <w:szCs w:val="21"/>
              </w:rPr>
            </w:pPr>
          </w:p>
        </w:tc>
        <w:tc>
          <w:tcPr>
            <w:tcW w:w="1047" w:type="pct"/>
            <w:tcBorders>
              <w:tl2br w:val="nil"/>
              <w:tr2bl w:val="nil"/>
            </w:tcBorders>
            <w:noWrap w:val="0"/>
            <w:vAlign w:val="center"/>
          </w:tcPr>
          <w:p w14:paraId="50771BAD">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石墨电极</w:t>
            </w:r>
          </w:p>
        </w:tc>
        <w:tc>
          <w:tcPr>
            <w:tcW w:w="766" w:type="pct"/>
            <w:tcBorders>
              <w:tl2br w:val="nil"/>
              <w:tr2bl w:val="nil"/>
            </w:tcBorders>
            <w:noWrap w:val="0"/>
            <w:vAlign w:val="center"/>
          </w:tcPr>
          <w:p w14:paraId="6908E729">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0.4吨/根</w:t>
            </w:r>
          </w:p>
        </w:tc>
        <w:tc>
          <w:tcPr>
            <w:tcW w:w="700" w:type="pct"/>
            <w:tcBorders>
              <w:tl2br w:val="nil"/>
              <w:tr2bl w:val="nil"/>
            </w:tcBorders>
            <w:noWrap w:val="0"/>
            <w:vAlign w:val="center"/>
          </w:tcPr>
          <w:p w14:paraId="0ED384C9">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color w:val="000000"/>
                <w:sz w:val="21"/>
                <w:szCs w:val="21"/>
                <w:lang w:val="en-US" w:eastAsia="zh-CN"/>
              </w:rPr>
              <w:t>1000t</w:t>
            </w:r>
          </w:p>
        </w:tc>
        <w:tc>
          <w:tcPr>
            <w:tcW w:w="712" w:type="pct"/>
            <w:tcBorders>
              <w:tl2br w:val="nil"/>
              <w:tr2bl w:val="nil"/>
            </w:tcBorders>
            <w:noWrap w:val="0"/>
            <w:vAlign w:val="center"/>
          </w:tcPr>
          <w:p w14:paraId="544DE7F0">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eastAsia="宋体" w:cs="宋体"/>
                <w:b w:val="0"/>
                <w:bCs w:val="0"/>
                <w:i w:val="0"/>
                <w:iCs w:val="0"/>
                <w:color w:val="000000"/>
                <w:kern w:val="0"/>
                <w:sz w:val="21"/>
                <w:szCs w:val="21"/>
                <w:u w:val="none"/>
                <w:lang w:val="en-US" w:eastAsia="zh-CN"/>
              </w:rPr>
              <w:t>120t</w:t>
            </w:r>
          </w:p>
        </w:tc>
        <w:tc>
          <w:tcPr>
            <w:tcW w:w="693" w:type="pct"/>
            <w:tcBorders>
              <w:tl2br w:val="nil"/>
              <w:tr2bl w:val="nil"/>
            </w:tcBorders>
            <w:noWrap w:val="0"/>
            <w:vAlign w:val="center"/>
          </w:tcPr>
          <w:p w14:paraId="02FF8E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1#联合车间</w:t>
            </w:r>
          </w:p>
        </w:tc>
        <w:tc>
          <w:tcPr>
            <w:tcW w:w="797" w:type="pct"/>
            <w:tcBorders>
              <w:tl2br w:val="nil"/>
              <w:tr2bl w:val="nil"/>
            </w:tcBorders>
            <w:noWrap w:val="0"/>
            <w:vAlign w:val="center"/>
          </w:tcPr>
          <w:p w14:paraId="2C8B48E4">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bidi="ar-SA"/>
              </w:rPr>
            </w:pPr>
            <w:r>
              <w:rPr>
                <w:rFonts w:hint="eastAsia" w:ascii="宋体" w:hAnsi="宋体" w:cs="宋体"/>
                <w:b w:val="0"/>
                <w:bCs w:val="0"/>
                <w:i w:val="0"/>
                <w:iCs w:val="0"/>
                <w:color w:val="000000"/>
                <w:kern w:val="0"/>
                <w:sz w:val="21"/>
                <w:szCs w:val="21"/>
                <w:u w:val="none"/>
                <w:lang w:val="en-US" w:eastAsia="zh-CN"/>
              </w:rPr>
              <w:t>外购</w:t>
            </w:r>
          </w:p>
        </w:tc>
      </w:tr>
      <w:tr w14:paraId="235C76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6" w:hRule="atLeast"/>
          <w:tblHeader/>
          <w:jc w:val="center"/>
        </w:trPr>
        <w:tc>
          <w:tcPr>
            <w:tcW w:w="281" w:type="pct"/>
            <w:tcBorders>
              <w:tl2br w:val="nil"/>
              <w:tr2bl w:val="nil"/>
            </w:tcBorders>
            <w:noWrap w:val="0"/>
            <w:vAlign w:val="center"/>
          </w:tcPr>
          <w:p w14:paraId="6CAD5957">
            <w:pPr>
              <w:keepNext w:val="0"/>
              <w:keepLines w:val="0"/>
              <w:pageBreakBefore w:val="0"/>
              <w:widowControl w:val="0"/>
              <w:numPr>
                <w:ilvl w:val="0"/>
                <w:numId w:val="16"/>
              </w:numPr>
              <w:suppressLineNumbers w:val="0"/>
              <w:tabs>
                <w:tab w:val="clear" w:pos="0"/>
              </w:tabs>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rPr>
                <w:rFonts w:hint="eastAsia" w:ascii="宋体" w:hAnsi="宋体" w:eastAsia="宋体" w:cs="宋体"/>
                <w:color w:val="000000"/>
                <w:sz w:val="21"/>
                <w:szCs w:val="21"/>
              </w:rPr>
            </w:pPr>
            <w:bookmarkStart w:id="293" w:name="_Toc25830"/>
          </w:p>
        </w:tc>
        <w:tc>
          <w:tcPr>
            <w:tcW w:w="1047" w:type="pct"/>
            <w:tcBorders>
              <w:tl2br w:val="nil"/>
              <w:tr2bl w:val="nil"/>
            </w:tcBorders>
            <w:noWrap w:val="0"/>
            <w:vAlign w:val="center"/>
          </w:tcPr>
          <w:p w14:paraId="09B4D7F9">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u w:val="none"/>
                <w:lang w:val="en-US" w:eastAsia="zh-CN"/>
              </w:rPr>
            </w:pPr>
            <w:r>
              <w:rPr>
                <w:rFonts w:hint="eastAsia" w:ascii="宋体" w:hAnsi="宋体" w:eastAsia="宋体" w:cs="宋体"/>
                <w:b w:val="0"/>
                <w:bCs w:val="0"/>
                <w:i w:val="0"/>
                <w:iCs w:val="0"/>
                <w:color w:val="000000"/>
                <w:kern w:val="0"/>
                <w:sz w:val="21"/>
                <w:szCs w:val="21"/>
                <w:u w:val="none"/>
                <w:lang w:val="en-US" w:eastAsia="zh-CN"/>
              </w:rPr>
              <w:t>盐酸</w:t>
            </w:r>
          </w:p>
        </w:tc>
        <w:tc>
          <w:tcPr>
            <w:tcW w:w="766" w:type="pct"/>
            <w:tcBorders>
              <w:tl2br w:val="nil"/>
              <w:tr2bl w:val="nil"/>
            </w:tcBorders>
            <w:noWrap w:val="0"/>
            <w:vAlign w:val="center"/>
          </w:tcPr>
          <w:p w14:paraId="76B4C86C">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 w:val="0"/>
                <w:bCs w:val="0"/>
                <w:i w:val="0"/>
                <w:iCs w:val="0"/>
                <w:color w:val="000000"/>
                <w:kern w:val="0"/>
                <w:sz w:val="21"/>
                <w:szCs w:val="21"/>
                <w:u w:val="none"/>
                <w:lang w:val="en-US" w:eastAsia="zh-CN"/>
              </w:rPr>
            </w:pPr>
            <w:r>
              <w:rPr>
                <w:rFonts w:hint="eastAsia" w:cs="宋体"/>
                <w:b w:val="0"/>
                <w:bCs w:val="0"/>
                <w:i w:val="0"/>
                <w:iCs w:val="0"/>
                <w:color w:val="000000"/>
                <w:kern w:val="0"/>
                <w:sz w:val="21"/>
                <w:szCs w:val="21"/>
                <w:u w:val="none"/>
                <w:lang w:val="en-US" w:eastAsia="zh-CN"/>
              </w:rPr>
              <w:t>瓶装</w:t>
            </w:r>
          </w:p>
        </w:tc>
        <w:tc>
          <w:tcPr>
            <w:tcW w:w="700" w:type="pct"/>
            <w:tcBorders>
              <w:tl2br w:val="nil"/>
              <w:tr2bl w:val="nil"/>
            </w:tcBorders>
            <w:noWrap w:val="0"/>
            <w:vAlign w:val="center"/>
          </w:tcPr>
          <w:p w14:paraId="08035726">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 w:val="0"/>
                <w:bCs w:val="0"/>
                <w:color w:val="000000"/>
                <w:sz w:val="21"/>
                <w:szCs w:val="21"/>
                <w:lang w:val="en-US" w:eastAsia="zh-CN"/>
              </w:rPr>
            </w:pPr>
            <w:r>
              <w:rPr>
                <w:rFonts w:hint="eastAsia" w:cs="宋体"/>
                <w:b w:val="0"/>
                <w:bCs w:val="0"/>
                <w:color w:val="000000"/>
                <w:sz w:val="21"/>
                <w:szCs w:val="21"/>
                <w:lang w:val="en-US" w:eastAsia="zh-CN"/>
              </w:rPr>
              <w:t>10L</w:t>
            </w:r>
          </w:p>
        </w:tc>
        <w:tc>
          <w:tcPr>
            <w:tcW w:w="712" w:type="pct"/>
            <w:tcBorders>
              <w:tl2br w:val="nil"/>
              <w:tr2bl w:val="nil"/>
            </w:tcBorders>
            <w:noWrap w:val="0"/>
            <w:vAlign w:val="center"/>
          </w:tcPr>
          <w:p w14:paraId="293F0297">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 w:val="0"/>
                <w:bCs w:val="0"/>
                <w:i w:val="0"/>
                <w:iCs w:val="0"/>
                <w:color w:val="000000"/>
                <w:kern w:val="0"/>
                <w:sz w:val="21"/>
                <w:szCs w:val="21"/>
                <w:u w:val="none"/>
                <w:lang w:val="en-US" w:eastAsia="zh-CN"/>
              </w:rPr>
            </w:pPr>
            <w:r>
              <w:rPr>
                <w:rFonts w:hint="eastAsia" w:cs="宋体"/>
                <w:b w:val="0"/>
                <w:bCs w:val="0"/>
                <w:i w:val="0"/>
                <w:iCs w:val="0"/>
                <w:color w:val="000000"/>
                <w:kern w:val="0"/>
                <w:sz w:val="21"/>
                <w:szCs w:val="21"/>
                <w:u w:val="none"/>
                <w:lang w:val="en-US" w:eastAsia="zh-CN"/>
              </w:rPr>
              <w:t>5L</w:t>
            </w:r>
          </w:p>
        </w:tc>
        <w:tc>
          <w:tcPr>
            <w:tcW w:w="693" w:type="pct"/>
            <w:tcBorders>
              <w:tl2br w:val="nil"/>
              <w:tr2bl w:val="nil"/>
            </w:tcBorders>
            <w:noWrap w:val="0"/>
            <w:vAlign w:val="center"/>
          </w:tcPr>
          <w:p w14:paraId="4C4521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宋体" w:hAnsi="宋体" w:eastAsia="宋体" w:cs="宋体"/>
                <w:b w:val="0"/>
                <w:bCs w:val="0"/>
                <w:color w:val="000000"/>
                <w:sz w:val="21"/>
                <w:szCs w:val="21"/>
                <w:lang w:val="en-US" w:eastAsia="zh-CN"/>
              </w:rPr>
            </w:pPr>
            <w:r>
              <w:rPr>
                <w:rFonts w:hint="eastAsia" w:cs="宋体"/>
                <w:b w:val="0"/>
                <w:bCs w:val="0"/>
                <w:color w:val="000000"/>
                <w:sz w:val="21"/>
                <w:szCs w:val="21"/>
                <w:lang w:val="en-US" w:eastAsia="zh-CN"/>
              </w:rPr>
              <w:t>化验室</w:t>
            </w:r>
          </w:p>
        </w:tc>
        <w:tc>
          <w:tcPr>
            <w:tcW w:w="797" w:type="pct"/>
            <w:tcBorders>
              <w:tl2br w:val="nil"/>
              <w:tr2bl w:val="nil"/>
            </w:tcBorders>
            <w:noWrap w:val="0"/>
            <w:vAlign w:val="center"/>
          </w:tcPr>
          <w:p w14:paraId="7519D868">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cs="宋体"/>
                <w:b w:val="0"/>
                <w:bCs w:val="0"/>
                <w:i w:val="0"/>
                <w:iCs w:val="0"/>
                <w:color w:val="000000"/>
                <w:kern w:val="0"/>
                <w:sz w:val="21"/>
                <w:szCs w:val="21"/>
                <w:u w:val="none"/>
                <w:lang w:val="en-US" w:eastAsia="zh-CN"/>
              </w:rPr>
            </w:pPr>
            <w:r>
              <w:rPr>
                <w:rFonts w:hint="eastAsia" w:ascii="宋体" w:hAnsi="宋体" w:cs="宋体"/>
                <w:b w:val="0"/>
                <w:bCs w:val="0"/>
                <w:i w:val="0"/>
                <w:iCs w:val="0"/>
                <w:color w:val="000000"/>
                <w:kern w:val="0"/>
                <w:sz w:val="21"/>
                <w:szCs w:val="21"/>
                <w:u w:val="none"/>
                <w:lang w:val="en-US" w:eastAsia="zh-CN"/>
              </w:rPr>
              <w:t>外购</w:t>
            </w:r>
          </w:p>
        </w:tc>
      </w:tr>
    </w:tbl>
    <w:p w14:paraId="32FCAC36">
      <w:pPr>
        <w:keepNext w:val="0"/>
        <w:keepLines w:val="0"/>
        <w:pageBreakBefore w:val="0"/>
        <w:widowControl w:val="0"/>
        <w:numPr>
          <w:ilvl w:val="0"/>
          <w:numId w:val="17"/>
        </w:numPr>
        <w:kinsoku/>
        <w:wordWrap/>
        <w:overflowPunct/>
        <w:topLinePunct w:val="0"/>
        <w:autoSpaceDE/>
        <w:autoSpaceDN/>
        <w:bidi w:val="0"/>
        <w:adjustRightInd w:val="0"/>
        <w:snapToGrid/>
        <w:ind w:left="0" w:leftChars="0" w:firstLine="560" w:firstLineChars="200"/>
        <w:jc w:val="left"/>
        <w:textAlignment w:val="auto"/>
        <w:outlineLvl w:val="9"/>
        <w:rPr>
          <w:rFonts w:hint="eastAsia" w:ascii="宋体" w:hAnsi="宋体" w:eastAsia="宋体" w:cs="宋体"/>
        </w:rPr>
      </w:pPr>
      <w:r>
        <w:rPr>
          <w:rFonts w:hint="eastAsia" w:ascii="宋体" w:hAnsi="宋体" w:eastAsia="宋体" w:cs="宋体"/>
        </w:rPr>
        <w:t>锆英砂：一种以锆的硅酸盐（ZrSiO</w:t>
      </w:r>
      <w:r>
        <w:rPr>
          <w:rFonts w:hint="eastAsia" w:ascii="宋体" w:hAnsi="宋体" w:eastAsia="宋体" w:cs="宋体"/>
          <w:vertAlign w:val="subscript"/>
        </w:rPr>
        <w:t>4</w:t>
      </w:r>
      <w:r>
        <w:rPr>
          <w:rFonts w:hint="eastAsia" w:ascii="宋体" w:hAnsi="宋体" w:eastAsia="宋体" w:cs="宋体"/>
        </w:rPr>
        <w:t>）为主要组成的无色透明晶体。晶体构造属四方晶系，呈四方锥柱形，比重4.6-4.71，折射率1.93-2.01，熔点随所含杂质的不同而不同。主要化学组成分为ZrO</w:t>
      </w:r>
      <w:r>
        <w:rPr>
          <w:rFonts w:hint="eastAsia" w:ascii="宋体" w:hAnsi="宋体" w:eastAsia="宋体" w:cs="宋体"/>
          <w:vertAlign w:val="subscript"/>
        </w:rPr>
        <w:t>2</w:t>
      </w:r>
      <w:r>
        <w:rPr>
          <w:rFonts w:hint="eastAsia" w:ascii="宋体" w:hAnsi="宋体" w:eastAsia="宋体" w:cs="宋体"/>
        </w:rPr>
        <w:t>、SiO</w:t>
      </w:r>
      <w:r>
        <w:rPr>
          <w:rFonts w:hint="eastAsia" w:ascii="宋体" w:hAnsi="宋体" w:eastAsia="宋体" w:cs="宋体"/>
          <w:vertAlign w:val="subscript"/>
        </w:rPr>
        <w:t>2</w:t>
      </w:r>
      <w:r>
        <w:rPr>
          <w:rFonts w:hint="eastAsia" w:ascii="宋体" w:hAnsi="宋体" w:eastAsia="宋体" w:cs="宋体"/>
        </w:rPr>
        <w:t>及少量Fe</w:t>
      </w:r>
      <w:r>
        <w:rPr>
          <w:rFonts w:hint="eastAsia" w:ascii="宋体" w:hAnsi="宋体" w:eastAsia="宋体" w:cs="宋体"/>
          <w:vertAlign w:val="subscript"/>
        </w:rPr>
        <w:t>2</w:t>
      </w:r>
      <w:r>
        <w:rPr>
          <w:rFonts w:hint="eastAsia" w:ascii="宋体" w:hAnsi="宋体" w:eastAsia="宋体" w:cs="宋体"/>
        </w:rPr>
        <w:t>O</w:t>
      </w:r>
      <w:r>
        <w:rPr>
          <w:rFonts w:hint="eastAsia" w:ascii="宋体" w:hAnsi="宋体" w:eastAsia="宋体" w:cs="宋体"/>
          <w:vertAlign w:val="subscript"/>
        </w:rPr>
        <w:t>3</w:t>
      </w:r>
      <w:r>
        <w:rPr>
          <w:rFonts w:hint="eastAsia" w:ascii="宋体" w:hAnsi="宋体" w:eastAsia="宋体" w:cs="宋体"/>
        </w:rPr>
        <w:t>、CaO、Al</w:t>
      </w:r>
      <w:r>
        <w:rPr>
          <w:rFonts w:hint="eastAsia" w:ascii="宋体" w:hAnsi="宋体" w:eastAsia="宋体" w:cs="宋体"/>
          <w:vertAlign w:val="subscript"/>
        </w:rPr>
        <w:t>2</w:t>
      </w:r>
      <w:r>
        <w:rPr>
          <w:rFonts w:hint="eastAsia" w:ascii="宋体" w:hAnsi="宋体" w:eastAsia="宋体" w:cs="宋体"/>
        </w:rPr>
        <w:t>O</w:t>
      </w:r>
      <w:r>
        <w:rPr>
          <w:rFonts w:hint="eastAsia" w:ascii="宋体" w:hAnsi="宋体" w:eastAsia="宋体" w:cs="宋体"/>
          <w:vertAlign w:val="subscript"/>
        </w:rPr>
        <w:t>3</w:t>
      </w:r>
      <w:r>
        <w:rPr>
          <w:rFonts w:hint="eastAsia" w:ascii="宋体" w:hAnsi="宋体" w:eastAsia="宋体" w:cs="宋体"/>
        </w:rPr>
        <w:t>等杂质。其中ZrO</w:t>
      </w:r>
      <w:r>
        <w:rPr>
          <w:rFonts w:hint="eastAsia" w:ascii="宋体" w:hAnsi="宋体" w:eastAsia="宋体" w:cs="宋体"/>
          <w:vertAlign w:val="subscript"/>
        </w:rPr>
        <w:t>2</w:t>
      </w:r>
      <w:r>
        <w:rPr>
          <w:rFonts w:hint="eastAsia" w:ascii="宋体" w:hAnsi="宋体" w:eastAsia="宋体" w:cs="宋体"/>
        </w:rPr>
        <w:t>+HfO</w:t>
      </w:r>
      <w:r>
        <w:rPr>
          <w:rFonts w:hint="eastAsia" w:ascii="宋体" w:hAnsi="宋体" w:eastAsia="宋体" w:cs="宋体"/>
          <w:vertAlign w:val="subscript"/>
        </w:rPr>
        <w:t>2</w:t>
      </w:r>
      <w:r>
        <w:rPr>
          <w:rFonts w:hint="eastAsia" w:ascii="宋体" w:hAnsi="宋体" w:eastAsia="宋体" w:cs="宋体"/>
        </w:rPr>
        <w:t>含量66.1%，Fe</w:t>
      </w:r>
      <w:r>
        <w:rPr>
          <w:rFonts w:hint="eastAsia" w:ascii="宋体" w:hAnsi="宋体" w:eastAsia="宋体" w:cs="宋体"/>
          <w:vertAlign w:val="subscript"/>
        </w:rPr>
        <w:t>2</w:t>
      </w:r>
      <w:r>
        <w:rPr>
          <w:rFonts w:hint="eastAsia" w:ascii="宋体" w:hAnsi="宋体" w:eastAsia="宋体" w:cs="宋体"/>
        </w:rPr>
        <w:t>O</w:t>
      </w:r>
      <w:r>
        <w:rPr>
          <w:rFonts w:hint="eastAsia" w:ascii="宋体" w:hAnsi="宋体" w:eastAsia="宋体" w:cs="宋体"/>
          <w:vertAlign w:val="subscript"/>
        </w:rPr>
        <w:t>3</w:t>
      </w:r>
      <w:r>
        <w:rPr>
          <w:rFonts w:hint="eastAsia" w:ascii="宋体" w:hAnsi="宋体" w:eastAsia="宋体" w:cs="宋体"/>
        </w:rPr>
        <w:t>含量0.09%，SiO</w:t>
      </w:r>
      <w:r>
        <w:rPr>
          <w:rFonts w:hint="eastAsia" w:ascii="宋体" w:hAnsi="宋体" w:eastAsia="宋体" w:cs="宋体"/>
          <w:vertAlign w:val="subscript"/>
        </w:rPr>
        <w:t>2</w:t>
      </w:r>
      <w:r>
        <w:rPr>
          <w:rFonts w:hint="eastAsia" w:ascii="宋体" w:hAnsi="宋体" w:eastAsia="宋体" w:cs="宋体"/>
        </w:rPr>
        <w:t>含量33.1%，Al</w:t>
      </w:r>
      <w:r>
        <w:rPr>
          <w:rFonts w:hint="eastAsia" w:ascii="宋体" w:hAnsi="宋体" w:eastAsia="宋体" w:cs="宋体"/>
          <w:vertAlign w:val="subscript"/>
        </w:rPr>
        <w:t>2</w:t>
      </w:r>
      <w:r>
        <w:rPr>
          <w:rFonts w:hint="eastAsia" w:ascii="宋体" w:hAnsi="宋体" w:eastAsia="宋体" w:cs="宋体"/>
        </w:rPr>
        <w:t>O</w:t>
      </w:r>
      <w:r>
        <w:rPr>
          <w:rFonts w:hint="eastAsia" w:ascii="宋体" w:hAnsi="宋体" w:eastAsia="宋体" w:cs="宋体"/>
          <w:vertAlign w:val="subscript"/>
        </w:rPr>
        <w:t>3</w:t>
      </w:r>
      <w:r>
        <w:rPr>
          <w:rFonts w:hint="eastAsia" w:ascii="宋体" w:hAnsi="宋体" w:eastAsia="宋体" w:cs="宋体"/>
        </w:rPr>
        <w:t>含量0.22%，TiO</w:t>
      </w:r>
      <w:r>
        <w:rPr>
          <w:rFonts w:hint="eastAsia" w:ascii="宋体" w:hAnsi="宋体" w:eastAsia="宋体" w:cs="宋体"/>
          <w:vertAlign w:val="subscript"/>
        </w:rPr>
        <w:t>2</w:t>
      </w:r>
      <w:r>
        <w:rPr>
          <w:rFonts w:hint="eastAsia" w:ascii="宋体" w:hAnsi="宋体" w:eastAsia="宋体" w:cs="宋体"/>
        </w:rPr>
        <w:t>含量0.14%。</w:t>
      </w:r>
    </w:p>
    <w:p w14:paraId="5AAEF2E0">
      <w:pPr>
        <w:keepNext w:val="0"/>
        <w:keepLines w:val="0"/>
        <w:pageBreakBefore w:val="0"/>
        <w:widowControl w:val="0"/>
        <w:numPr>
          <w:ilvl w:val="0"/>
          <w:numId w:val="17"/>
        </w:numPr>
        <w:kinsoku/>
        <w:wordWrap/>
        <w:overflowPunct/>
        <w:topLinePunct w:val="0"/>
        <w:autoSpaceDE/>
        <w:autoSpaceDN/>
        <w:bidi w:val="0"/>
        <w:adjustRightInd w:val="0"/>
        <w:snapToGrid/>
        <w:ind w:left="0" w:leftChars="0" w:firstLine="560" w:firstLineChars="200"/>
        <w:jc w:val="left"/>
        <w:textAlignment w:val="auto"/>
        <w:outlineLvl w:val="9"/>
        <w:rPr>
          <w:rFonts w:hint="eastAsia" w:ascii="宋体" w:hAnsi="宋体" w:eastAsia="宋体" w:cs="宋体"/>
        </w:rPr>
      </w:pPr>
      <w:r>
        <w:rPr>
          <w:rFonts w:hint="eastAsia" w:ascii="宋体" w:hAnsi="宋体" w:eastAsia="宋体" w:cs="宋体"/>
        </w:rPr>
        <w:t>石油焦成分：固定碳99.07%、水分（0.17%）、灰分（0.39%）、挥发分（0.37%）、硫分（0.10%）、</w:t>
      </w:r>
      <w:r>
        <w:rPr>
          <w:rFonts w:hint="eastAsia" w:ascii="宋体" w:hAnsi="宋体" w:eastAsia="宋体" w:cs="宋体"/>
          <w:lang w:eastAsia="zh-CN"/>
        </w:rPr>
        <w:t>其比重</w:t>
      </w:r>
      <w:r>
        <w:rPr>
          <w:rFonts w:hint="eastAsia" w:ascii="宋体" w:hAnsi="宋体" w:eastAsia="宋体" w:cs="宋体"/>
        </w:rPr>
        <w:t>（2.08）、低温热值7800千卡/kg</w:t>
      </w:r>
      <w:r>
        <w:rPr>
          <w:rFonts w:hint="eastAsia" w:ascii="宋体" w:hAnsi="宋体" w:eastAsia="宋体" w:cs="宋体"/>
          <w:lang w:eastAsia="zh-CN"/>
        </w:rPr>
        <w:t>。</w:t>
      </w:r>
    </w:p>
    <w:p w14:paraId="6D949747">
      <w:pPr>
        <w:keepNext w:val="0"/>
        <w:keepLines w:val="0"/>
        <w:pageBreakBefore w:val="0"/>
        <w:widowControl w:val="0"/>
        <w:numPr>
          <w:ilvl w:val="0"/>
          <w:numId w:val="17"/>
        </w:numPr>
        <w:kinsoku/>
        <w:wordWrap/>
        <w:overflowPunct/>
        <w:topLinePunct w:val="0"/>
        <w:autoSpaceDE/>
        <w:autoSpaceDN/>
        <w:bidi w:val="0"/>
        <w:adjustRightInd w:val="0"/>
        <w:snapToGrid/>
        <w:ind w:left="0" w:leftChars="0" w:firstLine="560" w:firstLineChars="200"/>
        <w:jc w:val="left"/>
        <w:textAlignment w:val="auto"/>
        <w:outlineLvl w:val="9"/>
        <w:rPr>
          <w:rFonts w:hint="eastAsia" w:ascii="宋体" w:hAnsi="宋体" w:eastAsia="宋体" w:cs="宋体"/>
        </w:rPr>
      </w:pPr>
      <w:r>
        <w:rPr>
          <w:rFonts w:hint="eastAsia" w:ascii="宋体" w:hAnsi="宋体" w:eastAsia="宋体" w:cs="宋体"/>
        </w:rPr>
        <w:t>石墨电极成分：含碳量95%、灰分0.1%、硫分0.01%、挥发</w:t>
      </w:r>
      <w:r>
        <w:rPr>
          <w:rFonts w:hint="eastAsia" w:ascii="宋体" w:hAnsi="宋体" w:eastAsia="宋体" w:cs="宋体"/>
          <w:lang w:eastAsia="zh-CN"/>
        </w:rPr>
        <w:t>分</w:t>
      </w:r>
      <w:r>
        <w:rPr>
          <w:rFonts w:hint="eastAsia" w:ascii="宋体" w:hAnsi="宋体" w:eastAsia="宋体" w:cs="宋体"/>
        </w:rPr>
        <w:t>10.1%、粉末电阻率5.1uΩm。</w:t>
      </w:r>
    </w:p>
    <w:p w14:paraId="62E465A2">
      <w:pPr>
        <w:pStyle w:val="4"/>
        <w:keepNext w:val="0"/>
        <w:keepLines w:val="0"/>
        <w:pageBreakBefore w:val="0"/>
        <w:widowControl w:val="0"/>
        <w:kinsoku/>
        <w:bidi w:val="0"/>
        <w:rPr>
          <w:rFonts w:hint="eastAsia"/>
        </w:rPr>
      </w:pPr>
      <w:bookmarkStart w:id="294" w:name="_Toc2478"/>
      <w:r>
        <w:rPr>
          <w:rFonts w:hint="eastAsia"/>
        </w:rPr>
        <w:t>动力消耗</w:t>
      </w:r>
      <w:bookmarkEnd w:id="293"/>
      <w:bookmarkEnd w:id="294"/>
    </w:p>
    <w:p w14:paraId="15806BE4">
      <w:pPr>
        <w:pStyle w:val="12"/>
        <w:keepNext w:val="0"/>
        <w:keepLines w:val="0"/>
        <w:pageBreakBefore w:val="0"/>
        <w:widowControl w:val="0"/>
        <w:shd w:val="clear" w:color="auto" w:fill="FFFFFF"/>
        <w:kinsoku/>
        <w:bidi w:val="0"/>
        <w:spacing w:line="360" w:lineRule="auto"/>
        <w:jc w:val="center"/>
        <w:textAlignment w:val="baseline"/>
        <w:rPr>
          <w:rFonts w:hint="eastAsia"/>
          <w:highlight w:val="none"/>
        </w:rPr>
      </w:pPr>
      <w:r>
        <w:rPr>
          <w:highlight w:val="none"/>
        </w:rPr>
        <w:t xml:space="preserve">表 </w:t>
      </w:r>
      <w:r>
        <w:rPr>
          <w:highlight w:val="none"/>
        </w:rPr>
        <w:fldChar w:fldCharType="begin"/>
      </w:r>
      <w:r>
        <w:rPr>
          <w:highlight w:val="none"/>
        </w:rPr>
        <w:instrText xml:space="preserve"> STYLEREF 1 \s </w:instrText>
      </w:r>
      <w:r>
        <w:rPr>
          <w:highlight w:val="none"/>
        </w:rPr>
        <w:fldChar w:fldCharType="separate"/>
      </w:r>
      <w:r>
        <w:rPr>
          <w:highlight w:val="none"/>
        </w:rPr>
        <w:t>2</w:t>
      </w:r>
      <w:r>
        <w:rPr>
          <w:highlight w:val="none"/>
        </w:rPr>
        <w:fldChar w:fldCharType="end"/>
      </w:r>
      <w:r>
        <w:rPr>
          <w:rFonts w:hint="eastAsia"/>
          <w:highlight w:val="none"/>
          <w:lang w:eastAsia="zh-CN"/>
        </w:rPr>
        <w:t>-</w:t>
      </w:r>
      <w:r>
        <w:rPr>
          <w:highlight w:val="none"/>
        </w:rPr>
        <w:fldChar w:fldCharType="begin"/>
      </w:r>
      <w:r>
        <w:rPr>
          <w:highlight w:val="none"/>
        </w:rPr>
        <w:instrText xml:space="preserve"> SEQ 表 \* ARABIC \s 1 </w:instrText>
      </w:r>
      <w:r>
        <w:rPr>
          <w:highlight w:val="none"/>
        </w:rPr>
        <w:fldChar w:fldCharType="separate"/>
      </w:r>
      <w:r>
        <w:rPr>
          <w:highlight w:val="none"/>
        </w:rPr>
        <w:t>9</w:t>
      </w:r>
      <w:r>
        <w:rPr>
          <w:highlight w:val="none"/>
        </w:rPr>
        <w:fldChar w:fldCharType="end"/>
      </w:r>
      <w:r>
        <w:rPr>
          <w:rFonts w:hint="eastAsia"/>
          <w:highlight w:val="none"/>
        </w:rPr>
        <w:t>动力消耗表</w:t>
      </w:r>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37"/>
        <w:gridCol w:w="2269"/>
        <w:gridCol w:w="1705"/>
        <w:gridCol w:w="2269"/>
        <w:gridCol w:w="1139"/>
      </w:tblGrid>
      <w:tr w14:paraId="44D420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667" w:type="pct"/>
            <w:tcBorders>
              <w:tl2br w:val="nil"/>
              <w:tr2bl w:val="nil"/>
            </w:tcBorders>
            <w:noWrap w:val="0"/>
            <w:vAlign w:val="center"/>
          </w:tcPr>
          <w:p w14:paraId="12F497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序号</w:t>
            </w:r>
          </w:p>
        </w:tc>
        <w:tc>
          <w:tcPr>
            <w:tcW w:w="1331" w:type="pct"/>
            <w:tcBorders>
              <w:tl2br w:val="nil"/>
              <w:tr2bl w:val="nil"/>
            </w:tcBorders>
            <w:noWrap w:val="0"/>
            <w:vAlign w:val="center"/>
          </w:tcPr>
          <w:p w14:paraId="02038C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名称</w:t>
            </w:r>
          </w:p>
        </w:tc>
        <w:tc>
          <w:tcPr>
            <w:tcW w:w="1000" w:type="pct"/>
            <w:tcBorders>
              <w:tl2br w:val="nil"/>
              <w:tr2bl w:val="nil"/>
            </w:tcBorders>
            <w:noWrap w:val="0"/>
            <w:vAlign w:val="center"/>
          </w:tcPr>
          <w:p w14:paraId="6D3D78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单位</w:t>
            </w:r>
          </w:p>
        </w:tc>
        <w:tc>
          <w:tcPr>
            <w:tcW w:w="1331" w:type="pct"/>
            <w:tcBorders>
              <w:tl2br w:val="nil"/>
              <w:tr2bl w:val="nil"/>
            </w:tcBorders>
            <w:noWrap w:val="0"/>
            <w:vAlign w:val="center"/>
          </w:tcPr>
          <w:p w14:paraId="5BFFFF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动力消耗量</w:t>
            </w:r>
          </w:p>
        </w:tc>
        <w:tc>
          <w:tcPr>
            <w:tcW w:w="668" w:type="pct"/>
            <w:tcBorders>
              <w:tl2br w:val="nil"/>
              <w:tr2bl w:val="nil"/>
            </w:tcBorders>
            <w:noWrap w:val="0"/>
            <w:vAlign w:val="center"/>
          </w:tcPr>
          <w:p w14:paraId="160AA1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备注</w:t>
            </w:r>
          </w:p>
        </w:tc>
      </w:tr>
      <w:tr w14:paraId="3ED711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667" w:type="pct"/>
            <w:tcBorders>
              <w:tl2br w:val="nil"/>
              <w:tr2bl w:val="nil"/>
            </w:tcBorders>
            <w:noWrap w:val="0"/>
            <w:vAlign w:val="center"/>
          </w:tcPr>
          <w:p w14:paraId="189DECDE">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highlight w:val="none"/>
                <w:u w:val="none"/>
                <w:lang w:val="en-US" w:eastAsia="zh-CN"/>
              </w:rPr>
            </w:pPr>
            <w:r>
              <w:rPr>
                <w:rFonts w:hint="eastAsia" w:ascii="宋体" w:hAnsi="宋体" w:eastAsia="宋体" w:cs="宋体"/>
                <w:b w:val="0"/>
                <w:bCs w:val="0"/>
                <w:i w:val="0"/>
                <w:iCs w:val="0"/>
                <w:color w:val="000000"/>
                <w:kern w:val="0"/>
                <w:sz w:val="21"/>
                <w:szCs w:val="21"/>
                <w:highlight w:val="none"/>
                <w:u w:val="none"/>
                <w:lang w:val="en-US" w:eastAsia="zh-CN"/>
              </w:rPr>
              <w:t>1</w:t>
            </w:r>
          </w:p>
        </w:tc>
        <w:tc>
          <w:tcPr>
            <w:tcW w:w="1331" w:type="pct"/>
            <w:tcBorders>
              <w:tl2br w:val="nil"/>
              <w:tr2bl w:val="nil"/>
            </w:tcBorders>
            <w:noWrap w:val="0"/>
            <w:vAlign w:val="center"/>
          </w:tcPr>
          <w:p w14:paraId="33BFDABF">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highlight w:val="none"/>
                <w:u w:val="none"/>
                <w:lang w:val="en-US" w:eastAsia="zh-CN"/>
              </w:rPr>
            </w:pPr>
            <w:r>
              <w:rPr>
                <w:rFonts w:hint="eastAsia" w:ascii="宋体" w:hAnsi="宋体" w:eastAsia="宋体" w:cs="宋体"/>
                <w:b w:val="0"/>
                <w:bCs w:val="0"/>
                <w:i w:val="0"/>
                <w:iCs w:val="0"/>
                <w:color w:val="000000"/>
                <w:kern w:val="0"/>
                <w:sz w:val="21"/>
                <w:szCs w:val="21"/>
                <w:highlight w:val="none"/>
                <w:u w:val="none"/>
                <w:lang w:val="en-US" w:eastAsia="zh-CN"/>
              </w:rPr>
              <w:t>电</w:t>
            </w:r>
          </w:p>
        </w:tc>
        <w:tc>
          <w:tcPr>
            <w:tcW w:w="1000" w:type="pct"/>
            <w:tcBorders>
              <w:tl2br w:val="nil"/>
              <w:tr2bl w:val="nil"/>
            </w:tcBorders>
            <w:noWrap w:val="0"/>
            <w:vAlign w:val="center"/>
          </w:tcPr>
          <w:p w14:paraId="151734A9">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highlight w:val="none"/>
                <w:u w:val="none"/>
                <w:lang w:val="en-US" w:eastAsia="zh-CN"/>
              </w:rPr>
            </w:pPr>
            <w:r>
              <w:rPr>
                <w:rFonts w:hint="eastAsia" w:cs="宋体"/>
                <w:b w:val="0"/>
                <w:bCs w:val="0"/>
                <w:i w:val="0"/>
                <w:iCs w:val="0"/>
                <w:color w:val="000000"/>
                <w:kern w:val="0"/>
                <w:sz w:val="21"/>
                <w:szCs w:val="21"/>
                <w:highlight w:val="none"/>
                <w:u w:val="none"/>
                <w:lang w:val="en-US" w:eastAsia="zh-CN"/>
              </w:rPr>
              <w:t>万</w:t>
            </w:r>
            <w:r>
              <w:rPr>
                <w:rFonts w:hint="eastAsia" w:ascii="宋体" w:hAnsi="宋体" w:eastAsia="宋体" w:cs="宋体"/>
                <w:b w:val="0"/>
                <w:bCs w:val="0"/>
                <w:i w:val="0"/>
                <w:iCs w:val="0"/>
                <w:color w:val="000000"/>
                <w:kern w:val="0"/>
                <w:sz w:val="21"/>
                <w:szCs w:val="21"/>
                <w:highlight w:val="none"/>
                <w:u w:val="none"/>
                <w:lang w:val="en-US" w:eastAsia="zh-CN"/>
              </w:rPr>
              <w:t>㎾·h/年</w:t>
            </w:r>
          </w:p>
        </w:tc>
        <w:tc>
          <w:tcPr>
            <w:tcW w:w="1331" w:type="pct"/>
            <w:tcBorders>
              <w:tl2br w:val="nil"/>
              <w:tr2bl w:val="nil"/>
            </w:tcBorders>
            <w:noWrap w:val="0"/>
            <w:vAlign w:val="center"/>
          </w:tcPr>
          <w:p w14:paraId="7C8D834B">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 w:val="0"/>
                <w:bCs w:val="0"/>
                <w:i w:val="0"/>
                <w:iCs w:val="0"/>
                <w:color w:val="000000"/>
                <w:kern w:val="0"/>
                <w:sz w:val="21"/>
                <w:szCs w:val="21"/>
                <w:highlight w:val="none"/>
                <w:u w:val="none"/>
                <w:lang w:val="en-US" w:eastAsia="zh-CN"/>
              </w:rPr>
            </w:pPr>
            <w:r>
              <w:rPr>
                <w:rFonts w:hint="eastAsia" w:ascii="宋体" w:hAnsi="宋体" w:eastAsia="宋体" w:cs="宋体"/>
                <w:b w:val="0"/>
                <w:bCs w:val="0"/>
                <w:i w:val="0"/>
                <w:iCs w:val="0"/>
                <w:color w:val="000000"/>
                <w:kern w:val="0"/>
                <w:sz w:val="21"/>
                <w:szCs w:val="21"/>
                <w:highlight w:val="none"/>
                <w:u w:val="none"/>
                <w:lang w:val="en-US" w:eastAsia="zh-CN"/>
              </w:rPr>
              <w:t>4723</w:t>
            </w:r>
          </w:p>
        </w:tc>
        <w:tc>
          <w:tcPr>
            <w:tcW w:w="668" w:type="pct"/>
            <w:tcBorders>
              <w:tl2br w:val="nil"/>
              <w:tr2bl w:val="nil"/>
            </w:tcBorders>
            <w:noWrap w:val="0"/>
            <w:vAlign w:val="center"/>
          </w:tcPr>
          <w:p w14:paraId="4F5E5559">
            <w:pPr>
              <w:keepNext w:val="0"/>
              <w:keepLines w:val="0"/>
              <w:pageBreakBefore w:val="0"/>
              <w:widowControl w:val="0"/>
              <w:suppressLineNumbers w:val="0"/>
              <w:kinsoku/>
              <w:bidi w:val="0"/>
              <w:spacing w:before="0" w:beforeAutospacing="0" w:after="0" w:afterAutospacing="0"/>
              <w:ind w:left="0" w:leftChars="0" w:right="0" w:rightChars="0" w:firstLine="0" w:firstLineChars="0"/>
              <w:jc w:val="center"/>
              <w:rPr>
                <w:rFonts w:hint="eastAsia" w:ascii="宋体" w:hAnsi="宋体" w:eastAsia="宋体" w:cs="宋体"/>
                <w:b w:val="0"/>
                <w:bCs w:val="0"/>
                <w:color w:val="auto"/>
                <w:sz w:val="21"/>
                <w:szCs w:val="21"/>
                <w:highlight w:val="none"/>
              </w:rPr>
            </w:pPr>
          </w:p>
        </w:tc>
      </w:tr>
      <w:tr w14:paraId="664430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667" w:type="pct"/>
            <w:tcBorders>
              <w:tl2br w:val="nil"/>
              <w:tr2bl w:val="nil"/>
            </w:tcBorders>
            <w:noWrap w:val="0"/>
            <w:vAlign w:val="center"/>
          </w:tcPr>
          <w:p w14:paraId="17836AF9">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highlight w:val="none"/>
                <w:u w:val="none"/>
                <w:lang w:val="en-US" w:eastAsia="zh-CN"/>
              </w:rPr>
            </w:pPr>
            <w:r>
              <w:rPr>
                <w:rFonts w:hint="eastAsia" w:ascii="宋体" w:hAnsi="宋体" w:eastAsia="宋体" w:cs="宋体"/>
                <w:b w:val="0"/>
                <w:bCs w:val="0"/>
                <w:i w:val="0"/>
                <w:iCs w:val="0"/>
                <w:color w:val="000000"/>
                <w:kern w:val="0"/>
                <w:sz w:val="21"/>
                <w:szCs w:val="21"/>
                <w:highlight w:val="none"/>
                <w:u w:val="none"/>
                <w:lang w:val="en-US" w:eastAsia="zh-CN"/>
              </w:rPr>
              <w:t>2</w:t>
            </w:r>
          </w:p>
        </w:tc>
        <w:tc>
          <w:tcPr>
            <w:tcW w:w="1331" w:type="pct"/>
            <w:tcBorders>
              <w:tl2br w:val="nil"/>
              <w:tr2bl w:val="nil"/>
            </w:tcBorders>
            <w:noWrap w:val="0"/>
            <w:vAlign w:val="center"/>
          </w:tcPr>
          <w:p w14:paraId="6AF23709">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highlight w:val="none"/>
                <w:u w:val="none"/>
                <w:lang w:val="en-US" w:eastAsia="zh-CN"/>
              </w:rPr>
            </w:pPr>
            <w:r>
              <w:rPr>
                <w:rFonts w:hint="eastAsia" w:ascii="宋体" w:hAnsi="宋体" w:eastAsia="宋体" w:cs="宋体"/>
                <w:b w:val="0"/>
                <w:bCs w:val="0"/>
                <w:i w:val="0"/>
                <w:iCs w:val="0"/>
                <w:color w:val="000000"/>
                <w:kern w:val="0"/>
                <w:sz w:val="21"/>
                <w:szCs w:val="21"/>
                <w:highlight w:val="none"/>
                <w:u w:val="none"/>
                <w:lang w:val="en-US" w:eastAsia="zh-CN"/>
              </w:rPr>
              <w:t>水</w:t>
            </w:r>
          </w:p>
        </w:tc>
        <w:tc>
          <w:tcPr>
            <w:tcW w:w="1000" w:type="pct"/>
            <w:tcBorders>
              <w:tl2br w:val="nil"/>
              <w:tr2bl w:val="nil"/>
            </w:tcBorders>
            <w:noWrap w:val="0"/>
            <w:vAlign w:val="center"/>
          </w:tcPr>
          <w:p w14:paraId="7FF7B51C">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b w:val="0"/>
                <w:bCs w:val="0"/>
                <w:i w:val="0"/>
                <w:iCs w:val="0"/>
                <w:color w:val="000000"/>
                <w:kern w:val="0"/>
                <w:sz w:val="21"/>
                <w:szCs w:val="21"/>
                <w:highlight w:val="none"/>
                <w:u w:val="none"/>
                <w:lang w:val="en-US" w:eastAsia="zh-CN"/>
              </w:rPr>
            </w:pPr>
            <w:r>
              <w:rPr>
                <w:rFonts w:hint="eastAsia" w:ascii="宋体" w:hAnsi="宋体" w:eastAsia="宋体" w:cs="宋体"/>
                <w:b w:val="0"/>
                <w:bCs w:val="0"/>
                <w:i w:val="0"/>
                <w:iCs w:val="0"/>
                <w:color w:val="000000"/>
                <w:kern w:val="0"/>
                <w:sz w:val="21"/>
                <w:szCs w:val="21"/>
                <w:highlight w:val="none"/>
                <w:u w:val="none"/>
                <w:lang w:val="en-US" w:eastAsia="zh-CN"/>
              </w:rPr>
              <w:t>万吨/年</w:t>
            </w:r>
          </w:p>
        </w:tc>
        <w:tc>
          <w:tcPr>
            <w:tcW w:w="1331" w:type="pct"/>
            <w:tcBorders>
              <w:tl2br w:val="nil"/>
              <w:tr2bl w:val="nil"/>
            </w:tcBorders>
            <w:noWrap w:val="0"/>
            <w:vAlign w:val="center"/>
          </w:tcPr>
          <w:p w14:paraId="7122B1D3">
            <w:pPr>
              <w:keepNext w:val="0"/>
              <w:keepLines w:val="0"/>
              <w:widowControl/>
              <w:suppressLineNumbers w:val="0"/>
              <w:spacing w:before="0" w:beforeAutospacing="0" w:after="0" w:afterAutospacing="0" w:line="240" w:lineRule="auto"/>
              <w:ind w:left="0" w:leftChars="0" w:right="0" w:rightChars="0" w:firstLine="0" w:firstLineChars="0"/>
              <w:jc w:val="center"/>
              <w:textAlignment w:val="center"/>
              <w:rPr>
                <w:rFonts w:hint="default" w:ascii="宋体" w:hAnsi="宋体" w:eastAsia="宋体" w:cs="宋体"/>
                <w:b w:val="0"/>
                <w:bCs w:val="0"/>
                <w:i w:val="0"/>
                <w:iCs w:val="0"/>
                <w:color w:val="000000"/>
                <w:kern w:val="0"/>
                <w:sz w:val="21"/>
                <w:szCs w:val="21"/>
                <w:highlight w:val="none"/>
                <w:u w:val="none"/>
                <w:lang w:val="en-US" w:eastAsia="zh-CN"/>
              </w:rPr>
            </w:pPr>
            <w:r>
              <w:rPr>
                <w:rFonts w:hint="eastAsia" w:ascii="宋体" w:hAnsi="宋体" w:eastAsia="宋体" w:cs="宋体"/>
                <w:b w:val="0"/>
                <w:bCs w:val="0"/>
                <w:i w:val="0"/>
                <w:iCs w:val="0"/>
                <w:color w:val="000000"/>
                <w:kern w:val="0"/>
                <w:sz w:val="21"/>
                <w:szCs w:val="21"/>
                <w:highlight w:val="none"/>
                <w:u w:val="none"/>
                <w:lang w:val="en-US" w:eastAsia="zh-CN"/>
              </w:rPr>
              <w:t>54</w:t>
            </w:r>
            <w:r>
              <w:rPr>
                <w:rFonts w:hint="eastAsia" w:cs="宋体"/>
                <w:b w:val="0"/>
                <w:bCs w:val="0"/>
                <w:i w:val="0"/>
                <w:iCs w:val="0"/>
                <w:color w:val="000000"/>
                <w:kern w:val="0"/>
                <w:sz w:val="21"/>
                <w:szCs w:val="21"/>
                <w:highlight w:val="none"/>
                <w:u w:val="none"/>
                <w:lang w:val="en-US" w:eastAsia="zh-CN"/>
              </w:rPr>
              <w:t>.12</w:t>
            </w:r>
          </w:p>
        </w:tc>
        <w:tc>
          <w:tcPr>
            <w:tcW w:w="668" w:type="pct"/>
            <w:tcBorders>
              <w:tl2br w:val="nil"/>
              <w:tr2bl w:val="nil"/>
            </w:tcBorders>
            <w:noWrap w:val="0"/>
            <w:vAlign w:val="center"/>
          </w:tcPr>
          <w:p w14:paraId="33E32BB9">
            <w:pPr>
              <w:keepNext w:val="0"/>
              <w:keepLines w:val="0"/>
              <w:pageBreakBefore w:val="0"/>
              <w:widowControl w:val="0"/>
              <w:suppressLineNumbers w:val="0"/>
              <w:kinsoku/>
              <w:bidi w:val="0"/>
              <w:spacing w:before="0" w:beforeAutospacing="0" w:after="0" w:afterAutospacing="0"/>
              <w:ind w:left="0" w:leftChars="0" w:right="0" w:rightChars="0" w:firstLine="0" w:firstLineChars="0"/>
              <w:jc w:val="center"/>
              <w:rPr>
                <w:rFonts w:hint="eastAsia" w:ascii="宋体" w:hAnsi="宋体" w:eastAsia="宋体" w:cs="宋体"/>
                <w:b w:val="0"/>
                <w:bCs w:val="0"/>
                <w:color w:val="auto"/>
                <w:sz w:val="21"/>
                <w:szCs w:val="21"/>
                <w:highlight w:val="none"/>
              </w:rPr>
            </w:pPr>
          </w:p>
        </w:tc>
      </w:tr>
    </w:tbl>
    <w:p w14:paraId="5D00196E">
      <w:pPr>
        <w:pStyle w:val="4"/>
        <w:keepNext w:val="0"/>
        <w:keepLines w:val="0"/>
        <w:pageBreakBefore w:val="0"/>
        <w:widowControl w:val="0"/>
        <w:kinsoku/>
        <w:bidi w:val="0"/>
        <w:rPr>
          <w:rFonts w:hint="eastAsia"/>
        </w:rPr>
      </w:pPr>
      <w:bookmarkStart w:id="295" w:name="_Toc268726808"/>
      <w:bookmarkStart w:id="296" w:name="_Toc297900080"/>
      <w:bookmarkStart w:id="297" w:name="_Toc293647176"/>
      <w:bookmarkStart w:id="298" w:name="_Toc282716161"/>
      <w:bookmarkStart w:id="299" w:name="_Toc306353311"/>
      <w:bookmarkStart w:id="300" w:name="_Toc282716374"/>
      <w:bookmarkStart w:id="301" w:name="_Toc265766566"/>
      <w:bookmarkStart w:id="302" w:name="_Toc978"/>
      <w:bookmarkStart w:id="303" w:name="_Toc325717148"/>
      <w:bookmarkStart w:id="304" w:name="_Toc262139506"/>
      <w:bookmarkStart w:id="305" w:name="_Toc300059783"/>
      <w:bookmarkStart w:id="306" w:name="_Toc4824"/>
      <w:bookmarkStart w:id="307" w:name="_Toc269912574"/>
      <w:bookmarkStart w:id="308" w:name="_Toc268443251"/>
      <w:bookmarkStart w:id="309" w:name="_Toc21607"/>
      <w:bookmarkStart w:id="310" w:name="_Toc297737224"/>
      <w:bookmarkStart w:id="311" w:name="_Toc293586556"/>
      <w:bookmarkStart w:id="312" w:name="_Toc32460"/>
      <w:bookmarkStart w:id="313" w:name="_Toc30165"/>
      <w:bookmarkStart w:id="314" w:name="_Toc27497"/>
      <w:bookmarkStart w:id="315" w:name="_Toc306353312"/>
      <w:bookmarkStart w:id="316" w:name="_Toc325717149"/>
      <w:bookmarkStart w:id="317" w:name="_Toc300059784"/>
      <w:bookmarkStart w:id="318" w:name="_Toc297900081"/>
      <w:r>
        <w:rPr>
          <w:rFonts w:hint="eastAsia"/>
        </w:rPr>
        <w:t>物料储存、使用情况</w:t>
      </w:r>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64F8D1D1">
      <w:pPr>
        <w:bidi w:val="0"/>
        <w:rPr>
          <w:rFonts w:hint="eastAsia"/>
          <w:lang w:val="en-US" w:eastAsia="zh-CN"/>
        </w:rPr>
      </w:pPr>
      <w:r>
        <w:rPr>
          <w:rFonts w:hint="eastAsia"/>
          <w:lang w:val="en-US" w:eastAsia="zh-CN"/>
        </w:rPr>
        <w:t>1#联合</w:t>
      </w:r>
      <w:r>
        <w:rPr>
          <w:rFonts w:hint="eastAsia"/>
        </w:rPr>
        <w:t>车间</w:t>
      </w:r>
      <w:r>
        <w:rPr>
          <w:rFonts w:hint="eastAsia"/>
          <w:lang w:val="en-US" w:eastAsia="zh-CN"/>
        </w:rPr>
        <w:t>内</w:t>
      </w:r>
      <w:r>
        <w:rPr>
          <w:rFonts w:hint="eastAsia"/>
        </w:rPr>
        <w:t>布置</w:t>
      </w:r>
      <w:r>
        <w:rPr>
          <w:rFonts w:hint="eastAsia"/>
          <w:lang w:val="en-US" w:eastAsia="zh-CN"/>
        </w:rPr>
        <w:t>场地和仓库</w:t>
      </w:r>
      <w:r>
        <w:rPr>
          <w:rFonts w:hint="eastAsia"/>
        </w:rPr>
        <w:t>，用于存放</w:t>
      </w:r>
      <w:r>
        <w:rPr>
          <w:rFonts w:hint="eastAsia"/>
          <w:lang w:val="en-US" w:eastAsia="zh-CN"/>
        </w:rPr>
        <w:t>主要</w:t>
      </w:r>
      <w:r>
        <w:rPr>
          <w:rFonts w:hint="eastAsia"/>
        </w:rPr>
        <w:t>原辅材料、包装材料。本项目</w:t>
      </w:r>
      <w:r>
        <w:rPr>
          <w:rFonts w:hint="eastAsia"/>
          <w:lang w:val="en-US" w:eastAsia="zh-CN"/>
        </w:rPr>
        <w:t>实验用危险化学品盐酸</w:t>
      </w:r>
      <w:r>
        <w:rPr>
          <w:rFonts w:hint="eastAsia"/>
        </w:rPr>
        <w:t>采用</w:t>
      </w:r>
      <w:r>
        <w:rPr>
          <w:rFonts w:hint="eastAsia"/>
          <w:lang w:val="en-US" w:eastAsia="zh-CN"/>
        </w:rPr>
        <w:t>瓶</w:t>
      </w:r>
      <w:r>
        <w:rPr>
          <w:rFonts w:hint="eastAsia"/>
        </w:rPr>
        <w:t>装的方式存放于</w:t>
      </w:r>
      <w:r>
        <w:rPr>
          <w:rFonts w:hint="eastAsia"/>
          <w:lang w:val="en-US" w:eastAsia="zh-CN"/>
        </w:rPr>
        <w:t>化验室的危险品专柜</w:t>
      </w:r>
      <w:r>
        <w:rPr>
          <w:rFonts w:hint="eastAsia"/>
        </w:rPr>
        <w:t>，储存量根据生产任务而定</w:t>
      </w:r>
      <w:r>
        <w:rPr>
          <w:rFonts w:hint="eastAsia"/>
          <w:lang w:eastAsia="zh-CN"/>
        </w:rPr>
        <w:t>，</w:t>
      </w:r>
      <w:r>
        <w:rPr>
          <w:rFonts w:hint="eastAsia"/>
          <w:lang w:val="en-US" w:eastAsia="zh-CN"/>
        </w:rPr>
        <w:t>最大储存量不超过5L。场（厂）内机动车辆叉车使用的柴油，现用现买。</w:t>
      </w:r>
      <w:r>
        <w:rPr>
          <w:rFonts w:hint="eastAsia"/>
        </w:rPr>
        <w:t>项目设备润滑油直接储存于各设备油箱内，定期外购补给</w:t>
      </w:r>
      <w:r>
        <w:rPr>
          <w:rFonts w:hint="eastAsia"/>
          <w:lang w:eastAsia="zh-CN"/>
        </w:rPr>
        <w:t>。</w:t>
      </w:r>
      <w:r>
        <w:rPr>
          <w:rFonts w:hint="eastAsia"/>
          <w:lang w:val="en-US" w:eastAsia="zh-CN"/>
        </w:rPr>
        <w:t>检修用氧气储存在气瓶储存区，乙炔气瓶现用现买，不储存。</w:t>
      </w:r>
    </w:p>
    <w:p w14:paraId="34F884AA">
      <w:pPr>
        <w:bidi w:val="0"/>
        <w:rPr>
          <w:rFonts w:hint="eastAsia"/>
          <w:lang w:val="en-US" w:eastAsia="zh-CN"/>
        </w:rPr>
      </w:pPr>
      <w:r>
        <w:rPr>
          <w:rFonts w:hint="eastAsia"/>
        </w:rPr>
        <w:t>本项目涉及的危险物料主要包括：</w:t>
      </w:r>
      <w:r>
        <w:rPr>
          <w:rFonts w:hint="eastAsia"/>
          <w:lang w:val="en-US" w:eastAsia="zh-CN"/>
        </w:rPr>
        <w:t>盐酸、柴油、氧气、乙炔、石油焦。</w:t>
      </w:r>
    </w:p>
    <w:tbl>
      <w:tblPr>
        <w:tblStyle w:val="32"/>
        <w:tblW w:w="844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610"/>
        <w:gridCol w:w="1062"/>
        <w:gridCol w:w="1668"/>
        <w:gridCol w:w="1012"/>
        <w:gridCol w:w="1255"/>
        <w:gridCol w:w="1272"/>
        <w:gridCol w:w="1568"/>
      </w:tblGrid>
      <w:tr w14:paraId="453CB0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610" w:type="dxa"/>
            <w:tcBorders>
              <w:tl2br w:val="nil"/>
              <w:tr2bl w:val="nil"/>
            </w:tcBorders>
            <w:noWrap w:val="0"/>
            <w:vAlign w:val="center"/>
          </w:tcPr>
          <w:p w14:paraId="3F9FAC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序号</w:t>
            </w:r>
          </w:p>
        </w:tc>
        <w:tc>
          <w:tcPr>
            <w:tcW w:w="1062" w:type="dxa"/>
            <w:tcBorders>
              <w:tl2br w:val="nil"/>
              <w:tr2bl w:val="nil"/>
            </w:tcBorders>
            <w:noWrap w:val="0"/>
            <w:vAlign w:val="center"/>
          </w:tcPr>
          <w:p w14:paraId="5EC84C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物料名称</w:t>
            </w:r>
          </w:p>
        </w:tc>
        <w:tc>
          <w:tcPr>
            <w:tcW w:w="1668" w:type="dxa"/>
            <w:tcBorders>
              <w:tl2br w:val="nil"/>
              <w:tr2bl w:val="nil"/>
            </w:tcBorders>
            <w:noWrap w:val="0"/>
            <w:vAlign w:val="center"/>
          </w:tcPr>
          <w:p w14:paraId="71AFE4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储存场所</w:t>
            </w:r>
          </w:p>
        </w:tc>
        <w:tc>
          <w:tcPr>
            <w:tcW w:w="1012" w:type="dxa"/>
            <w:tcBorders>
              <w:tl2br w:val="nil"/>
              <w:tr2bl w:val="nil"/>
            </w:tcBorders>
            <w:noWrap w:val="0"/>
            <w:vAlign w:val="center"/>
          </w:tcPr>
          <w:p w14:paraId="64459E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储存方式</w:t>
            </w:r>
          </w:p>
        </w:tc>
        <w:tc>
          <w:tcPr>
            <w:tcW w:w="1255" w:type="dxa"/>
            <w:tcBorders>
              <w:tl2br w:val="nil"/>
              <w:tr2bl w:val="nil"/>
            </w:tcBorders>
            <w:noWrap w:val="0"/>
            <w:vAlign w:val="center"/>
          </w:tcPr>
          <w:p w14:paraId="0B7E18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包装规格</w:t>
            </w:r>
          </w:p>
        </w:tc>
        <w:tc>
          <w:tcPr>
            <w:tcW w:w="1272" w:type="dxa"/>
            <w:tcBorders>
              <w:tl2br w:val="nil"/>
              <w:tr2bl w:val="nil"/>
            </w:tcBorders>
            <w:noWrap w:val="0"/>
            <w:vAlign w:val="center"/>
          </w:tcPr>
          <w:p w14:paraId="0F036A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最大储存量</w:t>
            </w:r>
          </w:p>
        </w:tc>
        <w:tc>
          <w:tcPr>
            <w:tcW w:w="1568" w:type="dxa"/>
            <w:tcBorders>
              <w:tl2br w:val="nil"/>
              <w:tr2bl w:val="nil"/>
            </w:tcBorders>
            <w:noWrap w:val="0"/>
            <w:vAlign w:val="center"/>
          </w:tcPr>
          <w:p w14:paraId="39C07E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备注</w:t>
            </w:r>
          </w:p>
        </w:tc>
      </w:tr>
      <w:tr w14:paraId="22980B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610" w:type="dxa"/>
            <w:tcBorders>
              <w:tl2br w:val="nil"/>
              <w:tr2bl w:val="nil"/>
            </w:tcBorders>
            <w:noWrap w:val="0"/>
            <w:vAlign w:val="center"/>
          </w:tcPr>
          <w:p w14:paraId="6403AE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sz w:val="21"/>
                <w:szCs w:val="21"/>
                <w:lang w:eastAsia="zh-CN"/>
              </w:rPr>
            </w:pPr>
            <w:r>
              <w:rPr>
                <w:rFonts w:hint="eastAsia" w:ascii="宋体" w:hAnsi="宋体" w:eastAsia="宋体" w:cs="Arial Unicode MS"/>
                <w:b w:val="0"/>
                <w:bCs w:val="0"/>
                <w:color w:val="auto"/>
                <w:sz w:val="21"/>
                <w:szCs w:val="21"/>
                <w:lang w:val="en-US" w:eastAsia="zh-CN"/>
              </w:rPr>
              <w:t>1</w:t>
            </w:r>
          </w:p>
        </w:tc>
        <w:tc>
          <w:tcPr>
            <w:tcW w:w="1062" w:type="dxa"/>
            <w:tcBorders>
              <w:tl2br w:val="nil"/>
              <w:tr2bl w:val="nil"/>
            </w:tcBorders>
            <w:noWrap w:val="0"/>
            <w:vAlign w:val="center"/>
          </w:tcPr>
          <w:p w14:paraId="3D7D1C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盐酸</w:t>
            </w:r>
          </w:p>
        </w:tc>
        <w:tc>
          <w:tcPr>
            <w:tcW w:w="1668" w:type="dxa"/>
            <w:tcBorders>
              <w:tl2br w:val="nil"/>
              <w:tr2bl w:val="nil"/>
            </w:tcBorders>
            <w:noWrap w:val="0"/>
            <w:vAlign w:val="center"/>
          </w:tcPr>
          <w:p w14:paraId="539E2B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化验室</w:t>
            </w:r>
          </w:p>
        </w:tc>
        <w:tc>
          <w:tcPr>
            <w:tcW w:w="1012" w:type="dxa"/>
            <w:tcBorders>
              <w:tl2br w:val="nil"/>
              <w:tr2bl w:val="nil"/>
            </w:tcBorders>
            <w:noWrap w:val="0"/>
            <w:vAlign w:val="center"/>
          </w:tcPr>
          <w:p w14:paraId="303A7B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瓶装</w:t>
            </w:r>
          </w:p>
        </w:tc>
        <w:tc>
          <w:tcPr>
            <w:tcW w:w="1255" w:type="dxa"/>
            <w:tcBorders>
              <w:tl2br w:val="nil"/>
              <w:tr2bl w:val="nil"/>
            </w:tcBorders>
            <w:noWrap w:val="0"/>
            <w:vAlign w:val="center"/>
          </w:tcPr>
          <w:p w14:paraId="0D6646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5</w:t>
            </w:r>
            <w:r>
              <w:rPr>
                <w:rFonts w:hint="default" w:ascii="宋体" w:hAnsi="宋体" w:eastAsia="宋体" w:cs="Arial Unicode MS"/>
                <w:b w:val="0"/>
                <w:bCs w:val="0"/>
                <w:color w:val="auto"/>
                <w:kern w:val="2"/>
                <w:sz w:val="21"/>
                <w:szCs w:val="21"/>
                <w:lang w:val="en-US" w:eastAsia="zh-CN" w:bidi="ar-SA"/>
              </w:rPr>
              <w:t>0</w:t>
            </w:r>
            <w:r>
              <w:rPr>
                <w:rFonts w:hint="eastAsia" w:ascii="宋体" w:hAnsi="宋体" w:eastAsia="宋体" w:cs="Arial Unicode MS"/>
                <w:b w:val="0"/>
                <w:bCs w:val="0"/>
                <w:color w:val="auto"/>
                <w:kern w:val="2"/>
                <w:sz w:val="21"/>
                <w:szCs w:val="21"/>
                <w:lang w:val="en-US" w:eastAsia="zh-CN" w:bidi="ar-SA"/>
              </w:rPr>
              <w:t>0ml/瓶</w:t>
            </w:r>
          </w:p>
        </w:tc>
        <w:tc>
          <w:tcPr>
            <w:tcW w:w="1272" w:type="dxa"/>
            <w:tcBorders>
              <w:tl2br w:val="nil"/>
              <w:tr2bl w:val="nil"/>
            </w:tcBorders>
            <w:noWrap w:val="0"/>
            <w:vAlign w:val="center"/>
          </w:tcPr>
          <w:p w14:paraId="085145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5升</w:t>
            </w:r>
          </w:p>
        </w:tc>
        <w:tc>
          <w:tcPr>
            <w:tcW w:w="1568" w:type="dxa"/>
            <w:tcBorders>
              <w:tl2br w:val="nil"/>
              <w:tr2bl w:val="nil"/>
            </w:tcBorders>
            <w:noWrap w:val="0"/>
            <w:vAlign w:val="center"/>
          </w:tcPr>
          <w:p w14:paraId="1A6B4E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10升/年</w:t>
            </w:r>
          </w:p>
        </w:tc>
      </w:tr>
      <w:tr w14:paraId="44500A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610" w:type="dxa"/>
            <w:tcBorders>
              <w:tl2br w:val="nil"/>
              <w:tr2bl w:val="nil"/>
            </w:tcBorders>
            <w:noWrap w:val="0"/>
            <w:vAlign w:val="center"/>
          </w:tcPr>
          <w:p w14:paraId="7A1BDB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sz w:val="21"/>
                <w:szCs w:val="21"/>
                <w:lang w:eastAsia="zh-CN"/>
              </w:rPr>
            </w:pPr>
            <w:r>
              <w:rPr>
                <w:rFonts w:hint="eastAsia" w:ascii="宋体" w:hAnsi="宋体" w:eastAsia="宋体" w:cs="Arial Unicode MS"/>
                <w:b w:val="0"/>
                <w:bCs w:val="0"/>
                <w:color w:val="auto"/>
                <w:sz w:val="21"/>
                <w:szCs w:val="21"/>
                <w:lang w:val="en-US" w:eastAsia="zh-CN"/>
              </w:rPr>
              <w:t>2</w:t>
            </w:r>
          </w:p>
        </w:tc>
        <w:tc>
          <w:tcPr>
            <w:tcW w:w="1062" w:type="dxa"/>
            <w:tcBorders>
              <w:tl2br w:val="nil"/>
              <w:tr2bl w:val="nil"/>
            </w:tcBorders>
            <w:noWrap w:val="0"/>
            <w:vAlign w:val="center"/>
          </w:tcPr>
          <w:p w14:paraId="53BDDC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柴油</w:t>
            </w:r>
          </w:p>
        </w:tc>
        <w:tc>
          <w:tcPr>
            <w:tcW w:w="1668" w:type="dxa"/>
            <w:tcBorders>
              <w:tl2br w:val="nil"/>
              <w:tr2bl w:val="nil"/>
            </w:tcBorders>
            <w:noWrap w:val="0"/>
            <w:vAlign w:val="center"/>
          </w:tcPr>
          <w:p w14:paraId="096DB4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1#联合车间</w:t>
            </w:r>
          </w:p>
        </w:tc>
        <w:tc>
          <w:tcPr>
            <w:tcW w:w="1012" w:type="dxa"/>
            <w:tcBorders>
              <w:tl2br w:val="nil"/>
              <w:tr2bl w:val="nil"/>
            </w:tcBorders>
            <w:noWrap w:val="0"/>
            <w:vAlign w:val="center"/>
          </w:tcPr>
          <w:p w14:paraId="3292A4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桶装</w:t>
            </w:r>
          </w:p>
        </w:tc>
        <w:tc>
          <w:tcPr>
            <w:tcW w:w="1255" w:type="dxa"/>
            <w:tcBorders>
              <w:tl2br w:val="nil"/>
              <w:tr2bl w:val="nil"/>
            </w:tcBorders>
            <w:noWrap w:val="0"/>
            <w:vAlign w:val="center"/>
          </w:tcPr>
          <w:p w14:paraId="3C4827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200L/桶</w:t>
            </w:r>
          </w:p>
        </w:tc>
        <w:tc>
          <w:tcPr>
            <w:tcW w:w="1272" w:type="dxa"/>
            <w:tcBorders>
              <w:tl2br w:val="nil"/>
              <w:tr2bl w:val="nil"/>
            </w:tcBorders>
            <w:noWrap w:val="0"/>
            <w:vAlign w:val="center"/>
          </w:tcPr>
          <w:p w14:paraId="4C49F4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200升</w:t>
            </w:r>
          </w:p>
        </w:tc>
        <w:tc>
          <w:tcPr>
            <w:tcW w:w="1568" w:type="dxa"/>
            <w:tcBorders>
              <w:tl2br w:val="nil"/>
              <w:tr2bl w:val="nil"/>
            </w:tcBorders>
            <w:noWrap w:val="0"/>
            <w:vAlign w:val="center"/>
          </w:tcPr>
          <w:p w14:paraId="66D7C4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现用现买</w:t>
            </w:r>
          </w:p>
        </w:tc>
      </w:tr>
      <w:tr w14:paraId="205AA0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610" w:type="dxa"/>
            <w:tcBorders>
              <w:tl2br w:val="nil"/>
              <w:tr2bl w:val="nil"/>
            </w:tcBorders>
            <w:noWrap w:val="0"/>
            <w:vAlign w:val="center"/>
          </w:tcPr>
          <w:p w14:paraId="7A258A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sz w:val="21"/>
                <w:szCs w:val="21"/>
                <w:lang w:eastAsia="zh-CN"/>
              </w:rPr>
            </w:pPr>
            <w:r>
              <w:rPr>
                <w:rFonts w:hint="eastAsia" w:ascii="宋体" w:hAnsi="宋体" w:eastAsia="宋体" w:cs="Arial Unicode MS"/>
                <w:b w:val="0"/>
                <w:bCs w:val="0"/>
                <w:color w:val="auto"/>
                <w:sz w:val="21"/>
                <w:szCs w:val="21"/>
                <w:lang w:val="en-US" w:eastAsia="zh-CN"/>
              </w:rPr>
              <w:t>3</w:t>
            </w:r>
          </w:p>
        </w:tc>
        <w:tc>
          <w:tcPr>
            <w:tcW w:w="1062" w:type="dxa"/>
            <w:tcBorders>
              <w:tl2br w:val="nil"/>
              <w:tr2bl w:val="nil"/>
            </w:tcBorders>
            <w:noWrap w:val="0"/>
            <w:vAlign w:val="center"/>
          </w:tcPr>
          <w:p w14:paraId="708566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氧气</w:t>
            </w:r>
          </w:p>
        </w:tc>
        <w:tc>
          <w:tcPr>
            <w:tcW w:w="1668" w:type="dxa"/>
            <w:tcBorders>
              <w:tl2br w:val="nil"/>
              <w:tr2bl w:val="nil"/>
            </w:tcBorders>
            <w:noWrap w:val="0"/>
            <w:vAlign w:val="center"/>
          </w:tcPr>
          <w:p w14:paraId="1B5EA7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气瓶库</w:t>
            </w:r>
          </w:p>
        </w:tc>
        <w:tc>
          <w:tcPr>
            <w:tcW w:w="1012" w:type="dxa"/>
            <w:tcBorders>
              <w:tl2br w:val="nil"/>
              <w:tr2bl w:val="nil"/>
            </w:tcBorders>
            <w:noWrap w:val="0"/>
            <w:vAlign w:val="center"/>
          </w:tcPr>
          <w:p w14:paraId="4E47DC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rPr>
              <w:t>钢瓶装</w:t>
            </w:r>
          </w:p>
        </w:tc>
        <w:tc>
          <w:tcPr>
            <w:tcW w:w="1255" w:type="dxa"/>
            <w:tcBorders>
              <w:tl2br w:val="nil"/>
              <w:tr2bl w:val="nil"/>
            </w:tcBorders>
            <w:noWrap w:val="0"/>
            <w:vAlign w:val="center"/>
          </w:tcPr>
          <w:p w14:paraId="4DC2D4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cs="Arial Unicode MS"/>
                <w:b w:val="0"/>
                <w:bCs w:val="0"/>
                <w:color w:val="auto"/>
                <w:kern w:val="2"/>
                <w:sz w:val="21"/>
                <w:szCs w:val="21"/>
                <w:lang w:val="en-US" w:eastAsia="zh-CN" w:bidi="ar-SA"/>
              </w:rPr>
              <w:t>8.6公斤/瓶</w:t>
            </w:r>
          </w:p>
        </w:tc>
        <w:tc>
          <w:tcPr>
            <w:tcW w:w="1272" w:type="dxa"/>
            <w:tcBorders>
              <w:tl2br w:val="nil"/>
              <w:tr2bl w:val="nil"/>
            </w:tcBorders>
            <w:noWrap w:val="0"/>
            <w:vAlign w:val="center"/>
          </w:tcPr>
          <w:p w14:paraId="311E0B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cs="Arial Unicode MS"/>
                <w:b w:val="0"/>
                <w:bCs w:val="0"/>
                <w:color w:val="auto"/>
                <w:kern w:val="2"/>
                <w:sz w:val="21"/>
                <w:szCs w:val="21"/>
                <w:lang w:val="en-US" w:eastAsia="zh-CN" w:bidi="ar-SA"/>
              </w:rPr>
              <w:t>10瓶</w:t>
            </w:r>
          </w:p>
        </w:tc>
        <w:tc>
          <w:tcPr>
            <w:tcW w:w="1568" w:type="dxa"/>
            <w:tcBorders>
              <w:tl2br w:val="nil"/>
              <w:tr2bl w:val="nil"/>
            </w:tcBorders>
            <w:noWrap w:val="0"/>
            <w:vAlign w:val="center"/>
          </w:tcPr>
          <w:p w14:paraId="3EB2B5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cs="Arial Unicode MS"/>
                <w:b w:val="0"/>
                <w:bCs w:val="0"/>
                <w:color w:val="auto"/>
                <w:kern w:val="2"/>
                <w:sz w:val="21"/>
                <w:szCs w:val="21"/>
                <w:lang w:val="en-US" w:eastAsia="zh-CN" w:bidi="ar-SA"/>
              </w:rPr>
              <w:t>60瓶</w:t>
            </w:r>
            <w:r>
              <w:rPr>
                <w:rFonts w:hint="eastAsia" w:ascii="宋体" w:hAnsi="宋体" w:eastAsia="宋体" w:cs="Arial Unicode MS"/>
                <w:b w:val="0"/>
                <w:bCs w:val="0"/>
                <w:color w:val="auto"/>
                <w:kern w:val="2"/>
                <w:sz w:val="21"/>
                <w:szCs w:val="21"/>
                <w:lang w:val="en-US" w:eastAsia="zh-CN" w:bidi="ar-SA"/>
              </w:rPr>
              <w:t>/年</w:t>
            </w:r>
          </w:p>
        </w:tc>
      </w:tr>
      <w:tr w14:paraId="2B00E7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610" w:type="dxa"/>
            <w:tcBorders>
              <w:tl2br w:val="nil"/>
              <w:tr2bl w:val="nil"/>
            </w:tcBorders>
            <w:noWrap w:val="0"/>
            <w:vAlign w:val="center"/>
          </w:tcPr>
          <w:p w14:paraId="16CE75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sz w:val="21"/>
                <w:szCs w:val="21"/>
                <w:lang w:eastAsia="zh-CN"/>
              </w:rPr>
            </w:pPr>
            <w:r>
              <w:rPr>
                <w:rFonts w:hint="eastAsia" w:ascii="宋体" w:hAnsi="宋体" w:eastAsia="宋体" w:cs="Arial Unicode MS"/>
                <w:b w:val="0"/>
                <w:bCs w:val="0"/>
                <w:color w:val="auto"/>
                <w:sz w:val="21"/>
                <w:szCs w:val="21"/>
                <w:lang w:val="en-US" w:eastAsia="zh-CN"/>
              </w:rPr>
              <w:t>4</w:t>
            </w:r>
          </w:p>
        </w:tc>
        <w:tc>
          <w:tcPr>
            <w:tcW w:w="1062" w:type="dxa"/>
            <w:tcBorders>
              <w:tl2br w:val="nil"/>
              <w:tr2bl w:val="nil"/>
            </w:tcBorders>
            <w:noWrap w:val="0"/>
            <w:vAlign w:val="center"/>
          </w:tcPr>
          <w:p w14:paraId="4A1CDB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乙炔</w:t>
            </w:r>
          </w:p>
        </w:tc>
        <w:tc>
          <w:tcPr>
            <w:tcW w:w="1668" w:type="dxa"/>
            <w:tcBorders>
              <w:tl2br w:val="nil"/>
              <w:tr2bl w:val="nil"/>
            </w:tcBorders>
            <w:noWrap w:val="0"/>
            <w:vAlign w:val="center"/>
          </w:tcPr>
          <w:p w14:paraId="157406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气瓶库</w:t>
            </w:r>
          </w:p>
        </w:tc>
        <w:tc>
          <w:tcPr>
            <w:tcW w:w="1012" w:type="dxa"/>
            <w:tcBorders>
              <w:tl2br w:val="nil"/>
              <w:tr2bl w:val="nil"/>
            </w:tcBorders>
            <w:noWrap w:val="0"/>
            <w:vAlign w:val="center"/>
          </w:tcPr>
          <w:p w14:paraId="352360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rPr>
              <w:t>钢瓶装</w:t>
            </w:r>
          </w:p>
        </w:tc>
        <w:tc>
          <w:tcPr>
            <w:tcW w:w="1255" w:type="dxa"/>
            <w:tcBorders>
              <w:tl2br w:val="nil"/>
              <w:tr2bl w:val="nil"/>
            </w:tcBorders>
            <w:noWrap w:val="0"/>
            <w:vAlign w:val="center"/>
          </w:tcPr>
          <w:p w14:paraId="49314D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cs="Arial Unicode MS"/>
                <w:b w:val="0"/>
                <w:bCs w:val="0"/>
                <w:color w:val="auto"/>
                <w:kern w:val="2"/>
                <w:sz w:val="21"/>
                <w:szCs w:val="21"/>
                <w:lang w:val="en-US" w:eastAsia="zh-CN" w:bidi="ar-SA"/>
              </w:rPr>
              <w:t>7公斤/瓶</w:t>
            </w:r>
          </w:p>
        </w:tc>
        <w:tc>
          <w:tcPr>
            <w:tcW w:w="1272" w:type="dxa"/>
            <w:tcBorders>
              <w:tl2br w:val="nil"/>
              <w:tr2bl w:val="nil"/>
            </w:tcBorders>
            <w:noWrap w:val="0"/>
            <w:vAlign w:val="center"/>
          </w:tcPr>
          <w:p w14:paraId="0E67A1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cs="宋体"/>
                <w:b w:val="0"/>
                <w:bCs w:val="0"/>
                <w:i w:val="0"/>
                <w:iCs w:val="0"/>
                <w:color w:val="000000"/>
                <w:kern w:val="0"/>
                <w:sz w:val="21"/>
                <w:szCs w:val="21"/>
                <w:u w:val="none"/>
                <w:lang w:val="en-US" w:eastAsia="zh-CN"/>
              </w:rPr>
              <w:t>现用现买，不储存</w:t>
            </w:r>
          </w:p>
        </w:tc>
        <w:tc>
          <w:tcPr>
            <w:tcW w:w="1568" w:type="dxa"/>
            <w:tcBorders>
              <w:tl2br w:val="nil"/>
              <w:tr2bl w:val="nil"/>
            </w:tcBorders>
            <w:noWrap w:val="0"/>
            <w:vAlign w:val="center"/>
          </w:tcPr>
          <w:p w14:paraId="31524B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cs="Arial Unicode MS"/>
                <w:b w:val="0"/>
                <w:bCs w:val="0"/>
                <w:color w:val="auto"/>
                <w:kern w:val="2"/>
                <w:sz w:val="21"/>
                <w:szCs w:val="21"/>
                <w:lang w:val="en-US" w:eastAsia="zh-CN" w:bidi="ar-SA"/>
              </w:rPr>
              <w:t>30瓶</w:t>
            </w:r>
            <w:r>
              <w:rPr>
                <w:rFonts w:hint="eastAsia" w:ascii="宋体" w:hAnsi="宋体" w:eastAsia="宋体" w:cs="Arial Unicode MS"/>
                <w:b w:val="0"/>
                <w:bCs w:val="0"/>
                <w:color w:val="auto"/>
                <w:kern w:val="2"/>
                <w:sz w:val="21"/>
                <w:szCs w:val="21"/>
                <w:lang w:val="en-US" w:eastAsia="zh-CN" w:bidi="ar-SA"/>
              </w:rPr>
              <w:t>/年</w:t>
            </w:r>
          </w:p>
        </w:tc>
      </w:tr>
      <w:tr w14:paraId="7610BE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77" w:hRule="atLeast"/>
          <w:jc w:val="center"/>
        </w:trPr>
        <w:tc>
          <w:tcPr>
            <w:tcW w:w="610" w:type="dxa"/>
            <w:tcBorders>
              <w:tl2br w:val="nil"/>
              <w:tr2bl w:val="nil"/>
            </w:tcBorders>
            <w:noWrap w:val="0"/>
            <w:vAlign w:val="center"/>
          </w:tcPr>
          <w:p w14:paraId="3883BE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sz w:val="21"/>
                <w:szCs w:val="21"/>
                <w:lang w:val="en-US" w:eastAsia="zh-CN"/>
              </w:rPr>
            </w:pPr>
            <w:r>
              <w:rPr>
                <w:rFonts w:hint="eastAsia" w:cs="Arial Unicode MS"/>
                <w:b w:val="0"/>
                <w:bCs w:val="0"/>
                <w:color w:val="auto"/>
                <w:sz w:val="21"/>
                <w:szCs w:val="21"/>
                <w:lang w:val="en-US" w:eastAsia="zh-CN"/>
              </w:rPr>
              <w:t>5</w:t>
            </w:r>
          </w:p>
        </w:tc>
        <w:tc>
          <w:tcPr>
            <w:tcW w:w="1062" w:type="dxa"/>
            <w:tcBorders>
              <w:tl2br w:val="nil"/>
              <w:tr2bl w:val="nil"/>
            </w:tcBorders>
            <w:noWrap w:val="0"/>
            <w:vAlign w:val="center"/>
          </w:tcPr>
          <w:p w14:paraId="29BA20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石油焦</w:t>
            </w:r>
          </w:p>
        </w:tc>
        <w:tc>
          <w:tcPr>
            <w:tcW w:w="1668" w:type="dxa"/>
            <w:tcBorders>
              <w:tl2br w:val="nil"/>
              <w:tr2bl w:val="nil"/>
            </w:tcBorders>
            <w:noWrap w:val="0"/>
            <w:vAlign w:val="center"/>
          </w:tcPr>
          <w:p w14:paraId="097998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ascii="宋体" w:hAnsi="宋体" w:eastAsia="宋体" w:cs="Arial Unicode MS"/>
                <w:b w:val="0"/>
                <w:bCs w:val="0"/>
                <w:color w:val="auto"/>
                <w:kern w:val="2"/>
                <w:sz w:val="21"/>
                <w:szCs w:val="21"/>
                <w:lang w:val="en-US" w:eastAsia="zh-CN" w:bidi="ar-SA"/>
              </w:rPr>
              <w:t>1#联合车间</w:t>
            </w:r>
          </w:p>
        </w:tc>
        <w:tc>
          <w:tcPr>
            <w:tcW w:w="1012" w:type="dxa"/>
            <w:tcBorders>
              <w:tl2br w:val="nil"/>
              <w:tr2bl w:val="nil"/>
            </w:tcBorders>
            <w:noWrap w:val="0"/>
            <w:vAlign w:val="center"/>
          </w:tcPr>
          <w:p w14:paraId="181096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cs="Arial Unicode MS"/>
                <w:b w:val="0"/>
                <w:bCs w:val="0"/>
                <w:color w:val="auto"/>
                <w:kern w:val="2"/>
                <w:sz w:val="21"/>
                <w:szCs w:val="21"/>
                <w:lang w:val="en-US" w:eastAsia="zh-CN" w:bidi="ar-SA"/>
              </w:rPr>
              <w:t>袋装</w:t>
            </w:r>
          </w:p>
        </w:tc>
        <w:tc>
          <w:tcPr>
            <w:tcW w:w="1255" w:type="dxa"/>
            <w:tcBorders>
              <w:tl2br w:val="nil"/>
              <w:tr2bl w:val="nil"/>
            </w:tcBorders>
            <w:noWrap w:val="0"/>
            <w:vAlign w:val="center"/>
          </w:tcPr>
          <w:p w14:paraId="1DFFC8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ascii="宋体" w:hAnsi="宋体" w:eastAsia="宋体" w:cs="宋体"/>
                <w:b w:val="0"/>
                <w:bCs w:val="0"/>
                <w:i w:val="0"/>
                <w:iCs w:val="0"/>
                <w:color w:val="000000"/>
                <w:kern w:val="0"/>
                <w:sz w:val="21"/>
                <w:szCs w:val="21"/>
                <w:u w:val="none"/>
                <w:lang w:val="en-US" w:eastAsia="zh-CN"/>
              </w:rPr>
              <w:t>0.9吨/</w:t>
            </w:r>
            <w:r>
              <w:rPr>
                <w:rFonts w:hint="eastAsia" w:cs="宋体"/>
                <w:b w:val="0"/>
                <w:bCs w:val="0"/>
                <w:i w:val="0"/>
                <w:iCs w:val="0"/>
                <w:color w:val="000000"/>
                <w:kern w:val="0"/>
                <w:sz w:val="21"/>
                <w:szCs w:val="21"/>
                <w:u w:val="none"/>
                <w:lang w:val="en-US" w:eastAsia="zh-CN"/>
              </w:rPr>
              <w:t>袋</w:t>
            </w:r>
          </w:p>
        </w:tc>
        <w:tc>
          <w:tcPr>
            <w:tcW w:w="1272" w:type="dxa"/>
            <w:tcBorders>
              <w:tl2br w:val="nil"/>
              <w:tr2bl w:val="nil"/>
            </w:tcBorders>
            <w:noWrap w:val="0"/>
            <w:vAlign w:val="center"/>
          </w:tcPr>
          <w:p w14:paraId="169F04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Arial Unicode MS"/>
                <w:b w:val="0"/>
                <w:bCs w:val="0"/>
                <w:color w:val="auto"/>
                <w:kern w:val="2"/>
                <w:sz w:val="21"/>
                <w:szCs w:val="21"/>
                <w:lang w:val="en-US" w:eastAsia="zh-CN" w:bidi="ar-SA"/>
              </w:rPr>
            </w:pPr>
            <w:r>
              <w:rPr>
                <w:rFonts w:hint="eastAsia" w:cs="Arial Unicode MS"/>
                <w:b w:val="0"/>
                <w:bCs w:val="0"/>
                <w:color w:val="auto"/>
                <w:kern w:val="2"/>
                <w:sz w:val="21"/>
                <w:szCs w:val="21"/>
                <w:lang w:val="en-US" w:eastAsia="zh-CN" w:bidi="ar-SA"/>
              </w:rPr>
              <w:t>180吨</w:t>
            </w:r>
          </w:p>
        </w:tc>
        <w:tc>
          <w:tcPr>
            <w:tcW w:w="1568" w:type="dxa"/>
            <w:tcBorders>
              <w:tl2br w:val="nil"/>
              <w:tr2bl w:val="nil"/>
            </w:tcBorders>
            <w:noWrap w:val="0"/>
            <w:vAlign w:val="center"/>
          </w:tcPr>
          <w:p w14:paraId="13E68D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Arial Unicode MS"/>
                <w:b w:val="0"/>
                <w:bCs w:val="0"/>
                <w:color w:val="auto"/>
                <w:kern w:val="2"/>
                <w:sz w:val="21"/>
                <w:szCs w:val="21"/>
                <w:lang w:val="en-US" w:eastAsia="zh-CN" w:bidi="ar-SA"/>
              </w:rPr>
            </w:pPr>
            <w:r>
              <w:rPr>
                <w:rFonts w:hint="eastAsia" w:ascii="宋体" w:hAnsi="宋体" w:eastAsia="宋体" w:cs="宋体"/>
                <w:b w:val="0"/>
                <w:bCs w:val="0"/>
                <w:color w:val="000000"/>
                <w:sz w:val="21"/>
                <w:szCs w:val="21"/>
                <w:lang w:val="en-US" w:eastAsia="zh-CN"/>
              </w:rPr>
              <w:t>600t</w:t>
            </w:r>
            <w:r>
              <w:rPr>
                <w:rFonts w:hint="eastAsia" w:ascii="宋体" w:hAnsi="宋体" w:eastAsia="宋体" w:cs="Arial Unicode MS"/>
                <w:b w:val="0"/>
                <w:bCs w:val="0"/>
                <w:color w:val="auto"/>
                <w:kern w:val="2"/>
                <w:sz w:val="21"/>
                <w:szCs w:val="21"/>
                <w:lang w:val="en-US" w:eastAsia="zh-CN" w:bidi="ar-SA"/>
              </w:rPr>
              <w:t>/年</w:t>
            </w:r>
          </w:p>
        </w:tc>
      </w:tr>
    </w:tbl>
    <w:p w14:paraId="02EFCAC6">
      <w:pPr>
        <w:pStyle w:val="4"/>
        <w:keepNext w:val="0"/>
        <w:keepLines w:val="0"/>
        <w:pageBreakBefore w:val="0"/>
        <w:widowControl w:val="0"/>
        <w:kinsoku/>
        <w:bidi w:val="0"/>
        <w:rPr>
          <w:rFonts w:hint="eastAsia"/>
        </w:rPr>
      </w:pPr>
      <w:bookmarkStart w:id="319" w:name="_Toc3820"/>
      <w:r>
        <w:rPr>
          <w:rFonts w:hint="eastAsia"/>
        </w:rPr>
        <w:t>物料运输</w:t>
      </w:r>
      <w:bookmarkEnd w:id="313"/>
      <w:bookmarkEnd w:id="314"/>
      <w:bookmarkEnd w:id="315"/>
      <w:bookmarkEnd w:id="316"/>
      <w:bookmarkEnd w:id="317"/>
      <w:bookmarkEnd w:id="318"/>
      <w:bookmarkEnd w:id="319"/>
    </w:p>
    <w:p w14:paraId="739AD93A">
      <w:pPr>
        <w:keepNext w:val="0"/>
        <w:keepLines w:val="0"/>
        <w:pageBreakBefore w:val="0"/>
        <w:widowControl w:val="0"/>
        <w:numPr>
          <w:ilvl w:val="0"/>
          <w:numId w:val="18"/>
        </w:numPr>
        <w:kinsoku/>
        <w:wordWrap/>
        <w:overflowPunct/>
        <w:topLinePunct w:val="0"/>
        <w:autoSpaceDE/>
        <w:autoSpaceDN/>
        <w:bidi w:val="0"/>
        <w:adjustRightInd w:val="0"/>
        <w:snapToGrid/>
        <w:ind w:left="0"/>
        <w:textAlignment w:val="auto"/>
        <w:rPr>
          <w:rFonts w:hint="eastAsia"/>
        </w:rPr>
      </w:pPr>
      <w:r>
        <w:rPr>
          <w:rFonts w:hint="eastAsia"/>
        </w:rPr>
        <w:t>原辅材料进厂、产品出厂采用汽车运输，进厂后采用叉车运输。</w:t>
      </w:r>
      <w:r>
        <w:rPr>
          <w:rFonts w:hint="eastAsia"/>
          <w:lang w:val="en-US" w:eastAsia="zh-CN"/>
        </w:rPr>
        <w:t>工业园区</w:t>
      </w:r>
      <w:r>
        <w:rPr>
          <w:rFonts w:hint="eastAsia"/>
        </w:rPr>
        <w:t>进厂道路与</w:t>
      </w:r>
      <w:r>
        <w:t>S222</w:t>
      </w:r>
      <w:r>
        <w:rPr>
          <w:rFonts w:hint="eastAsia"/>
        </w:rPr>
        <w:t>武新线直接相连，交通便利，满足物流、人流和消防需要。</w:t>
      </w:r>
    </w:p>
    <w:p w14:paraId="41B4CB74">
      <w:pPr>
        <w:keepNext w:val="0"/>
        <w:keepLines w:val="0"/>
        <w:pageBreakBefore w:val="0"/>
        <w:widowControl w:val="0"/>
        <w:numPr>
          <w:ilvl w:val="0"/>
          <w:numId w:val="18"/>
        </w:numPr>
        <w:kinsoku/>
        <w:wordWrap/>
        <w:overflowPunct/>
        <w:topLinePunct w:val="0"/>
        <w:autoSpaceDE/>
        <w:autoSpaceDN/>
        <w:bidi w:val="0"/>
        <w:adjustRightInd w:val="0"/>
        <w:snapToGrid/>
        <w:ind w:left="0"/>
        <w:textAlignment w:val="auto"/>
        <w:rPr>
          <w:rFonts w:hint="eastAsia"/>
        </w:rPr>
      </w:pPr>
      <w:r>
        <w:rPr>
          <w:rFonts w:hint="eastAsia"/>
        </w:rPr>
        <w:t>工序间为</w:t>
      </w:r>
      <w:r>
        <w:rPr>
          <w:rFonts w:hint="eastAsia"/>
          <w:lang w:val="en-US" w:eastAsia="zh-CN"/>
        </w:rPr>
        <w:t>起重机吊运和</w:t>
      </w:r>
      <w:r>
        <w:rPr>
          <w:rFonts w:hint="eastAsia"/>
        </w:rPr>
        <w:t>生产线自动输送</w:t>
      </w:r>
      <w:r>
        <w:rPr>
          <w:rFonts w:hint="eastAsia"/>
          <w:lang w:val="en-US" w:eastAsia="zh-CN"/>
        </w:rPr>
        <w:t>相结合</w:t>
      </w:r>
      <w:r>
        <w:rPr>
          <w:rFonts w:hint="eastAsia"/>
        </w:rPr>
        <w:t>，人工辅助操作。</w:t>
      </w:r>
    </w:p>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p w14:paraId="0A797586">
      <w:pPr>
        <w:pStyle w:val="4"/>
        <w:keepNext w:val="0"/>
        <w:keepLines w:val="0"/>
        <w:pageBreakBefore w:val="0"/>
        <w:widowControl w:val="0"/>
        <w:kinsoku/>
        <w:bidi w:val="0"/>
        <w:rPr>
          <w:rFonts w:hint="eastAsia"/>
          <w:lang w:val="en-US" w:eastAsia="zh-CN"/>
        </w:rPr>
      </w:pPr>
      <w:bookmarkStart w:id="320" w:name="_bookmark23"/>
      <w:bookmarkEnd w:id="320"/>
      <w:bookmarkStart w:id="321" w:name="2.5.2产品规模"/>
      <w:bookmarkEnd w:id="321"/>
      <w:bookmarkStart w:id="322" w:name="_Toc55033302"/>
      <w:bookmarkStart w:id="323" w:name="_Toc60925340"/>
      <w:bookmarkStart w:id="324" w:name="_Toc531271062"/>
      <w:bookmarkStart w:id="325" w:name="_Toc12655"/>
      <w:bookmarkStart w:id="326" w:name="_Toc28789"/>
      <w:bookmarkStart w:id="327" w:name="_Toc55567365"/>
      <w:bookmarkStart w:id="328" w:name="_Toc55945234"/>
      <w:bookmarkStart w:id="329" w:name="_Toc25491"/>
      <w:bookmarkStart w:id="330" w:name="_Toc394409078"/>
      <w:bookmarkStart w:id="331" w:name="_Toc413501839"/>
      <w:bookmarkStart w:id="332" w:name="_Toc393462816"/>
      <w:bookmarkStart w:id="333" w:name="_Toc522811444"/>
      <w:bookmarkStart w:id="334" w:name="_Toc378322676"/>
      <w:bookmarkStart w:id="335" w:name="_Toc378002205"/>
      <w:r>
        <w:rPr>
          <w:rFonts w:hint="eastAsia"/>
          <w:lang w:val="en-US" w:eastAsia="zh-CN"/>
        </w:rPr>
        <w:t>生产工艺</w:t>
      </w:r>
      <w:bookmarkEnd w:id="322"/>
      <w:bookmarkEnd w:id="323"/>
      <w:bookmarkEnd w:id="324"/>
      <w:bookmarkEnd w:id="325"/>
      <w:bookmarkEnd w:id="326"/>
      <w:bookmarkEnd w:id="327"/>
      <w:bookmarkEnd w:id="328"/>
      <w:bookmarkEnd w:id="329"/>
      <w:bookmarkStart w:id="336" w:name="_Toc531271063"/>
      <w:bookmarkStart w:id="337" w:name="_Toc55033308"/>
      <w:bookmarkStart w:id="338" w:name="_Toc55567368"/>
      <w:bookmarkStart w:id="339" w:name="_Toc55945235"/>
      <w:bookmarkStart w:id="340" w:name="_Toc60925341"/>
    </w:p>
    <w:p w14:paraId="21AC7F21">
      <w:pPr>
        <w:pStyle w:val="5"/>
        <w:bidi w:val="0"/>
        <w:rPr>
          <w:rFonts w:hint="eastAsia"/>
          <w:lang w:val="en-US" w:eastAsia="zh-CN"/>
        </w:rPr>
      </w:pPr>
      <w:r>
        <w:rPr>
          <w:rFonts w:hint="eastAsia"/>
        </w:rPr>
        <w:t>主要技术方案</w:t>
      </w:r>
    </w:p>
    <w:p w14:paraId="4FD0C64B">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szCs w:val="22"/>
          <w:lang w:val="en-US" w:eastAsia="zh-CN"/>
        </w:rPr>
        <w:t>本</w:t>
      </w:r>
      <w:r>
        <w:rPr>
          <w:rFonts w:hint="eastAsia" w:ascii="宋体" w:hAnsi="宋体" w:eastAsia="宋体" w:cs="宋体"/>
        </w:rPr>
        <w:t>项目利用电弧炉电能产生热能进行熔炼，高压电源通过专用的电炉变压器，将电能输送到三相电板上，在电极和物料之间产生电弧，使物料熔化、变压器档位控制电流、电弧的功率由电极自动装置，进行调正控制。</w:t>
      </w:r>
    </w:p>
    <w:p w14:paraId="17541BB7">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szCs w:val="22"/>
        </w:rPr>
        <w:t>物料在电炉内提炼进行中，温度为1540℃时，ZrSiO</w:t>
      </w:r>
      <w:r>
        <w:rPr>
          <w:rFonts w:hint="eastAsia" w:ascii="宋体" w:hAnsi="宋体" w:eastAsia="宋体" w:cs="宋体"/>
          <w:szCs w:val="22"/>
          <w:vertAlign w:val="subscript"/>
        </w:rPr>
        <w:t>4</w:t>
      </w:r>
      <w:r>
        <w:rPr>
          <w:rFonts w:hint="eastAsia" w:ascii="宋体" w:hAnsi="宋体" w:eastAsia="宋体" w:cs="宋体"/>
          <w:szCs w:val="22"/>
        </w:rPr>
        <w:t>被石油焦还原生成ZrO</w:t>
      </w:r>
      <w:r>
        <w:rPr>
          <w:rFonts w:hint="eastAsia" w:ascii="宋体" w:hAnsi="宋体" w:eastAsia="宋体" w:cs="宋体"/>
          <w:szCs w:val="22"/>
          <w:vertAlign w:val="subscript"/>
        </w:rPr>
        <w:t>2</w:t>
      </w:r>
      <w:r>
        <w:rPr>
          <w:rFonts w:hint="eastAsia" w:ascii="宋体" w:hAnsi="宋体" w:eastAsia="宋体" w:cs="宋体"/>
          <w:szCs w:val="22"/>
        </w:rPr>
        <w:t>+SiO</w:t>
      </w:r>
      <w:r>
        <w:rPr>
          <w:rFonts w:hint="eastAsia" w:ascii="宋体" w:hAnsi="宋体" w:eastAsia="宋体" w:cs="宋体"/>
          <w:szCs w:val="22"/>
          <w:vertAlign w:val="subscript"/>
        </w:rPr>
        <w:t>2</w:t>
      </w:r>
      <w:r>
        <w:rPr>
          <w:rFonts w:hint="eastAsia" w:ascii="宋体" w:hAnsi="宋体" w:eastAsia="宋体" w:cs="宋体"/>
          <w:szCs w:val="22"/>
        </w:rPr>
        <w:t>↑+CO</w:t>
      </w:r>
      <w:r>
        <w:rPr>
          <w:rFonts w:hint="eastAsia" w:ascii="宋体" w:hAnsi="宋体" w:eastAsia="宋体" w:cs="宋体"/>
          <w:szCs w:val="22"/>
          <w:vertAlign w:val="subscript"/>
        </w:rPr>
        <w:t>2</w:t>
      </w:r>
      <w:r>
        <w:rPr>
          <w:rFonts w:hint="eastAsia" w:ascii="宋体" w:hAnsi="宋体" w:eastAsia="宋体" w:cs="宋体"/>
          <w:szCs w:val="22"/>
        </w:rPr>
        <w:t>↑（主反应），在反应过程中，可能发生一系列的副反应，整个反应方程式如下：</w:t>
      </w:r>
    </w:p>
    <w:p w14:paraId="10B8079C">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szCs w:val="22"/>
        </w:rPr>
        <w:t>ZrSiO</w:t>
      </w:r>
      <w:r>
        <w:rPr>
          <w:rFonts w:hint="eastAsia" w:ascii="宋体" w:hAnsi="宋体" w:eastAsia="宋体" w:cs="宋体"/>
          <w:szCs w:val="22"/>
          <w:vertAlign w:val="subscript"/>
        </w:rPr>
        <w:t>4</w:t>
      </w:r>
      <w:r>
        <w:rPr>
          <w:rFonts w:hint="eastAsia" w:ascii="宋体" w:hAnsi="宋体" w:eastAsia="宋体" w:cs="宋体"/>
          <w:szCs w:val="22"/>
        </w:rPr>
        <w:t>+C+O</w:t>
      </w:r>
      <w:r>
        <w:rPr>
          <w:rFonts w:hint="eastAsia" w:ascii="宋体" w:hAnsi="宋体" w:eastAsia="宋体" w:cs="宋体"/>
          <w:szCs w:val="22"/>
          <w:vertAlign w:val="subscript"/>
        </w:rPr>
        <w:t>2</w:t>
      </w:r>
      <w:r>
        <w:rPr>
          <w:rFonts w:hint="eastAsia" w:ascii="宋体" w:hAnsi="宋体" w:eastAsia="宋体" w:cs="宋体"/>
          <w:szCs w:val="22"/>
        </w:rPr>
        <w:t>→ZrO</w:t>
      </w:r>
      <w:r>
        <w:rPr>
          <w:rFonts w:hint="eastAsia" w:ascii="宋体" w:hAnsi="宋体" w:eastAsia="宋体" w:cs="宋体"/>
          <w:szCs w:val="22"/>
          <w:vertAlign w:val="subscript"/>
        </w:rPr>
        <w:t>2</w:t>
      </w:r>
      <w:r>
        <w:rPr>
          <w:rFonts w:hint="eastAsia" w:ascii="宋体" w:hAnsi="宋体" w:eastAsia="宋体" w:cs="宋体"/>
          <w:szCs w:val="22"/>
        </w:rPr>
        <w:t>+SiO</w:t>
      </w:r>
      <w:r>
        <w:rPr>
          <w:rFonts w:hint="eastAsia" w:ascii="宋体" w:hAnsi="宋体" w:eastAsia="宋体" w:cs="宋体"/>
          <w:szCs w:val="22"/>
          <w:vertAlign w:val="subscript"/>
        </w:rPr>
        <w:t>2</w:t>
      </w:r>
      <w:r>
        <w:rPr>
          <w:rFonts w:hint="eastAsia" w:ascii="宋体" w:hAnsi="宋体" w:eastAsia="宋体" w:cs="宋体"/>
          <w:szCs w:val="22"/>
        </w:rPr>
        <w:t>↑+CO</w:t>
      </w:r>
      <w:r>
        <w:rPr>
          <w:rFonts w:hint="eastAsia" w:ascii="宋体" w:hAnsi="宋体" w:eastAsia="宋体" w:cs="宋体"/>
          <w:szCs w:val="22"/>
          <w:vertAlign w:val="subscript"/>
        </w:rPr>
        <w:t>2</w:t>
      </w:r>
      <w:r>
        <w:rPr>
          <w:rFonts w:hint="eastAsia" w:ascii="宋体" w:hAnsi="宋体" w:eastAsia="宋体" w:cs="宋体"/>
          <w:szCs w:val="22"/>
        </w:rPr>
        <w:t>↑（主反应）</w:t>
      </w:r>
    </w:p>
    <w:p w14:paraId="7F08B420">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szCs w:val="22"/>
        </w:rPr>
        <w:t>ZrSiO</w:t>
      </w:r>
      <w:r>
        <w:rPr>
          <w:rFonts w:hint="eastAsia" w:ascii="宋体" w:hAnsi="宋体" w:eastAsia="宋体" w:cs="宋体"/>
          <w:szCs w:val="22"/>
          <w:vertAlign w:val="subscript"/>
        </w:rPr>
        <w:t>4</w:t>
      </w:r>
      <w:r>
        <w:rPr>
          <w:rFonts w:hint="eastAsia" w:ascii="宋体" w:hAnsi="宋体" w:eastAsia="宋体" w:cs="宋体"/>
          <w:szCs w:val="22"/>
        </w:rPr>
        <w:t>→ZrO</w:t>
      </w:r>
      <w:r>
        <w:rPr>
          <w:rFonts w:hint="eastAsia" w:ascii="宋体" w:hAnsi="宋体" w:eastAsia="宋体" w:cs="宋体"/>
          <w:szCs w:val="22"/>
          <w:vertAlign w:val="subscript"/>
        </w:rPr>
        <w:t>2</w:t>
      </w:r>
      <w:r>
        <w:rPr>
          <w:rFonts w:hint="eastAsia" w:ascii="宋体" w:hAnsi="宋体" w:eastAsia="宋体" w:cs="宋体"/>
          <w:szCs w:val="22"/>
        </w:rPr>
        <w:t>+SiO</w:t>
      </w:r>
      <w:r>
        <w:rPr>
          <w:rFonts w:hint="eastAsia" w:ascii="宋体" w:hAnsi="宋体" w:eastAsia="宋体" w:cs="宋体"/>
          <w:szCs w:val="22"/>
          <w:vertAlign w:val="subscript"/>
        </w:rPr>
        <w:t>2</w:t>
      </w:r>
      <w:r>
        <w:rPr>
          <w:rFonts w:hint="eastAsia" w:ascii="宋体" w:hAnsi="宋体" w:eastAsia="宋体" w:cs="宋体"/>
          <w:szCs w:val="22"/>
        </w:rPr>
        <w:t>↑</w:t>
      </w:r>
    </w:p>
    <w:p w14:paraId="0BF32245">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szCs w:val="22"/>
        </w:rPr>
        <w:t>SiO</w:t>
      </w:r>
      <w:r>
        <w:rPr>
          <w:rFonts w:hint="eastAsia" w:ascii="宋体" w:hAnsi="宋体" w:eastAsia="宋体" w:cs="宋体"/>
          <w:szCs w:val="22"/>
          <w:vertAlign w:val="subscript"/>
        </w:rPr>
        <w:t>2</w:t>
      </w:r>
      <w:r>
        <w:rPr>
          <w:rFonts w:hint="eastAsia" w:ascii="宋体" w:hAnsi="宋体" w:eastAsia="宋体" w:cs="宋体"/>
          <w:szCs w:val="22"/>
        </w:rPr>
        <w:t>+C→SiO+CO↑</w:t>
      </w:r>
    </w:p>
    <w:p w14:paraId="09766140">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szCs w:val="22"/>
        </w:rPr>
        <w:t>SiO</w:t>
      </w:r>
      <w:r>
        <w:rPr>
          <w:rFonts w:hint="eastAsia" w:ascii="宋体" w:hAnsi="宋体" w:eastAsia="宋体" w:cs="宋体"/>
          <w:szCs w:val="22"/>
          <w:vertAlign w:val="subscript"/>
        </w:rPr>
        <w:t>2</w:t>
      </w:r>
      <w:r>
        <w:rPr>
          <w:rFonts w:hint="eastAsia" w:ascii="宋体" w:hAnsi="宋体" w:eastAsia="宋体" w:cs="宋体"/>
          <w:szCs w:val="22"/>
        </w:rPr>
        <w:t>+C→Si+CO</w:t>
      </w:r>
      <w:r>
        <w:rPr>
          <w:rFonts w:hint="eastAsia" w:ascii="宋体" w:hAnsi="宋体" w:eastAsia="宋体" w:cs="宋体"/>
          <w:szCs w:val="22"/>
          <w:vertAlign w:val="subscript"/>
        </w:rPr>
        <w:t>2</w:t>
      </w:r>
      <w:r>
        <w:rPr>
          <w:rFonts w:hint="eastAsia" w:ascii="宋体" w:hAnsi="宋体" w:eastAsia="宋体" w:cs="宋体"/>
          <w:szCs w:val="22"/>
        </w:rPr>
        <w:t>↑</w:t>
      </w:r>
    </w:p>
    <w:p w14:paraId="1D7D7FDC">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szCs w:val="22"/>
        </w:rPr>
        <w:t>ZrSiO</w:t>
      </w:r>
      <w:r>
        <w:rPr>
          <w:rFonts w:hint="eastAsia" w:ascii="宋体" w:hAnsi="宋体" w:eastAsia="宋体" w:cs="宋体"/>
          <w:szCs w:val="22"/>
          <w:vertAlign w:val="subscript"/>
        </w:rPr>
        <w:t>4</w:t>
      </w:r>
      <w:r>
        <w:rPr>
          <w:rFonts w:hint="eastAsia" w:ascii="宋体" w:hAnsi="宋体" w:eastAsia="宋体" w:cs="宋体"/>
          <w:szCs w:val="22"/>
        </w:rPr>
        <w:t>+3C→Zr+SiO↑+3CO↑</w:t>
      </w:r>
    </w:p>
    <w:p w14:paraId="1E84E2E7">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szCs w:val="22"/>
        </w:rPr>
        <w:t>2CO+O</w:t>
      </w:r>
      <w:r>
        <w:rPr>
          <w:rFonts w:hint="eastAsia" w:ascii="宋体" w:hAnsi="宋体" w:eastAsia="宋体" w:cs="宋体"/>
          <w:szCs w:val="22"/>
          <w:vertAlign w:val="subscript"/>
        </w:rPr>
        <w:t>2</w:t>
      </w:r>
      <w:r>
        <w:rPr>
          <w:rFonts w:hint="eastAsia" w:ascii="宋体" w:hAnsi="宋体" w:eastAsia="宋体" w:cs="宋体"/>
          <w:szCs w:val="22"/>
        </w:rPr>
        <w:t>=CO</w:t>
      </w:r>
      <w:r>
        <w:rPr>
          <w:rFonts w:hint="eastAsia" w:ascii="宋体" w:hAnsi="宋体" w:eastAsia="宋体" w:cs="宋体"/>
          <w:szCs w:val="22"/>
          <w:vertAlign w:val="subscript"/>
        </w:rPr>
        <w:t>2</w:t>
      </w:r>
    </w:p>
    <w:p w14:paraId="23E6CEA4">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szCs w:val="22"/>
        </w:rPr>
      </w:pPr>
      <w:r>
        <w:rPr>
          <w:rFonts w:hint="eastAsia" w:ascii="宋体" w:hAnsi="宋体" w:eastAsia="宋体" w:cs="宋体"/>
          <w:szCs w:val="22"/>
        </w:rPr>
        <w:t>ZrSiO</w:t>
      </w:r>
      <w:r>
        <w:rPr>
          <w:rFonts w:hint="eastAsia" w:ascii="宋体" w:hAnsi="宋体" w:eastAsia="宋体" w:cs="宋体"/>
          <w:szCs w:val="22"/>
          <w:vertAlign w:val="subscript"/>
        </w:rPr>
        <w:t>4</w:t>
      </w:r>
      <w:r>
        <w:rPr>
          <w:rFonts w:hint="eastAsia" w:ascii="宋体" w:hAnsi="宋体" w:eastAsia="宋体" w:cs="宋体"/>
          <w:szCs w:val="22"/>
        </w:rPr>
        <w:t>+Si→ZrO</w:t>
      </w:r>
      <w:r>
        <w:rPr>
          <w:rFonts w:hint="eastAsia" w:ascii="宋体" w:hAnsi="宋体" w:eastAsia="宋体" w:cs="宋体"/>
          <w:szCs w:val="22"/>
          <w:vertAlign w:val="subscript"/>
        </w:rPr>
        <w:t>2</w:t>
      </w:r>
      <w:r>
        <w:rPr>
          <w:rFonts w:hint="eastAsia" w:ascii="宋体" w:hAnsi="宋体" w:eastAsia="宋体" w:cs="宋体"/>
          <w:szCs w:val="22"/>
        </w:rPr>
        <w:t>+2SiO↑</w:t>
      </w:r>
    </w:p>
    <w:p w14:paraId="073D474E">
      <w:pPr>
        <w:keepNext w:val="0"/>
        <w:keepLines w:val="0"/>
        <w:pageBreakBefore w:val="0"/>
        <w:widowControl w:val="0"/>
        <w:kinsoku/>
        <w:wordWrap/>
        <w:overflowPunct/>
        <w:topLinePunct w:val="0"/>
        <w:autoSpaceDE/>
        <w:autoSpaceDN/>
        <w:bidi w:val="0"/>
        <w:snapToGrid/>
        <w:textAlignment w:val="auto"/>
        <w:rPr>
          <w:rFonts w:hint="eastAsia"/>
          <w:lang w:val="en-US" w:eastAsia="zh-CN"/>
        </w:rPr>
      </w:pPr>
      <w:r>
        <w:rPr>
          <w:rFonts w:hint="eastAsia" w:ascii="宋体" w:hAnsi="宋体" w:eastAsia="宋体" w:cs="宋体"/>
        </w:rPr>
        <w:t>反应生成的ZrO</w:t>
      </w:r>
      <w:r>
        <w:rPr>
          <w:rFonts w:hint="eastAsia" w:ascii="宋体" w:hAnsi="宋体" w:eastAsia="宋体" w:cs="宋体"/>
          <w:vertAlign w:val="subscript"/>
        </w:rPr>
        <w:t>2</w:t>
      </w:r>
      <w:r>
        <w:rPr>
          <w:rFonts w:hint="eastAsia" w:ascii="宋体" w:hAnsi="宋体" w:eastAsia="宋体" w:cs="宋体"/>
        </w:rPr>
        <w:t>熔体，通过空压机压缩空气吹球，电炉由0度倾斜至35度，使流出来的液体物料直接吹向集球室，待冷却后，进行筛选，形成泡沫ZrO</w:t>
      </w:r>
      <w:r>
        <w:rPr>
          <w:rFonts w:hint="eastAsia" w:ascii="宋体" w:hAnsi="宋体" w:eastAsia="宋体" w:cs="宋体"/>
          <w:vertAlign w:val="subscript"/>
        </w:rPr>
        <w:t>2</w:t>
      </w:r>
      <w:r>
        <w:rPr>
          <w:rFonts w:hint="eastAsia" w:ascii="宋体" w:hAnsi="宋体" w:eastAsia="宋体" w:cs="宋体"/>
        </w:rPr>
        <w:t>。电炉中产生的二氧化硅粉尘和有害气体，炉气由全封闭的水冷炉盖收集，通过管道被抽风机抽入旋风除尘器，在旋风除尘器里，由于高速旋转的气体，二氧化硅粗大颗粒及部分粉尘在离心力作用下甩向器壁，聚集后落入灰斗。携带细尘的含尘烟气向上进入布袋除尘器，粉尘被滤袋挡住和</w:t>
      </w:r>
      <w:r>
        <w:rPr>
          <w:rFonts w:hint="eastAsia" w:ascii="宋体" w:hAnsi="宋体" w:eastAsia="宋体" w:cs="宋体"/>
          <w:lang w:eastAsia="zh-CN"/>
        </w:rPr>
        <w:t>黏附</w:t>
      </w:r>
      <w:r>
        <w:rPr>
          <w:rFonts w:hint="eastAsia" w:ascii="宋体" w:hAnsi="宋体" w:eastAsia="宋体" w:cs="宋体"/>
        </w:rPr>
        <w:t>在滤袋外，在脉冲吹风作用下落入灰斗，经过过滤的气体到达滤袋内并通过抽风机到袋口，经抽风机由排气筒排入大气</w:t>
      </w:r>
      <w:r>
        <w:rPr>
          <w:rFonts w:hint="eastAsia" w:ascii="宋体" w:hAnsi="宋体" w:eastAsia="宋体" w:cs="宋体"/>
          <w:lang w:val="en-US" w:eastAsia="zh-CN"/>
        </w:rPr>
        <w:t>。</w:t>
      </w:r>
    </w:p>
    <w:p w14:paraId="2BEBB3B6">
      <w:pPr>
        <w:pStyle w:val="5"/>
        <w:bidi w:val="0"/>
        <w:rPr>
          <w:rFonts w:hint="eastAsia"/>
        </w:rPr>
      </w:pPr>
      <w:r>
        <w:rPr>
          <w:rFonts w:hint="eastAsia"/>
        </w:rPr>
        <w:t>单斜电熔氧化锆生产工艺</w:t>
      </w:r>
      <w:r>
        <w:rPr>
          <w:rFonts w:hint="eastAsia" w:cs="Times New Roman"/>
        </w:rPr>
        <w:t>简述</w:t>
      </w:r>
    </w:p>
    <w:p w14:paraId="0F14BFD4">
      <w:pPr>
        <w:keepNext w:val="0"/>
        <w:keepLines w:val="0"/>
        <w:pageBreakBefore w:val="0"/>
        <w:widowControl w:val="0"/>
        <w:numPr>
          <w:ilvl w:val="0"/>
          <w:numId w:val="19"/>
        </w:numPr>
        <w:tabs>
          <w:tab w:val="left" w:pos="420"/>
        </w:tabs>
        <w:kinsoku/>
        <w:wordWrap/>
        <w:overflowPunct/>
        <w:topLinePunct w:val="0"/>
        <w:autoSpaceDE/>
        <w:autoSpaceDN/>
        <w:bidi w:val="0"/>
        <w:adjustRightInd/>
        <w:snapToGrid/>
        <w:ind w:left="0" w:firstLine="560"/>
        <w:textAlignment w:val="auto"/>
        <w:outlineLvl w:val="9"/>
        <w:rPr>
          <w:rFonts w:hint="eastAsia" w:ascii="宋体" w:hAnsi="宋体" w:eastAsia="宋体" w:cs="宋体"/>
          <w:color w:val="000000"/>
          <w:kern w:val="0"/>
          <w:szCs w:val="28"/>
        </w:rPr>
      </w:pPr>
      <w:r>
        <w:rPr>
          <w:rFonts w:hint="eastAsia" w:ascii="宋体" w:hAnsi="宋体" w:eastAsia="宋体" w:cs="宋体"/>
          <w:color w:val="000000"/>
          <w:kern w:val="0"/>
          <w:szCs w:val="28"/>
        </w:rPr>
        <w:t>备料系统</w:t>
      </w:r>
    </w:p>
    <w:p w14:paraId="76A20D06">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rPr>
        <w:t>将原料锆英砂和石油焦按一定比例投入混料机，进行均匀混合，原料混料完全后入料斗。由行车运至电弧炉进料口，按照规定分批次投加已混好的原料</w:t>
      </w:r>
      <w:r>
        <w:rPr>
          <w:rFonts w:hint="eastAsia" w:ascii="宋体" w:hAnsi="宋体" w:eastAsia="宋体" w:cs="宋体"/>
          <w:szCs w:val="22"/>
        </w:rPr>
        <w:t>。</w:t>
      </w:r>
    </w:p>
    <w:p w14:paraId="7BFEC786">
      <w:pPr>
        <w:keepNext w:val="0"/>
        <w:keepLines w:val="0"/>
        <w:pageBreakBefore w:val="0"/>
        <w:widowControl w:val="0"/>
        <w:numPr>
          <w:ilvl w:val="0"/>
          <w:numId w:val="19"/>
        </w:numPr>
        <w:tabs>
          <w:tab w:val="left" w:pos="420"/>
        </w:tabs>
        <w:kinsoku/>
        <w:wordWrap/>
        <w:overflowPunct/>
        <w:topLinePunct w:val="0"/>
        <w:autoSpaceDE/>
        <w:autoSpaceDN/>
        <w:bidi w:val="0"/>
        <w:adjustRightInd/>
        <w:snapToGrid/>
        <w:ind w:left="0" w:firstLine="560"/>
        <w:textAlignment w:val="auto"/>
        <w:outlineLvl w:val="9"/>
        <w:rPr>
          <w:rFonts w:hint="eastAsia" w:ascii="宋体" w:hAnsi="宋体" w:eastAsia="宋体" w:cs="宋体"/>
          <w:color w:val="000000"/>
          <w:kern w:val="0"/>
          <w:szCs w:val="28"/>
        </w:rPr>
      </w:pPr>
      <w:r>
        <w:rPr>
          <w:rFonts w:hint="eastAsia" w:ascii="宋体" w:hAnsi="宋体" w:eastAsia="宋体" w:cs="宋体"/>
          <w:color w:val="000000"/>
          <w:kern w:val="0"/>
          <w:szCs w:val="28"/>
        </w:rPr>
        <w:t>电弧炉熔炼</w:t>
      </w:r>
    </w:p>
    <w:p w14:paraId="6CE66D44">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szCs w:val="22"/>
        </w:rPr>
        <w:t>电弧炉熔炼包括脱硅、吹球冷却两个反应过程。</w:t>
      </w:r>
    </w:p>
    <w:p w14:paraId="667CAD22">
      <w:pPr>
        <w:keepNext w:val="0"/>
        <w:keepLines w:val="0"/>
        <w:pageBreakBefore w:val="0"/>
        <w:widowControl w:val="0"/>
        <w:numPr>
          <w:ilvl w:val="0"/>
          <w:numId w:val="20"/>
        </w:numPr>
        <w:kinsoku/>
        <w:wordWrap/>
        <w:overflowPunct/>
        <w:topLinePunct w:val="0"/>
        <w:autoSpaceDE/>
        <w:autoSpaceDN/>
        <w:bidi w:val="0"/>
        <w:adjustRightInd/>
        <w:snapToGrid/>
        <w:ind w:left="0" w:leftChars="0" w:firstLine="560" w:firstLineChars="200"/>
        <w:jc w:val="both"/>
        <w:textAlignment w:val="auto"/>
        <w:rPr>
          <w:rFonts w:hint="eastAsia" w:ascii="宋体" w:hAnsi="宋体" w:eastAsia="宋体" w:cs="宋体"/>
          <w:szCs w:val="22"/>
        </w:rPr>
      </w:pPr>
      <w:r>
        <w:rPr>
          <w:rFonts w:hint="eastAsia" w:ascii="宋体" w:hAnsi="宋体" w:eastAsia="宋体" w:cs="宋体"/>
          <w:szCs w:val="22"/>
        </w:rPr>
        <w:t>脱硅</w:t>
      </w:r>
    </w:p>
    <w:p w14:paraId="68390D79">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rPr>
        <w:t>项目选用△起弧法，三根电极位置均布，并由碳块连接起来，拍实，三相电极同步下降，一触碳块，便引起电极同时起弧，20min后，电流由低电流逐渐升高，升至7000A时，保持稳定，开始投料，投料过程不宜过快，防止出现小坩埚区，保持大功率熔化，待电极下达所需电流时，出现物料熔融时，此时温度1540℃，出现分解，投料开始，在1h内人工投入完一半混合标的物料（约4.4t）。另一半混合标的物料（约4.4t）通过固定的加料口由人工通过行车吊装的方式在脱硅、精炼阶段分步</w:t>
      </w:r>
      <w:r>
        <w:rPr>
          <w:rFonts w:hint="eastAsia" w:ascii="宋体" w:hAnsi="宋体" w:eastAsia="宋体" w:cs="宋体"/>
          <w:lang w:eastAsia="zh-CN"/>
        </w:rPr>
        <w:t>加入</w:t>
      </w:r>
      <w:r>
        <w:rPr>
          <w:rFonts w:hint="eastAsia" w:ascii="宋体" w:hAnsi="宋体" w:eastAsia="宋体" w:cs="宋体"/>
        </w:rPr>
        <w:t>电弧炉进行冶炼。逐步</w:t>
      </w:r>
      <w:r>
        <w:rPr>
          <w:rFonts w:hint="eastAsia" w:ascii="宋体" w:hAnsi="宋体" w:eastAsia="宋体" w:cs="宋体"/>
          <w:lang w:eastAsia="zh-CN"/>
        </w:rPr>
        <w:t>更换挡位</w:t>
      </w:r>
      <w:r>
        <w:rPr>
          <w:rFonts w:hint="eastAsia" w:ascii="宋体" w:hAnsi="宋体" w:eastAsia="宋体" w:cs="宋体"/>
        </w:rPr>
        <w:t>，220/240V，炉内温度开始升高，控制在1780℃～2000℃内，这个时间大约在2h左右，此时炉内状态：由于比重不同，ZrO</w:t>
      </w:r>
      <w:r>
        <w:rPr>
          <w:rFonts w:hint="eastAsia" w:ascii="宋体" w:hAnsi="宋体" w:eastAsia="宋体" w:cs="宋体"/>
          <w:vertAlign w:val="subscript"/>
        </w:rPr>
        <w:t>2</w:t>
      </w:r>
      <w:r>
        <w:rPr>
          <w:rFonts w:hint="eastAsia" w:ascii="宋体" w:hAnsi="宋体" w:eastAsia="宋体" w:cs="宋体"/>
        </w:rPr>
        <w:t>下沉，SiO</w:t>
      </w:r>
      <w:r>
        <w:rPr>
          <w:rFonts w:hint="eastAsia" w:ascii="宋体" w:hAnsi="宋体" w:eastAsia="宋体" w:cs="宋体"/>
          <w:vertAlign w:val="subscript"/>
        </w:rPr>
        <w:t>2</w:t>
      </w:r>
      <w:r>
        <w:rPr>
          <w:rFonts w:hint="eastAsia" w:ascii="宋体" w:hAnsi="宋体" w:eastAsia="宋体" w:cs="宋体"/>
        </w:rPr>
        <w:t>、CO还有部分C粉向上翻滚，形成黑色熔融物料，里部向外有三色火苗，CO在燃烧。炉内出现白色的SiO</w:t>
      </w:r>
      <w:r>
        <w:rPr>
          <w:rFonts w:hint="eastAsia" w:ascii="宋体" w:hAnsi="宋体" w:eastAsia="宋体" w:cs="宋体"/>
          <w:vertAlign w:val="subscript"/>
        </w:rPr>
        <w:t>2</w:t>
      </w:r>
      <w:r>
        <w:rPr>
          <w:rFonts w:hint="eastAsia" w:ascii="宋体" w:hAnsi="宋体" w:eastAsia="宋体" w:cs="宋体"/>
        </w:rPr>
        <w:t>，流向集料室。大约经过40min，此时，炉内逐渐出现了黄色、白色物料，并在电极周围，进行旋转，物料逐步变成熔融体，炉膛内CO在燃烧，大量的SiO生成SiO</w:t>
      </w:r>
      <w:r>
        <w:rPr>
          <w:rFonts w:hint="eastAsia" w:ascii="宋体" w:hAnsi="宋体" w:eastAsia="宋体" w:cs="宋体"/>
          <w:vertAlign w:val="subscript"/>
        </w:rPr>
        <w:t>2</w:t>
      </w:r>
      <w:r>
        <w:rPr>
          <w:rFonts w:hint="eastAsia" w:ascii="宋体" w:hAnsi="宋体" w:eastAsia="宋体" w:cs="宋体"/>
        </w:rPr>
        <w:t>，走向集料室（大炉罩），此时逐渐升温，选用200V档位，电流在9300A时，炉膛内烟气逐渐减少，肉眼通过镜片，清楚</w:t>
      </w:r>
      <w:r>
        <w:rPr>
          <w:rFonts w:hint="eastAsia" w:ascii="宋体" w:hAnsi="宋体" w:eastAsia="宋体" w:cs="宋体"/>
          <w:lang w:eastAsia="zh-CN"/>
        </w:rPr>
        <w:t>地</w:t>
      </w:r>
      <w:r>
        <w:rPr>
          <w:rFonts w:hint="eastAsia" w:ascii="宋体" w:hAnsi="宋体" w:eastAsia="宋体" w:cs="宋体"/>
        </w:rPr>
        <w:t>看到热浪和白色的SiO</w:t>
      </w:r>
      <w:r>
        <w:rPr>
          <w:rFonts w:hint="eastAsia" w:ascii="宋体" w:hAnsi="宋体" w:eastAsia="宋体" w:cs="宋体"/>
          <w:vertAlign w:val="subscript"/>
        </w:rPr>
        <w:t>2</w:t>
      </w:r>
      <w:r>
        <w:rPr>
          <w:rFonts w:hint="eastAsia" w:ascii="宋体" w:hAnsi="宋体" w:eastAsia="宋体" w:cs="宋体"/>
        </w:rPr>
        <w:t>出现，高温SiO</w:t>
      </w:r>
      <w:r>
        <w:rPr>
          <w:rFonts w:hint="eastAsia" w:ascii="宋体" w:hAnsi="宋体" w:eastAsia="宋体" w:cs="宋体"/>
          <w:vertAlign w:val="subscript"/>
        </w:rPr>
        <w:t>2</w:t>
      </w:r>
      <w:r>
        <w:rPr>
          <w:rFonts w:hint="eastAsia" w:ascii="宋体" w:hAnsi="宋体" w:eastAsia="宋体" w:cs="宋体"/>
        </w:rPr>
        <w:t>遇到水冷壁时，形成白色棉絮状，条形SiO</w:t>
      </w:r>
      <w:r>
        <w:rPr>
          <w:rFonts w:hint="eastAsia" w:ascii="宋体" w:hAnsi="宋体" w:eastAsia="宋体" w:cs="宋体"/>
          <w:vertAlign w:val="subscript"/>
        </w:rPr>
        <w:t>2</w:t>
      </w:r>
      <w:r>
        <w:rPr>
          <w:rFonts w:hint="eastAsia" w:ascii="宋体" w:hAnsi="宋体" w:eastAsia="宋体" w:cs="宋体"/>
        </w:rPr>
        <w:t>，在系统引风机产生负压作用下，SiO</w:t>
      </w:r>
      <w:r>
        <w:rPr>
          <w:rFonts w:hint="eastAsia" w:ascii="宋体" w:hAnsi="宋体" w:eastAsia="宋体" w:cs="宋体"/>
          <w:vertAlign w:val="subscript"/>
        </w:rPr>
        <w:t>2</w:t>
      </w:r>
      <w:r>
        <w:rPr>
          <w:rFonts w:hint="eastAsia" w:ascii="宋体" w:hAnsi="宋体" w:eastAsia="宋体" w:cs="宋体"/>
        </w:rPr>
        <w:t>飞向集料室（大炉罩），这种状态大约需2h</w:t>
      </w:r>
      <w:r>
        <w:rPr>
          <w:rFonts w:hint="eastAsia" w:ascii="宋体" w:hAnsi="宋体" w:eastAsia="宋体" w:cs="宋体"/>
          <w:szCs w:val="22"/>
        </w:rPr>
        <w:t>。</w:t>
      </w:r>
    </w:p>
    <w:p w14:paraId="66707EEE">
      <w:pPr>
        <w:keepNext w:val="0"/>
        <w:keepLines w:val="0"/>
        <w:pageBreakBefore w:val="0"/>
        <w:widowControl w:val="0"/>
        <w:numPr>
          <w:ilvl w:val="0"/>
          <w:numId w:val="20"/>
        </w:numPr>
        <w:kinsoku/>
        <w:wordWrap/>
        <w:overflowPunct/>
        <w:topLinePunct w:val="0"/>
        <w:autoSpaceDE/>
        <w:autoSpaceDN/>
        <w:bidi w:val="0"/>
        <w:adjustRightInd/>
        <w:snapToGrid/>
        <w:ind w:left="0" w:leftChars="0" w:firstLine="560" w:firstLineChars="200"/>
        <w:jc w:val="both"/>
        <w:textAlignment w:val="auto"/>
        <w:rPr>
          <w:rFonts w:hint="eastAsia" w:ascii="宋体" w:hAnsi="宋体" w:eastAsia="宋体" w:cs="宋体"/>
          <w:szCs w:val="22"/>
        </w:rPr>
      </w:pPr>
      <w:r>
        <w:rPr>
          <w:rFonts w:hint="eastAsia" w:ascii="宋体" w:hAnsi="宋体" w:eastAsia="宋体" w:cs="宋体"/>
          <w:szCs w:val="22"/>
        </w:rPr>
        <w:t>吹球冷却</w:t>
      </w:r>
    </w:p>
    <w:p w14:paraId="4417AB9A">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rPr>
        <w:t>开动空压机，使储气罐达到8kg/cm</w:t>
      </w:r>
      <w:r>
        <w:rPr>
          <w:rFonts w:hint="eastAsia" w:ascii="宋体" w:hAnsi="宋体" w:eastAsia="宋体" w:cs="宋体"/>
          <w:vertAlign w:val="superscript"/>
        </w:rPr>
        <w:t>3</w:t>
      </w:r>
      <w:r>
        <w:rPr>
          <w:rFonts w:hint="eastAsia" w:ascii="宋体" w:hAnsi="宋体" w:eastAsia="宋体" w:cs="宋体"/>
        </w:rPr>
        <w:t>，使空气和氧气的混合气体达到正常喷吹风速14m/s，电炉由0度倾斜至35度使流出来的液体物料直接吹向集球室，整个时间为10min左右，熔体的喷吹最远可达到12m，熔体从高温急冷形成ZrO</w:t>
      </w:r>
      <w:r>
        <w:rPr>
          <w:rFonts w:hint="eastAsia" w:ascii="宋体" w:hAnsi="宋体" w:eastAsia="宋体" w:cs="宋体"/>
          <w:vertAlign w:val="subscript"/>
        </w:rPr>
        <w:t>2</w:t>
      </w:r>
      <w:r>
        <w:rPr>
          <w:rFonts w:hint="eastAsia" w:ascii="宋体" w:hAnsi="宋体" w:eastAsia="宋体" w:cs="宋体"/>
        </w:rPr>
        <w:t>大约1s内完成整个冷却过程。待冷却后，进行筛选。电熔生成过程基本完成，整个时间为210min，这种产品也叫泡沫ZrO</w:t>
      </w:r>
      <w:r>
        <w:rPr>
          <w:rFonts w:hint="eastAsia" w:ascii="宋体" w:hAnsi="宋体" w:eastAsia="宋体" w:cs="宋体"/>
          <w:vertAlign w:val="subscript"/>
        </w:rPr>
        <w:t>2</w:t>
      </w:r>
      <w:r>
        <w:rPr>
          <w:rFonts w:hint="eastAsia" w:ascii="宋体" w:hAnsi="宋体" w:eastAsia="宋体" w:cs="宋体"/>
          <w:szCs w:val="22"/>
        </w:rPr>
        <w:t>。</w:t>
      </w:r>
    </w:p>
    <w:p w14:paraId="07C0A18E">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szCs w:val="22"/>
        </w:rPr>
        <w:t>电弧炉一个冶炼周期的完成需要210min（3.5h），不需要冷却，直接进入下一个周期，一天运转6个周期。</w:t>
      </w:r>
    </w:p>
    <w:p w14:paraId="069D376B">
      <w:pPr>
        <w:keepNext w:val="0"/>
        <w:keepLines w:val="0"/>
        <w:pageBreakBefore w:val="0"/>
        <w:widowControl w:val="0"/>
        <w:numPr>
          <w:ilvl w:val="0"/>
          <w:numId w:val="19"/>
        </w:numPr>
        <w:tabs>
          <w:tab w:val="left" w:pos="420"/>
        </w:tabs>
        <w:kinsoku/>
        <w:wordWrap/>
        <w:overflowPunct/>
        <w:topLinePunct w:val="0"/>
        <w:autoSpaceDE/>
        <w:autoSpaceDN/>
        <w:bidi w:val="0"/>
        <w:adjustRightInd/>
        <w:snapToGrid/>
        <w:ind w:left="0" w:firstLine="560"/>
        <w:textAlignment w:val="auto"/>
        <w:outlineLvl w:val="9"/>
        <w:rPr>
          <w:rFonts w:hint="eastAsia" w:ascii="宋体" w:hAnsi="宋体" w:eastAsia="宋体" w:cs="宋体"/>
          <w:color w:val="000000"/>
          <w:kern w:val="0"/>
          <w:szCs w:val="28"/>
        </w:rPr>
      </w:pPr>
      <w:r>
        <w:rPr>
          <w:rFonts w:hint="eastAsia" w:ascii="宋体" w:hAnsi="宋体" w:eastAsia="宋体" w:cs="宋体"/>
          <w:color w:val="000000"/>
          <w:kern w:val="0"/>
          <w:szCs w:val="28"/>
        </w:rPr>
        <w:t>制粉</w:t>
      </w:r>
    </w:p>
    <w:p w14:paraId="4DE8D02D">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rPr>
        <w:t>泡沫ZrO</w:t>
      </w:r>
      <w:r>
        <w:rPr>
          <w:rFonts w:hint="eastAsia" w:ascii="宋体" w:hAnsi="宋体" w:eastAsia="宋体" w:cs="宋体"/>
          <w:vertAlign w:val="subscript"/>
        </w:rPr>
        <w:t>2</w:t>
      </w:r>
      <w:r>
        <w:rPr>
          <w:rFonts w:hint="eastAsia" w:ascii="宋体" w:hAnsi="宋体" w:eastAsia="宋体" w:cs="宋体"/>
        </w:rPr>
        <w:t>化学性能稳定，2000℃时以下和任何物质不发生化学反应，属于多晶相转化的氧化物，颗粒状态，比重大，高温收缩，低温膨胀，ZrO</w:t>
      </w:r>
      <w:r>
        <w:rPr>
          <w:rFonts w:hint="eastAsia" w:ascii="宋体" w:hAnsi="宋体" w:eastAsia="宋体" w:cs="宋体"/>
          <w:vertAlign w:val="subscript"/>
        </w:rPr>
        <w:t>2</w:t>
      </w:r>
      <w:r>
        <w:rPr>
          <w:rFonts w:hint="eastAsia" w:ascii="宋体" w:hAnsi="宋体" w:eastAsia="宋体" w:cs="宋体"/>
        </w:rPr>
        <w:t xml:space="preserve"> 空心球经筛选，进入磨粉机系统（主要结构：由主机、分析机、风机，成品旋风分离器、微粉旋风分离器及风管组成，其中主机由机架、进风蜗壳、铲刀、磨辊、磨环、罩壳组成）。在离心力的作用下，磨辊向外摆动压紧磨环，使铲上之磨料置于其间，因磨辊的滚碾以达到粉碎和研磨的作用，研磨后的粉末被鼓风机的气流吹到主机上方的分析机进行筛分。细度过粗者仍落入主机内重磨，细度符合规格者随风流进入大旋风收集器，收集后经出粉管排出即为成品。净化后的气流经旋风收集器上端的管道流入鼓风机。风路是闭路循环的，除鼓风机至研磨室为正压外，其余管道内气流均在负压下流动，厂房内卫生条件较好。由于物料所含水分在研磨时受热蒸发为气体，管路中各接合处、进料口等处泄入风管内的气体导致循环风路中的风量增加，由项增加之风量经鼓风机与主机中间的余风管导至小旋风收集器，随同风流带入之粉末经收集后由另一管道排出。气体仍含有一定浓度的粉尘，气体经小旋风收集器上端管道排入电弧炉的除尘装置进行处理净化达标排放</w:t>
      </w:r>
      <w:r>
        <w:rPr>
          <w:rFonts w:hint="eastAsia" w:ascii="宋体" w:hAnsi="宋体" w:eastAsia="宋体" w:cs="宋体"/>
          <w:szCs w:val="22"/>
        </w:rPr>
        <w:t>。</w:t>
      </w:r>
    </w:p>
    <w:p w14:paraId="4AA94F08">
      <w:pPr>
        <w:keepNext w:val="0"/>
        <w:keepLines w:val="0"/>
        <w:pageBreakBefore w:val="0"/>
        <w:widowControl w:val="0"/>
        <w:numPr>
          <w:ilvl w:val="0"/>
          <w:numId w:val="19"/>
        </w:numPr>
        <w:tabs>
          <w:tab w:val="left" w:pos="420"/>
        </w:tabs>
        <w:kinsoku/>
        <w:wordWrap/>
        <w:overflowPunct/>
        <w:topLinePunct w:val="0"/>
        <w:autoSpaceDE/>
        <w:autoSpaceDN/>
        <w:bidi w:val="0"/>
        <w:adjustRightInd/>
        <w:snapToGrid/>
        <w:ind w:left="0" w:firstLine="560"/>
        <w:textAlignment w:val="auto"/>
        <w:outlineLvl w:val="9"/>
        <w:rPr>
          <w:rFonts w:hint="eastAsia" w:ascii="宋体" w:hAnsi="宋体" w:eastAsia="宋体" w:cs="宋体"/>
          <w:color w:val="000000"/>
          <w:kern w:val="0"/>
          <w:szCs w:val="28"/>
        </w:rPr>
      </w:pPr>
      <w:r>
        <w:rPr>
          <w:rFonts w:hint="eastAsia" w:ascii="宋体" w:hAnsi="宋体" w:eastAsia="宋体" w:cs="宋体"/>
          <w:color w:val="000000"/>
          <w:kern w:val="0"/>
          <w:szCs w:val="28"/>
        </w:rPr>
        <w:t>Si</w:t>
      </w:r>
      <w:r>
        <w:rPr>
          <w:rFonts w:hint="eastAsia" w:ascii="宋体" w:hAnsi="宋体" w:eastAsia="宋体" w:cs="宋体"/>
          <w:szCs w:val="22"/>
        </w:rPr>
        <w:t>O</w:t>
      </w:r>
      <w:r>
        <w:rPr>
          <w:rFonts w:hint="eastAsia" w:ascii="宋体" w:hAnsi="宋体" w:eastAsia="宋体" w:cs="宋体"/>
          <w:szCs w:val="22"/>
          <w:vertAlign w:val="subscript"/>
        </w:rPr>
        <w:t>2</w:t>
      </w:r>
      <w:r>
        <w:rPr>
          <w:rFonts w:hint="eastAsia" w:ascii="宋体" w:hAnsi="宋体" w:eastAsia="宋体" w:cs="宋体"/>
          <w:color w:val="000000"/>
          <w:kern w:val="0"/>
          <w:szCs w:val="28"/>
        </w:rPr>
        <w:t>微粉回收</w:t>
      </w:r>
    </w:p>
    <w:p w14:paraId="2DCB58B3">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rPr>
        <w:t>将炉体上部做一个封闭的水冷炉盖，将整个电炉做一个防尘大罩，使电炉形成一个密闭的窑器，确保厂房内没有扬尘点；将炉体内产生大量高温SiO</w:t>
      </w:r>
      <w:r>
        <w:rPr>
          <w:rFonts w:hint="eastAsia" w:ascii="宋体" w:hAnsi="宋体" w:eastAsia="宋体" w:cs="宋体"/>
          <w:vertAlign w:val="subscript"/>
        </w:rPr>
        <w:t>2</w:t>
      </w:r>
      <w:r>
        <w:rPr>
          <w:rFonts w:hint="eastAsia" w:ascii="宋体" w:hAnsi="宋体" w:eastAsia="宋体" w:cs="宋体"/>
        </w:rPr>
        <w:t>，通过热交换器降温，进入混合器，入口装一个自动控制的冷风阀门，通过调频将SiO</w:t>
      </w:r>
      <w:r>
        <w:rPr>
          <w:rFonts w:hint="eastAsia" w:ascii="宋体" w:hAnsi="宋体" w:eastAsia="宋体" w:cs="宋体"/>
          <w:vertAlign w:val="subscript"/>
        </w:rPr>
        <w:t>2</w:t>
      </w:r>
      <w:r>
        <w:rPr>
          <w:rFonts w:hint="eastAsia" w:ascii="宋体" w:hAnsi="宋体" w:eastAsia="宋体" w:cs="宋体"/>
        </w:rPr>
        <w:t>微粉控制在120℃左右，8台旋风除尘器，收集并排出粗径后，然后进入空气脉冲反吹箱式布袋除尘器。为保证布袋除尘器待料寿命，含SiO</w:t>
      </w:r>
      <w:r>
        <w:rPr>
          <w:rFonts w:hint="eastAsia" w:ascii="宋体" w:hAnsi="宋体" w:eastAsia="宋体" w:cs="宋体"/>
          <w:vertAlign w:val="subscript"/>
        </w:rPr>
        <w:t>2</w:t>
      </w:r>
      <w:r>
        <w:rPr>
          <w:rFonts w:hint="eastAsia" w:ascii="宋体" w:hAnsi="宋体" w:eastAsia="宋体" w:cs="宋体"/>
        </w:rPr>
        <w:t>微粉的烟气温度降至120℃左右进入气箱式脉冲布袋回收器，器内分室，各室交替集料、交替反吹落料。含有微粉的气体</w:t>
      </w:r>
      <w:r>
        <w:rPr>
          <w:rFonts w:hint="eastAsia" w:ascii="宋体" w:hAnsi="宋体" w:eastAsia="宋体" w:cs="宋体"/>
          <w:lang w:eastAsia="zh-CN"/>
        </w:rPr>
        <w:t>滤</w:t>
      </w:r>
      <w:r>
        <w:rPr>
          <w:rFonts w:hint="eastAsia" w:ascii="宋体" w:hAnsi="宋体" w:eastAsia="宋体" w:cs="宋体"/>
        </w:rPr>
        <w:t>净后排空，SiO</w:t>
      </w:r>
      <w:r>
        <w:rPr>
          <w:rFonts w:hint="eastAsia" w:ascii="宋体" w:hAnsi="宋体" w:eastAsia="宋体" w:cs="宋体"/>
          <w:vertAlign w:val="subscript"/>
        </w:rPr>
        <w:t>2</w:t>
      </w:r>
      <w:r>
        <w:rPr>
          <w:rFonts w:hint="eastAsia" w:ascii="宋体" w:hAnsi="宋体" w:eastAsia="宋体" w:cs="宋体"/>
        </w:rPr>
        <w:t>微粉回收率可达99%以上</w:t>
      </w:r>
      <w:r>
        <w:rPr>
          <w:rFonts w:hint="eastAsia" w:ascii="宋体" w:hAnsi="宋体" w:eastAsia="宋体" w:cs="宋体"/>
          <w:szCs w:val="22"/>
        </w:rPr>
        <w:t>。</w:t>
      </w:r>
    </w:p>
    <w:p w14:paraId="5796A3BC">
      <w:pPr>
        <w:keepNext w:val="0"/>
        <w:keepLines w:val="0"/>
        <w:pageBreakBefore w:val="0"/>
        <w:widowControl w:val="0"/>
        <w:numPr>
          <w:ilvl w:val="0"/>
          <w:numId w:val="19"/>
        </w:numPr>
        <w:tabs>
          <w:tab w:val="left" w:pos="420"/>
        </w:tabs>
        <w:kinsoku/>
        <w:wordWrap/>
        <w:overflowPunct/>
        <w:topLinePunct w:val="0"/>
        <w:autoSpaceDE/>
        <w:autoSpaceDN/>
        <w:bidi w:val="0"/>
        <w:adjustRightInd/>
        <w:snapToGrid/>
        <w:ind w:left="0" w:firstLine="560"/>
        <w:textAlignment w:val="auto"/>
        <w:outlineLvl w:val="9"/>
        <w:rPr>
          <w:rFonts w:hint="eastAsia" w:ascii="宋体" w:hAnsi="宋体" w:eastAsia="宋体" w:cs="宋体"/>
          <w:color w:val="000000"/>
          <w:kern w:val="0"/>
          <w:szCs w:val="28"/>
        </w:rPr>
      </w:pPr>
      <w:r>
        <w:rPr>
          <w:rFonts w:hint="eastAsia" w:ascii="宋体" w:hAnsi="宋体" w:eastAsia="宋体" w:cs="宋体"/>
          <w:color w:val="000000"/>
          <w:kern w:val="0"/>
          <w:szCs w:val="28"/>
        </w:rPr>
        <w:t>产品检验、包装</w:t>
      </w:r>
    </w:p>
    <w:p w14:paraId="59B36D09">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szCs w:val="22"/>
        </w:rPr>
      </w:pPr>
      <w:r>
        <w:rPr>
          <w:rFonts w:hint="eastAsia" w:ascii="宋体" w:hAnsi="宋体" w:eastAsia="宋体" w:cs="宋体"/>
        </w:rPr>
        <w:t>SiO</w:t>
      </w:r>
      <w:r>
        <w:rPr>
          <w:rFonts w:hint="eastAsia" w:ascii="宋体" w:hAnsi="宋体" w:eastAsia="宋体" w:cs="宋体"/>
          <w:vertAlign w:val="subscript"/>
        </w:rPr>
        <w:t>2</w:t>
      </w:r>
      <w:r>
        <w:rPr>
          <w:rFonts w:hint="eastAsia" w:ascii="宋体" w:hAnsi="宋体" w:eastAsia="宋体" w:cs="宋体"/>
        </w:rPr>
        <w:t>微粉回收装置下料斗用料袋密封，下料斗的产品经过物理、化学等方面的检验合格后，用人工方式进行包装，进入成品库。检验主要用化学分析法检测ZrO</w:t>
      </w:r>
      <w:r>
        <w:rPr>
          <w:rFonts w:hint="eastAsia" w:ascii="宋体" w:hAnsi="宋体" w:eastAsia="宋体" w:cs="宋体"/>
          <w:vertAlign w:val="subscript"/>
        </w:rPr>
        <w:t>2</w:t>
      </w:r>
      <w:r>
        <w:rPr>
          <w:rFonts w:hint="eastAsia" w:ascii="宋体" w:hAnsi="宋体" w:eastAsia="宋体" w:cs="宋体"/>
        </w:rPr>
        <w:t>、Fe</w:t>
      </w:r>
      <w:r>
        <w:rPr>
          <w:rFonts w:hint="eastAsia" w:ascii="宋体" w:hAnsi="宋体" w:eastAsia="宋体" w:cs="宋体"/>
          <w:vertAlign w:val="subscript"/>
        </w:rPr>
        <w:t>2</w:t>
      </w:r>
      <w:r>
        <w:rPr>
          <w:rFonts w:hint="eastAsia" w:ascii="宋体" w:hAnsi="宋体" w:eastAsia="宋体" w:cs="宋体"/>
        </w:rPr>
        <w:t>O</w:t>
      </w:r>
      <w:r>
        <w:rPr>
          <w:rFonts w:hint="eastAsia" w:ascii="宋体" w:hAnsi="宋体" w:eastAsia="宋体" w:cs="宋体"/>
          <w:vertAlign w:val="subscript"/>
        </w:rPr>
        <w:t>3</w:t>
      </w:r>
      <w:r>
        <w:rPr>
          <w:rFonts w:hint="eastAsia" w:ascii="宋体" w:hAnsi="宋体" w:eastAsia="宋体" w:cs="宋体"/>
        </w:rPr>
        <w:t>、Al</w:t>
      </w:r>
      <w:r>
        <w:rPr>
          <w:rFonts w:hint="eastAsia" w:ascii="宋体" w:hAnsi="宋体" w:eastAsia="宋体" w:cs="宋体"/>
          <w:vertAlign w:val="subscript"/>
        </w:rPr>
        <w:t>2</w:t>
      </w:r>
      <w:r>
        <w:rPr>
          <w:rFonts w:hint="eastAsia" w:ascii="宋体" w:hAnsi="宋体" w:eastAsia="宋体" w:cs="宋体"/>
        </w:rPr>
        <w:t>O</w:t>
      </w:r>
      <w:r>
        <w:rPr>
          <w:rFonts w:hint="eastAsia" w:ascii="宋体" w:hAnsi="宋体" w:eastAsia="宋体" w:cs="宋体"/>
          <w:vertAlign w:val="subscript"/>
        </w:rPr>
        <w:t>3</w:t>
      </w:r>
      <w:r>
        <w:rPr>
          <w:rFonts w:hint="eastAsia" w:ascii="宋体" w:hAnsi="宋体" w:eastAsia="宋体" w:cs="宋体"/>
        </w:rPr>
        <w:t>、TiO</w:t>
      </w:r>
      <w:r>
        <w:rPr>
          <w:rFonts w:hint="eastAsia" w:ascii="宋体" w:hAnsi="宋体" w:eastAsia="宋体" w:cs="宋体"/>
          <w:vertAlign w:val="subscript"/>
        </w:rPr>
        <w:t>2</w:t>
      </w:r>
      <w:r>
        <w:rPr>
          <w:rFonts w:hint="eastAsia" w:ascii="宋体" w:hAnsi="宋体" w:eastAsia="宋体" w:cs="宋体"/>
        </w:rPr>
        <w:t>质量百分比，用激光粒度仪控制产品的粒度。如果客户要求，检测U+Th含量，另外出厂产品再做发色检测试验</w:t>
      </w:r>
      <w:r>
        <w:rPr>
          <w:rFonts w:hint="eastAsia" w:ascii="宋体" w:hAnsi="宋体" w:eastAsia="宋体" w:cs="宋体"/>
          <w:szCs w:val="22"/>
        </w:rPr>
        <w:t>。</w:t>
      </w:r>
    </w:p>
    <w:p w14:paraId="00C43BD0">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rPr>
      </w:pPr>
      <w:r>
        <w:rPr>
          <w:rFonts w:hint="eastAsia" w:ascii="宋体" w:hAnsi="宋体" w:eastAsia="宋体" w:cs="宋体"/>
        </w:rPr>
        <w:t>除铁工艺：车间的振筛机、粉磨机进出料口都设有永磁除铁装置，主要除去产品中的机械铁及磁性物等杂物</w:t>
      </w:r>
      <w:r>
        <w:rPr>
          <w:rFonts w:hint="eastAsia" w:ascii="宋体" w:hAnsi="宋体" w:eastAsia="宋体" w:cs="宋体"/>
          <w:szCs w:val="22"/>
        </w:rPr>
        <w:t>。</w:t>
      </w:r>
    </w:p>
    <w:p w14:paraId="2B95FF0A">
      <w:pPr>
        <w:keepNext w:val="0"/>
        <w:keepLines w:val="0"/>
        <w:pageBreakBefore w:val="0"/>
        <w:widowControl w:val="0"/>
        <w:kinsoku/>
        <w:wordWrap/>
        <w:overflowPunct/>
        <w:topLinePunct w:val="0"/>
        <w:autoSpaceDE/>
        <w:autoSpaceDN/>
        <w:bidi w:val="0"/>
        <w:adjustRightInd/>
        <w:snapToGrid/>
        <w:textAlignment w:val="auto"/>
        <w:outlineLvl w:val="9"/>
        <w:rPr>
          <w:rFonts w:hint="eastAsia"/>
          <w:vertAlign w:val="baseline"/>
        </w:rPr>
      </w:pPr>
      <w:r>
        <w:rPr>
          <w:rFonts w:hint="eastAsia" w:ascii="宋体" w:hAnsi="宋体" w:eastAsia="宋体" w:cs="宋体"/>
        </w:rPr>
        <w:t>本项目生产工艺流程如</w:t>
      </w:r>
      <w:r>
        <w:rPr>
          <w:rFonts w:hint="eastAsia" w:ascii="宋体" w:hAnsi="宋体" w:eastAsia="宋体" w:cs="宋体"/>
          <w:lang w:val="en-US" w:eastAsia="zh-CN"/>
        </w:rPr>
        <w:t>下</w:t>
      </w:r>
      <w:r>
        <w:rPr>
          <w:rFonts w:hint="eastAsia" w:ascii="宋体" w:hAnsi="宋体" w:eastAsia="宋体" w:cs="宋体"/>
        </w:rPr>
        <w:t>图所示。</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952D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3" w:type="dxa"/>
            <w:vAlign w:val="center"/>
          </w:tcPr>
          <w:p w14:paraId="7A0C4A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Chars="0"/>
              <w:jc w:val="both"/>
              <w:textAlignment w:val="auto"/>
              <w:rPr>
                <w:rFonts w:hint="eastAsia" w:eastAsia="宋体"/>
                <w:vertAlign w:val="baseline"/>
                <w:lang w:eastAsia="zh-CN"/>
              </w:rPr>
            </w:pPr>
            <w:r>
              <w:rPr>
                <w:rFonts w:hint="eastAsia" w:eastAsia="宋体"/>
                <w:vertAlign w:val="baseline"/>
                <w:lang w:eastAsia="zh-CN"/>
              </w:rPr>
              <w:drawing>
                <wp:anchor distT="0" distB="0" distL="114300" distR="114300" simplePos="0" relativeHeight="251665408" behindDoc="0" locked="0" layoutInCell="1" allowOverlap="1">
                  <wp:simplePos x="0" y="0"/>
                  <wp:positionH relativeFrom="column">
                    <wp:posOffset>635</wp:posOffset>
                  </wp:positionH>
                  <wp:positionV relativeFrom="paragraph">
                    <wp:posOffset>-6350</wp:posOffset>
                  </wp:positionV>
                  <wp:extent cx="5287645" cy="4518660"/>
                  <wp:effectExtent l="0" t="0" r="0" b="0"/>
                  <wp:wrapSquare wrapText="bothSides"/>
                  <wp:docPr id="1" name="ECB019B1-382A-4266-B25C-5B523AA43C14-1" descr="C:/Users/Administrator/AppData/Local/Temp/wps.qhPbnM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CB019B1-382A-4266-B25C-5B523AA43C14-1" descr="C:/Users/Administrator/AppData/Local/Temp/wps.qhPbnMwps"/>
                          <pic:cNvPicPr>
                            <a:picLocks noChangeAspect="1"/>
                          </pic:cNvPicPr>
                        </pic:nvPicPr>
                        <pic:blipFill>
                          <a:blip r:embed="rId49"/>
                          <a:stretch>
                            <a:fillRect/>
                          </a:stretch>
                        </pic:blipFill>
                        <pic:spPr>
                          <a:xfrm>
                            <a:off x="0" y="0"/>
                            <a:ext cx="5287645" cy="4518660"/>
                          </a:xfrm>
                          <a:prstGeom prst="rect">
                            <a:avLst/>
                          </a:prstGeom>
                        </pic:spPr>
                      </pic:pic>
                    </a:graphicData>
                  </a:graphic>
                </wp:anchor>
              </w:drawing>
            </w:r>
          </w:p>
        </w:tc>
      </w:tr>
    </w:tbl>
    <w:p w14:paraId="7D724243">
      <w:pPr>
        <w:keepNext w:val="0"/>
        <w:keepLines w:val="0"/>
        <w:pageBreakBefore w:val="0"/>
        <w:widowControl w:val="0"/>
        <w:numPr>
          <w:ilvl w:val="0"/>
          <w:numId w:val="0"/>
        </w:numPr>
        <w:kinsoku/>
        <w:bidi w:val="0"/>
        <w:spacing w:before="0" w:beforeLines="-2147483648" w:line="240" w:lineRule="auto"/>
        <w:ind w:firstLine="0" w:firstLineChars="0"/>
        <w:jc w:val="center"/>
        <w:rPr>
          <w:rFonts w:ascii="宋体" w:hAnsi="宋体" w:eastAsia="宋体" w:cs="宋体"/>
          <w:b/>
          <w:kern w:val="2"/>
          <w:szCs w:val="28"/>
          <w:lang w:val="en-US" w:eastAsia="zh-CN" w:bidi="ar-SA"/>
        </w:rPr>
      </w:pPr>
      <w:r>
        <w:t xml:space="preserve">图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图 \* ARABIC \s 1 </w:instrText>
      </w:r>
      <w:r>
        <w:fldChar w:fldCharType="separate"/>
      </w:r>
      <w:r>
        <w:t>3</w:t>
      </w:r>
      <w:r>
        <w:fldChar w:fldCharType="end"/>
      </w:r>
      <w:r>
        <w:rPr>
          <w:rFonts w:hint="eastAsia"/>
        </w:rPr>
        <w:t xml:space="preserve"> 单斜电熔氧化锆生产工艺流程图</w:t>
      </w:r>
    </w:p>
    <w:bookmarkEnd w:id="330"/>
    <w:bookmarkEnd w:id="331"/>
    <w:bookmarkEnd w:id="332"/>
    <w:bookmarkEnd w:id="333"/>
    <w:bookmarkEnd w:id="334"/>
    <w:bookmarkEnd w:id="335"/>
    <w:bookmarkEnd w:id="336"/>
    <w:bookmarkEnd w:id="337"/>
    <w:bookmarkEnd w:id="338"/>
    <w:bookmarkEnd w:id="339"/>
    <w:bookmarkEnd w:id="340"/>
    <w:p w14:paraId="7B2A7AAB">
      <w:pPr>
        <w:pStyle w:val="3"/>
        <w:keepNext w:val="0"/>
        <w:keepLines w:val="0"/>
        <w:pageBreakBefore w:val="0"/>
        <w:widowControl w:val="0"/>
        <w:kinsoku/>
        <w:bidi w:val="0"/>
        <w:rPr>
          <w:rFonts w:hint="eastAsia"/>
          <w:lang w:val="en-US" w:eastAsia="zh-CN"/>
        </w:rPr>
      </w:pPr>
      <w:bookmarkStart w:id="341" w:name="_Toc55567369"/>
      <w:bookmarkStart w:id="342" w:name="_Toc19177044"/>
      <w:bookmarkStart w:id="343" w:name="_Toc55033309"/>
      <w:bookmarkStart w:id="344" w:name="_Toc11448"/>
      <w:bookmarkStart w:id="345" w:name="_Toc20551"/>
      <w:bookmarkStart w:id="346" w:name="_Toc29629"/>
      <w:bookmarkStart w:id="347" w:name="_Toc531271064"/>
      <w:bookmarkStart w:id="348" w:name="_Toc413501842"/>
      <w:bookmarkStart w:id="349" w:name="_Toc477116121"/>
      <w:bookmarkStart w:id="350" w:name="_Toc393462832"/>
      <w:bookmarkStart w:id="351" w:name="_Toc413501855"/>
      <w:bookmarkStart w:id="352" w:name="_Toc394409094"/>
      <w:bookmarkStart w:id="353" w:name="_Toc522811455"/>
      <w:r>
        <w:rPr>
          <w:rFonts w:hint="eastAsia"/>
          <w:lang w:val="en-US" w:eastAsia="zh-CN"/>
        </w:rPr>
        <w:t>主要设备</w:t>
      </w:r>
      <w:bookmarkEnd w:id="341"/>
      <w:bookmarkEnd w:id="342"/>
      <w:bookmarkEnd w:id="343"/>
      <w:r>
        <w:rPr>
          <w:rFonts w:hint="eastAsia"/>
          <w:lang w:val="en-US" w:eastAsia="zh-CN"/>
        </w:rPr>
        <w:t>设施</w:t>
      </w:r>
      <w:bookmarkEnd w:id="344"/>
      <w:bookmarkEnd w:id="345"/>
      <w:bookmarkEnd w:id="346"/>
    </w:p>
    <w:p w14:paraId="04AEC60A">
      <w:pPr>
        <w:pStyle w:val="4"/>
        <w:keepNext w:val="0"/>
        <w:keepLines w:val="0"/>
        <w:pageBreakBefore w:val="0"/>
        <w:widowControl w:val="0"/>
        <w:kinsoku/>
        <w:bidi w:val="0"/>
        <w:rPr>
          <w:rFonts w:hint="eastAsia"/>
          <w:lang w:val="en-US" w:eastAsia="zh-CN"/>
        </w:rPr>
      </w:pPr>
      <w:bookmarkStart w:id="354" w:name="_Toc26711"/>
      <w:bookmarkStart w:id="355" w:name="_Toc11533"/>
      <w:bookmarkStart w:id="356" w:name="_Toc335"/>
      <w:r>
        <w:rPr>
          <w:rFonts w:hint="eastAsia"/>
          <w:lang w:val="en-US" w:eastAsia="zh-CN"/>
        </w:rPr>
        <w:t>主要设备</w:t>
      </w:r>
      <w:bookmarkEnd w:id="354"/>
      <w:bookmarkEnd w:id="355"/>
      <w:bookmarkEnd w:id="356"/>
    </w:p>
    <w:p w14:paraId="2C944160">
      <w:pPr>
        <w:keepNext w:val="0"/>
        <w:keepLines w:val="0"/>
        <w:pageBreakBefore w:val="0"/>
        <w:widowControl w:val="0"/>
        <w:kinsoku/>
        <w:wordWrap/>
        <w:overflowPunct/>
        <w:topLinePunct w:val="0"/>
        <w:autoSpaceDE/>
        <w:autoSpaceDN/>
        <w:bidi w:val="0"/>
        <w:adjustRightInd w:val="0"/>
        <w:snapToGrid/>
        <w:textAlignment w:val="auto"/>
        <w:rPr>
          <w:rFonts w:hint="eastAsia"/>
          <w:lang w:eastAsia="zh-CN"/>
        </w:rPr>
      </w:pPr>
      <w:bookmarkStart w:id="357" w:name="_Toc55033310"/>
      <w:bookmarkStart w:id="358" w:name="_Toc19177045"/>
      <w:r>
        <w:rPr>
          <w:rFonts w:hint="eastAsia"/>
        </w:rPr>
        <w:t>主要设</w:t>
      </w:r>
      <w:r>
        <w:rPr>
          <w:rFonts w:hint="eastAsia"/>
          <w:lang w:val="en-US" w:eastAsia="zh-CN"/>
        </w:rPr>
        <w:t>备</w:t>
      </w:r>
      <w:r>
        <w:rPr>
          <w:rFonts w:hint="eastAsia"/>
        </w:rPr>
        <w:t>见</w:t>
      </w:r>
      <w:r>
        <w:rPr>
          <w:rFonts w:hint="eastAsia"/>
          <w:lang w:val="en-US" w:eastAsia="zh-CN"/>
        </w:rPr>
        <w:t>下</w:t>
      </w:r>
      <w:r>
        <w:rPr>
          <w:rFonts w:hint="eastAsia"/>
        </w:rPr>
        <w:t>表</w:t>
      </w:r>
      <w:bookmarkStart w:id="359" w:name="_Toc55567370"/>
      <w:r>
        <w:rPr>
          <w:rFonts w:hint="eastAsia"/>
          <w:lang w:eastAsia="zh-CN"/>
        </w:rPr>
        <w:t>：</w:t>
      </w:r>
    </w:p>
    <w:p w14:paraId="5935ED50">
      <w:pPr>
        <w:pStyle w:val="12"/>
        <w:keepNext w:val="0"/>
        <w:keepLines w:val="0"/>
        <w:pageBreakBefore w:val="0"/>
        <w:widowControl w:val="0"/>
        <w:kinsoku/>
        <w:bidi w:val="0"/>
        <w:spacing w:line="640" w:lineRule="exact"/>
        <w:ind w:firstLine="482"/>
        <w:jc w:val="cente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10</w:t>
      </w:r>
      <w:r>
        <w:fldChar w:fldCharType="end"/>
      </w:r>
      <w:r>
        <w:rPr>
          <w:rFonts w:hint="eastAsia"/>
        </w:rPr>
        <w:t>主要生产设备表</w:t>
      </w:r>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5"/>
        <w:gridCol w:w="2470"/>
        <w:gridCol w:w="1793"/>
        <w:gridCol w:w="738"/>
        <w:gridCol w:w="479"/>
        <w:gridCol w:w="1060"/>
        <w:gridCol w:w="1454"/>
      </w:tblGrid>
      <w:tr w14:paraId="2298A1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08" w:type="pct"/>
            <w:tcBorders>
              <w:tl2br w:val="nil"/>
              <w:tr2bl w:val="nil"/>
            </w:tcBorders>
            <w:vAlign w:val="center"/>
          </w:tcPr>
          <w:p w14:paraId="432A832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rPr>
              <w:t>序号</w:t>
            </w:r>
          </w:p>
        </w:tc>
        <w:tc>
          <w:tcPr>
            <w:tcW w:w="1449" w:type="pct"/>
            <w:tcBorders>
              <w:tl2br w:val="nil"/>
              <w:tr2bl w:val="nil"/>
            </w:tcBorders>
            <w:vAlign w:val="center"/>
          </w:tcPr>
          <w:p w14:paraId="5238025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rPr>
              <w:t>设备名称</w:t>
            </w:r>
          </w:p>
        </w:tc>
        <w:tc>
          <w:tcPr>
            <w:tcW w:w="1052" w:type="pct"/>
            <w:tcBorders>
              <w:tl2br w:val="nil"/>
              <w:tr2bl w:val="nil"/>
            </w:tcBorders>
            <w:vAlign w:val="center"/>
          </w:tcPr>
          <w:p w14:paraId="6149610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rPr>
              <w:t>型号规格</w:t>
            </w:r>
          </w:p>
        </w:tc>
        <w:tc>
          <w:tcPr>
            <w:tcW w:w="433" w:type="pct"/>
            <w:tcBorders>
              <w:tl2br w:val="nil"/>
              <w:tr2bl w:val="nil"/>
            </w:tcBorders>
            <w:vAlign w:val="center"/>
          </w:tcPr>
          <w:p w14:paraId="351D930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rPr>
              <w:t>单位</w:t>
            </w:r>
          </w:p>
        </w:tc>
        <w:tc>
          <w:tcPr>
            <w:tcW w:w="281" w:type="pct"/>
            <w:tcBorders>
              <w:tl2br w:val="nil"/>
              <w:tr2bl w:val="nil"/>
            </w:tcBorders>
            <w:vAlign w:val="center"/>
          </w:tcPr>
          <w:p w14:paraId="66AF715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rPr>
              <w:t>数量</w:t>
            </w:r>
          </w:p>
        </w:tc>
        <w:tc>
          <w:tcPr>
            <w:tcW w:w="622" w:type="pct"/>
            <w:tcBorders>
              <w:tl2br w:val="nil"/>
              <w:tr2bl w:val="nil"/>
            </w:tcBorders>
            <w:vAlign w:val="center"/>
          </w:tcPr>
          <w:p w14:paraId="4700C06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rPr>
              <w:t>总功率（kW）</w:t>
            </w:r>
          </w:p>
        </w:tc>
        <w:tc>
          <w:tcPr>
            <w:tcW w:w="853" w:type="pct"/>
            <w:tcBorders>
              <w:tl2br w:val="nil"/>
              <w:tr2bl w:val="nil"/>
            </w:tcBorders>
            <w:vAlign w:val="center"/>
          </w:tcPr>
          <w:p w14:paraId="0DB3AA2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sz w:val="24"/>
                <w:szCs w:val="24"/>
              </w:rPr>
            </w:pPr>
            <w:r>
              <w:rPr>
                <w:rFonts w:hint="eastAsia" w:ascii="Times New Roman" w:hAnsi="Times New Roman" w:eastAsia="宋体" w:cs="Times New Roman"/>
                <w:b/>
                <w:bCs/>
                <w:sz w:val="24"/>
                <w:szCs w:val="24"/>
              </w:rPr>
              <w:t>备注</w:t>
            </w:r>
          </w:p>
        </w:tc>
      </w:tr>
      <w:tr w14:paraId="520E72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63FB61A4">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w:t>
            </w:r>
          </w:p>
        </w:tc>
        <w:tc>
          <w:tcPr>
            <w:tcW w:w="1449" w:type="pct"/>
            <w:tcBorders>
              <w:tl2br w:val="nil"/>
              <w:tr2bl w:val="nil"/>
            </w:tcBorders>
            <w:vAlign w:val="center"/>
          </w:tcPr>
          <w:p w14:paraId="2FA4E707">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配料系统</w:t>
            </w:r>
          </w:p>
        </w:tc>
        <w:tc>
          <w:tcPr>
            <w:tcW w:w="1052" w:type="pct"/>
            <w:tcBorders>
              <w:tl2br w:val="nil"/>
              <w:tr2bl w:val="nil"/>
            </w:tcBorders>
            <w:vAlign w:val="center"/>
          </w:tcPr>
          <w:p w14:paraId="416ABC7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w:t>
            </w:r>
          </w:p>
        </w:tc>
        <w:tc>
          <w:tcPr>
            <w:tcW w:w="433" w:type="pct"/>
            <w:tcBorders>
              <w:tl2br w:val="nil"/>
              <w:tr2bl w:val="nil"/>
            </w:tcBorders>
            <w:vAlign w:val="center"/>
          </w:tcPr>
          <w:p w14:paraId="7162CBF1">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套</w:t>
            </w:r>
          </w:p>
        </w:tc>
        <w:tc>
          <w:tcPr>
            <w:tcW w:w="281" w:type="pct"/>
            <w:tcBorders>
              <w:tl2br w:val="nil"/>
              <w:tr2bl w:val="nil"/>
            </w:tcBorders>
            <w:vAlign w:val="center"/>
          </w:tcPr>
          <w:p w14:paraId="611027B7">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w:t>
            </w:r>
          </w:p>
        </w:tc>
        <w:tc>
          <w:tcPr>
            <w:tcW w:w="622" w:type="pct"/>
            <w:tcBorders>
              <w:tl2br w:val="nil"/>
              <w:tr2bl w:val="nil"/>
            </w:tcBorders>
            <w:vAlign w:val="center"/>
          </w:tcPr>
          <w:p w14:paraId="44011E1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50</w:t>
            </w:r>
          </w:p>
        </w:tc>
        <w:tc>
          <w:tcPr>
            <w:tcW w:w="853" w:type="pct"/>
            <w:vMerge w:val="restart"/>
            <w:tcBorders>
              <w:tl2br w:val="nil"/>
              <w:tr2bl w:val="nil"/>
            </w:tcBorders>
            <w:vAlign w:val="center"/>
          </w:tcPr>
          <w:p w14:paraId="4044E2C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rPr>
              <w:t>联合车间2台</w:t>
            </w:r>
          </w:p>
        </w:tc>
      </w:tr>
      <w:tr w14:paraId="10C7D6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8" w:type="pct"/>
            <w:tcBorders>
              <w:tl2br w:val="nil"/>
              <w:tr2bl w:val="nil"/>
            </w:tcBorders>
            <w:vAlign w:val="center"/>
          </w:tcPr>
          <w:p w14:paraId="32634C6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w:t>
            </w:r>
          </w:p>
        </w:tc>
        <w:tc>
          <w:tcPr>
            <w:tcW w:w="1449" w:type="pct"/>
            <w:tcBorders>
              <w:tl2br w:val="nil"/>
              <w:tr2bl w:val="nil"/>
            </w:tcBorders>
            <w:vAlign w:val="center"/>
          </w:tcPr>
          <w:p w14:paraId="79E4D8F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三相工额外喷淋冷式特种电弧炉</w:t>
            </w:r>
          </w:p>
        </w:tc>
        <w:tc>
          <w:tcPr>
            <w:tcW w:w="1052" w:type="pct"/>
            <w:tcBorders>
              <w:tl2br w:val="nil"/>
              <w:tr2bl w:val="nil"/>
            </w:tcBorders>
            <w:vAlign w:val="center"/>
          </w:tcPr>
          <w:p w14:paraId="01E7C00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5000kVA</w:t>
            </w:r>
          </w:p>
        </w:tc>
        <w:tc>
          <w:tcPr>
            <w:tcW w:w="433" w:type="pct"/>
            <w:tcBorders>
              <w:tl2br w:val="nil"/>
              <w:tr2bl w:val="nil"/>
            </w:tcBorders>
            <w:vAlign w:val="center"/>
          </w:tcPr>
          <w:p w14:paraId="624A0754">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系统</w:t>
            </w:r>
          </w:p>
        </w:tc>
        <w:tc>
          <w:tcPr>
            <w:tcW w:w="281" w:type="pct"/>
            <w:tcBorders>
              <w:tl2br w:val="nil"/>
              <w:tr2bl w:val="nil"/>
            </w:tcBorders>
            <w:vAlign w:val="center"/>
          </w:tcPr>
          <w:p w14:paraId="0A1F044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w:t>
            </w:r>
          </w:p>
        </w:tc>
        <w:tc>
          <w:tcPr>
            <w:tcW w:w="622" w:type="pct"/>
            <w:tcBorders>
              <w:tl2br w:val="nil"/>
              <w:tr2bl w:val="nil"/>
            </w:tcBorders>
            <w:vAlign w:val="center"/>
          </w:tcPr>
          <w:p w14:paraId="5D0BB95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10000</w:t>
            </w:r>
          </w:p>
        </w:tc>
        <w:tc>
          <w:tcPr>
            <w:tcW w:w="853" w:type="pct"/>
            <w:vMerge w:val="continue"/>
            <w:tcBorders>
              <w:tl2br w:val="nil"/>
              <w:tr2bl w:val="nil"/>
            </w:tcBorders>
            <w:vAlign w:val="center"/>
          </w:tcPr>
          <w:p w14:paraId="69949C5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p>
        </w:tc>
      </w:tr>
      <w:tr w14:paraId="345A41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06E9BEA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w:t>
            </w:r>
          </w:p>
        </w:tc>
        <w:tc>
          <w:tcPr>
            <w:tcW w:w="1449" w:type="pct"/>
            <w:tcBorders>
              <w:tl2br w:val="nil"/>
              <w:tr2bl w:val="nil"/>
            </w:tcBorders>
            <w:vAlign w:val="center"/>
          </w:tcPr>
          <w:p w14:paraId="7DB844F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SiO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微粉回收装置</w:t>
            </w:r>
          </w:p>
        </w:tc>
        <w:tc>
          <w:tcPr>
            <w:tcW w:w="1052" w:type="pct"/>
            <w:tcBorders>
              <w:tl2br w:val="nil"/>
              <w:tr2bl w:val="nil"/>
            </w:tcBorders>
            <w:vAlign w:val="center"/>
          </w:tcPr>
          <w:p w14:paraId="198CB5B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LCDM-2890</w:t>
            </w:r>
          </w:p>
        </w:tc>
        <w:tc>
          <w:tcPr>
            <w:tcW w:w="433" w:type="pct"/>
            <w:tcBorders>
              <w:tl2br w:val="nil"/>
              <w:tr2bl w:val="nil"/>
            </w:tcBorders>
            <w:vAlign w:val="center"/>
          </w:tcPr>
          <w:p w14:paraId="0B9CDF3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系统</w:t>
            </w:r>
          </w:p>
        </w:tc>
        <w:tc>
          <w:tcPr>
            <w:tcW w:w="281" w:type="pct"/>
            <w:tcBorders>
              <w:tl2br w:val="nil"/>
              <w:tr2bl w:val="nil"/>
            </w:tcBorders>
            <w:vAlign w:val="center"/>
          </w:tcPr>
          <w:p w14:paraId="5390149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w:t>
            </w:r>
          </w:p>
        </w:tc>
        <w:tc>
          <w:tcPr>
            <w:tcW w:w="622" w:type="pct"/>
            <w:tcBorders>
              <w:tl2br w:val="nil"/>
              <w:tr2bl w:val="nil"/>
            </w:tcBorders>
            <w:vAlign w:val="center"/>
          </w:tcPr>
          <w:p w14:paraId="5731A37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1000</w:t>
            </w:r>
          </w:p>
        </w:tc>
        <w:tc>
          <w:tcPr>
            <w:tcW w:w="853" w:type="pct"/>
            <w:vMerge w:val="continue"/>
            <w:tcBorders>
              <w:tl2br w:val="nil"/>
              <w:tr2bl w:val="nil"/>
            </w:tcBorders>
            <w:vAlign w:val="center"/>
          </w:tcPr>
          <w:p w14:paraId="7342444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p>
        </w:tc>
      </w:tr>
      <w:tr w14:paraId="0C95A3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73292B2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4</w:t>
            </w:r>
          </w:p>
        </w:tc>
        <w:tc>
          <w:tcPr>
            <w:tcW w:w="1449" w:type="pct"/>
            <w:tcBorders>
              <w:tl2br w:val="nil"/>
              <w:tr2bl w:val="nil"/>
            </w:tcBorders>
            <w:vAlign w:val="center"/>
          </w:tcPr>
          <w:p w14:paraId="2045F78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三层振动筛</w:t>
            </w:r>
          </w:p>
        </w:tc>
        <w:tc>
          <w:tcPr>
            <w:tcW w:w="1052" w:type="pct"/>
            <w:tcBorders>
              <w:tl2br w:val="nil"/>
              <w:tr2bl w:val="nil"/>
            </w:tcBorders>
            <w:vAlign w:val="center"/>
          </w:tcPr>
          <w:p w14:paraId="65AFA88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SZS525-4</w:t>
            </w:r>
          </w:p>
        </w:tc>
        <w:tc>
          <w:tcPr>
            <w:tcW w:w="433" w:type="pct"/>
            <w:tcBorders>
              <w:tl2br w:val="nil"/>
              <w:tr2bl w:val="nil"/>
            </w:tcBorders>
            <w:vAlign w:val="center"/>
          </w:tcPr>
          <w:p w14:paraId="46338E61">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系统</w:t>
            </w:r>
          </w:p>
        </w:tc>
        <w:tc>
          <w:tcPr>
            <w:tcW w:w="281" w:type="pct"/>
            <w:tcBorders>
              <w:tl2br w:val="nil"/>
              <w:tr2bl w:val="nil"/>
            </w:tcBorders>
            <w:vAlign w:val="center"/>
          </w:tcPr>
          <w:p w14:paraId="281B5D9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val="en-US" w:eastAsia="zh-CN"/>
              </w:rPr>
              <w:t>2</w:t>
            </w:r>
          </w:p>
        </w:tc>
        <w:tc>
          <w:tcPr>
            <w:tcW w:w="622" w:type="pct"/>
            <w:tcBorders>
              <w:tl2br w:val="nil"/>
              <w:tr2bl w:val="nil"/>
            </w:tcBorders>
            <w:vAlign w:val="center"/>
          </w:tcPr>
          <w:p w14:paraId="3886CC2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40</w:t>
            </w:r>
          </w:p>
        </w:tc>
        <w:tc>
          <w:tcPr>
            <w:tcW w:w="853" w:type="pct"/>
            <w:vMerge w:val="continue"/>
            <w:tcBorders>
              <w:tl2br w:val="nil"/>
              <w:tr2bl w:val="nil"/>
            </w:tcBorders>
            <w:vAlign w:val="center"/>
          </w:tcPr>
          <w:p w14:paraId="1E69F99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p>
        </w:tc>
      </w:tr>
      <w:tr w14:paraId="0C0E94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1045EEB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5</w:t>
            </w:r>
          </w:p>
        </w:tc>
        <w:tc>
          <w:tcPr>
            <w:tcW w:w="1449" w:type="pct"/>
            <w:tcBorders>
              <w:tl2br w:val="nil"/>
              <w:tr2bl w:val="nil"/>
            </w:tcBorders>
            <w:vAlign w:val="center"/>
          </w:tcPr>
          <w:p w14:paraId="6E33CB6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叉车</w:t>
            </w:r>
          </w:p>
        </w:tc>
        <w:tc>
          <w:tcPr>
            <w:tcW w:w="1052" w:type="pct"/>
            <w:tcBorders>
              <w:tl2br w:val="nil"/>
              <w:tr2bl w:val="nil"/>
            </w:tcBorders>
            <w:vAlign w:val="center"/>
          </w:tcPr>
          <w:p w14:paraId="0970997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3.5T</w:t>
            </w:r>
          </w:p>
        </w:tc>
        <w:tc>
          <w:tcPr>
            <w:tcW w:w="433" w:type="pct"/>
            <w:tcBorders>
              <w:tl2br w:val="nil"/>
              <w:tr2bl w:val="nil"/>
            </w:tcBorders>
            <w:vAlign w:val="center"/>
          </w:tcPr>
          <w:p w14:paraId="603CB92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台</w:t>
            </w:r>
          </w:p>
        </w:tc>
        <w:tc>
          <w:tcPr>
            <w:tcW w:w="281" w:type="pct"/>
            <w:tcBorders>
              <w:tl2br w:val="nil"/>
              <w:tr2bl w:val="nil"/>
            </w:tcBorders>
            <w:vAlign w:val="center"/>
          </w:tcPr>
          <w:p w14:paraId="74ED702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val="en-US" w:eastAsia="zh-CN"/>
              </w:rPr>
              <w:t>2</w:t>
            </w:r>
          </w:p>
        </w:tc>
        <w:tc>
          <w:tcPr>
            <w:tcW w:w="622" w:type="pct"/>
            <w:tcBorders>
              <w:tl2br w:val="nil"/>
              <w:tr2bl w:val="nil"/>
            </w:tcBorders>
            <w:vAlign w:val="center"/>
          </w:tcPr>
          <w:p w14:paraId="247174F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p>
        </w:tc>
        <w:tc>
          <w:tcPr>
            <w:tcW w:w="853" w:type="pct"/>
            <w:tcBorders>
              <w:tl2br w:val="nil"/>
              <w:tr2bl w:val="nil"/>
            </w:tcBorders>
            <w:vAlign w:val="center"/>
          </w:tcPr>
          <w:p w14:paraId="18EFC891">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p>
        </w:tc>
      </w:tr>
      <w:tr w14:paraId="4F8C90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7D5D92E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6</w:t>
            </w:r>
          </w:p>
        </w:tc>
        <w:tc>
          <w:tcPr>
            <w:tcW w:w="1449" w:type="pct"/>
            <w:tcBorders>
              <w:tl2br w:val="nil"/>
              <w:tr2bl w:val="nil"/>
            </w:tcBorders>
            <w:vAlign w:val="center"/>
          </w:tcPr>
          <w:p w14:paraId="71E8AE2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电炉</w:t>
            </w:r>
            <w:r>
              <w:rPr>
                <w:rFonts w:hint="default" w:ascii="Times New Roman" w:hAnsi="Times New Roman" w:eastAsia="宋体" w:cs="Times New Roman"/>
                <w:sz w:val="24"/>
                <w:szCs w:val="24"/>
              </w:rPr>
              <w:t>空压机</w:t>
            </w:r>
          </w:p>
        </w:tc>
        <w:tc>
          <w:tcPr>
            <w:tcW w:w="1052" w:type="pct"/>
            <w:tcBorders>
              <w:tl2br w:val="nil"/>
              <w:tr2bl w:val="nil"/>
            </w:tcBorders>
            <w:vAlign w:val="center"/>
          </w:tcPr>
          <w:p w14:paraId="051FF9E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LU90-8G（工频）14m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/min</w:t>
            </w:r>
          </w:p>
        </w:tc>
        <w:tc>
          <w:tcPr>
            <w:tcW w:w="433" w:type="pct"/>
            <w:tcBorders>
              <w:tl2br w:val="nil"/>
              <w:tr2bl w:val="nil"/>
            </w:tcBorders>
            <w:vAlign w:val="center"/>
          </w:tcPr>
          <w:p w14:paraId="4DB5145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台</w:t>
            </w:r>
          </w:p>
        </w:tc>
        <w:tc>
          <w:tcPr>
            <w:tcW w:w="281" w:type="pct"/>
            <w:tcBorders>
              <w:tl2br w:val="nil"/>
              <w:tr2bl w:val="nil"/>
            </w:tcBorders>
            <w:vAlign w:val="center"/>
          </w:tcPr>
          <w:p w14:paraId="2C38C78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w:t>
            </w:r>
          </w:p>
        </w:tc>
        <w:tc>
          <w:tcPr>
            <w:tcW w:w="622" w:type="pct"/>
            <w:tcBorders>
              <w:tl2br w:val="nil"/>
              <w:tr2bl w:val="nil"/>
            </w:tcBorders>
            <w:vAlign w:val="center"/>
          </w:tcPr>
          <w:p w14:paraId="3074FBD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150</w:t>
            </w:r>
          </w:p>
        </w:tc>
        <w:tc>
          <w:tcPr>
            <w:tcW w:w="853" w:type="pct"/>
            <w:tcBorders>
              <w:tl2br w:val="nil"/>
              <w:tr2bl w:val="nil"/>
            </w:tcBorders>
            <w:vAlign w:val="center"/>
          </w:tcPr>
          <w:p w14:paraId="5A444EB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1#联合车间各2台</w:t>
            </w:r>
          </w:p>
        </w:tc>
      </w:tr>
      <w:tr w14:paraId="6C5E63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0741ADB1">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7</w:t>
            </w:r>
          </w:p>
        </w:tc>
        <w:tc>
          <w:tcPr>
            <w:tcW w:w="1449" w:type="pct"/>
            <w:tcBorders>
              <w:tl2br w:val="nil"/>
              <w:tr2bl w:val="nil"/>
            </w:tcBorders>
            <w:vAlign w:val="center"/>
          </w:tcPr>
          <w:p w14:paraId="0CF2323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空压机储气罐</w:t>
            </w:r>
          </w:p>
        </w:tc>
        <w:tc>
          <w:tcPr>
            <w:tcW w:w="1052" w:type="pct"/>
            <w:tcBorders>
              <w:tl2br w:val="nil"/>
              <w:tr2bl w:val="nil"/>
            </w:tcBorders>
            <w:vAlign w:val="center"/>
          </w:tcPr>
          <w:p w14:paraId="360FA65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CL-50-0.8</w:t>
            </w:r>
            <w:r>
              <w:rPr>
                <w:rFonts w:hint="eastAsia"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eastAsia" w:ascii="Times New Roman" w:hAnsi="Times New Roman" w:eastAsia="宋体" w:cs="Times New Roman"/>
                <w:sz w:val="24"/>
                <w:szCs w:val="24"/>
              </w:rPr>
              <w:t>50m</w:t>
            </w:r>
            <w:r>
              <w:rPr>
                <w:rFonts w:hint="eastAsia" w:ascii="Times New Roman" w:hAnsi="Times New Roman" w:eastAsia="宋体" w:cs="Times New Roman"/>
                <w:sz w:val="24"/>
                <w:szCs w:val="24"/>
                <w:vertAlign w:val="superscript"/>
              </w:rPr>
              <w:t>3</w:t>
            </w:r>
          </w:p>
        </w:tc>
        <w:tc>
          <w:tcPr>
            <w:tcW w:w="433" w:type="pct"/>
            <w:tcBorders>
              <w:tl2br w:val="nil"/>
              <w:tr2bl w:val="nil"/>
            </w:tcBorders>
            <w:vAlign w:val="center"/>
          </w:tcPr>
          <w:p w14:paraId="68D61AC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个</w:t>
            </w:r>
          </w:p>
        </w:tc>
        <w:tc>
          <w:tcPr>
            <w:tcW w:w="281" w:type="pct"/>
            <w:tcBorders>
              <w:tl2br w:val="nil"/>
              <w:tr2bl w:val="nil"/>
            </w:tcBorders>
            <w:vAlign w:val="center"/>
          </w:tcPr>
          <w:p w14:paraId="30C04AE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w:t>
            </w:r>
          </w:p>
        </w:tc>
        <w:tc>
          <w:tcPr>
            <w:tcW w:w="622" w:type="pct"/>
            <w:tcBorders>
              <w:tl2br w:val="nil"/>
              <w:tr2bl w:val="nil"/>
            </w:tcBorders>
            <w:vAlign w:val="center"/>
          </w:tcPr>
          <w:p w14:paraId="1C4E23D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p>
        </w:tc>
        <w:tc>
          <w:tcPr>
            <w:tcW w:w="853" w:type="pct"/>
            <w:tcBorders>
              <w:tl2br w:val="nil"/>
              <w:tr2bl w:val="nil"/>
            </w:tcBorders>
            <w:vAlign w:val="center"/>
          </w:tcPr>
          <w:p w14:paraId="67EED08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p>
        </w:tc>
      </w:tr>
      <w:tr w14:paraId="32E179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6CE6D63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8</w:t>
            </w:r>
          </w:p>
        </w:tc>
        <w:tc>
          <w:tcPr>
            <w:tcW w:w="1449" w:type="pct"/>
            <w:tcBorders>
              <w:tl2br w:val="nil"/>
              <w:tr2bl w:val="nil"/>
            </w:tcBorders>
            <w:vAlign w:val="center"/>
          </w:tcPr>
          <w:p w14:paraId="42492761">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气流磨</w:t>
            </w:r>
            <w:r>
              <w:rPr>
                <w:rFonts w:hint="default" w:ascii="Times New Roman" w:hAnsi="Times New Roman" w:eastAsia="宋体" w:cs="Times New Roman"/>
                <w:sz w:val="24"/>
                <w:szCs w:val="24"/>
              </w:rPr>
              <w:t>空压机</w:t>
            </w:r>
          </w:p>
        </w:tc>
        <w:tc>
          <w:tcPr>
            <w:tcW w:w="1052" w:type="pct"/>
            <w:tcBorders>
              <w:tl2br w:val="nil"/>
              <w:tr2bl w:val="nil"/>
            </w:tcBorders>
            <w:vAlign w:val="center"/>
          </w:tcPr>
          <w:p w14:paraId="0A96C4D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LU280W-8</w:t>
            </w:r>
            <w:r>
              <w:rPr>
                <w:rFonts w:hint="eastAsia"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eastAsia" w:ascii="Times New Roman" w:hAnsi="Times New Roman" w:eastAsia="宋体" w:cs="Times New Roman"/>
                <w:sz w:val="24"/>
                <w:szCs w:val="24"/>
              </w:rPr>
              <w:t>60m</w:t>
            </w:r>
            <w:r>
              <w:rPr>
                <w:rFonts w:hint="eastAsia" w:ascii="Times New Roman" w:hAnsi="Times New Roman" w:eastAsia="宋体" w:cs="Times New Roman"/>
                <w:sz w:val="24"/>
                <w:szCs w:val="24"/>
                <w:vertAlign w:val="superscript"/>
              </w:rPr>
              <w:t>3</w:t>
            </w:r>
            <w:r>
              <w:rPr>
                <w:rFonts w:hint="eastAsia" w:ascii="Times New Roman" w:hAnsi="Times New Roman" w:eastAsia="宋体" w:cs="Times New Roman"/>
                <w:sz w:val="24"/>
                <w:szCs w:val="24"/>
              </w:rPr>
              <w:t>/min</w:t>
            </w:r>
          </w:p>
        </w:tc>
        <w:tc>
          <w:tcPr>
            <w:tcW w:w="433" w:type="pct"/>
            <w:tcBorders>
              <w:tl2br w:val="nil"/>
              <w:tr2bl w:val="nil"/>
            </w:tcBorders>
            <w:vAlign w:val="center"/>
          </w:tcPr>
          <w:p w14:paraId="4BCA25F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台</w:t>
            </w:r>
          </w:p>
        </w:tc>
        <w:tc>
          <w:tcPr>
            <w:tcW w:w="281" w:type="pct"/>
            <w:tcBorders>
              <w:tl2br w:val="nil"/>
              <w:tr2bl w:val="nil"/>
            </w:tcBorders>
            <w:vAlign w:val="center"/>
          </w:tcPr>
          <w:p w14:paraId="5DFCEEE7">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3</w:t>
            </w:r>
          </w:p>
        </w:tc>
        <w:tc>
          <w:tcPr>
            <w:tcW w:w="622" w:type="pct"/>
            <w:tcBorders>
              <w:tl2br w:val="nil"/>
              <w:tr2bl w:val="nil"/>
            </w:tcBorders>
            <w:vAlign w:val="center"/>
          </w:tcPr>
          <w:p w14:paraId="5E4E1A2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750</w:t>
            </w:r>
          </w:p>
        </w:tc>
        <w:tc>
          <w:tcPr>
            <w:tcW w:w="853" w:type="pct"/>
            <w:tcBorders>
              <w:tl2br w:val="nil"/>
              <w:tr2bl w:val="nil"/>
            </w:tcBorders>
            <w:vAlign w:val="center"/>
          </w:tcPr>
          <w:p w14:paraId="3DCCDFB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p>
        </w:tc>
      </w:tr>
      <w:tr w14:paraId="31941B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38D6482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9</w:t>
            </w:r>
          </w:p>
        </w:tc>
        <w:tc>
          <w:tcPr>
            <w:tcW w:w="1449" w:type="pct"/>
            <w:tcBorders>
              <w:tl2br w:val="nil"/>
              <w:tr2bl w:val="nil"/>
            </w:tcBorders>
            <w:vAlign w:val="center"/>
          </w:tcPr>
          <w:p w14:paraId="041A3561">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气流磨压缩空气储罐</w:t>
            </w:r>
          </w:p>
        </w:tc>
        <w:tc>
          <w:tcPr>
            <w:tcW w:w="1052" w:type="pct"/>
            <w:tcBorders>
              <w:tl2br w:val="nil"/>
              <w:tr2bl w:val="nil"/>
            </w:tcBorders>
            <w:vAlign w:val="center"/>
          </w:tcPr>
          <w:p w14:paraId="2339CD8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CL-</w:t>
            </w:r>
            <w:r>
              <w:rPr>
                <w:rFonts w:hint="eastAsia" w:ascii="Times New Roman" w:hAnsi="Times New Roman" w:eastAsia="宋体" w:cs="Times New Roman"/>
                <w:sz w:val="24"/>
                <w:szCs w:val="24"/>
              </w:rPr>
              <w:t>15</w:t>
            </w:r>
            <w:r>
              <w:rPr>
                <w:rFonts w:hint="default" w:ascii="Times New Roman" w:hAnsi="Times New Roman" w:eastAsia="宋体" w:cs="Times New Roman"/>
                <w:sz w:val="24"/>
                <w:szCs w:val="24"/>
              </w:rPr>
              <w:t>-0.8</w:t>
            </w:r>
            <w:r>
              <w:rPr>
                <w:rFonts w:hint="eastAsia"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eastAsia" w:ascii="Times New Roman" w:hAnsi="Times New Roman" w:eastAsia="宋体" w:cs="Times New Roman"/>
                <w:sz w:val="24"/>
                <w:szCs w:val="24"/>
              </w:rPr>
              <w:t>15m</w:t>
            </w:r>
            <w:r>
              <w:rPr>
                <w:rFonts w:hint="eastAsia" w:ascii="Times New Roman" w:hAnsi="Times New Roman" w:eastAsia="宋体" w:cs="Times New Roman"/>
                <w:sz w:val="24"/>
                <w:szCs w:val="24"/>
                <w:vertAlign w:val="superscript"/>
              </w:rPr>
              <w:t>3</w:t>
            </w:r>
          </w:p>
        </w:tc>
        <w:tc>
          <w:tcPr>
            <w:tcW w:w="433" w:type="pct"/>
            <w:tcBorders>
              <w:tl2br w:val="nil"/>
              <w:tr2bl w:val="nil"/>
            </w:tcBorders>
            <w:vAlign w:val="center"/>
          </w:tcPr>
          <w:p w14:paraId="6C41375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套</w:t>
            </w:r>
          </w:p>
        </w:tc>
        <w:tc>
          <w:tcPr>
            <w:tcW w:w="281" w:type="pct"/>
            <w:tcBorders>
              <w:tl2br w:val="nil"/>
              <w:tr2bl w:val="nil"/>
            </w:tcBorders>
            <w:vAlign w:val="center"/>
          </w:tcPr>
          <w:p w14:paraId="40D01FB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w:t>
            </w:r>
          </w:p>
        </w:tc>
        <w:tc>
          <w:tcPr>
            <w:tcW w:w="622" w:type="pct"/>
            <w:tcBorders>
              <w:tl2br w:val="nil"/>
              <w:tr2bl w:val="nil"/>
            </w:tcBorders>
            <w:vAlign w:val="center"/>
          </w:tcPr>
          <w:p w14:paraId="2D102C8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p>
        </w:tc>
        <w:tc>
          <w:tcPr>
            <w:tcW w:w="853" w:type="pct"/>
            <w:tcBorders>
              <w:tl2br w:val="nil"/>
              <w:tr2bl w:val="nil"/>
            </w:tcBorders>
            <w:vAlign w:val="center"/>
          </w:tcPr>
          <w:p w14:paraId="55486A1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p>
        </w:tc>
      </w:tr>
      <w:tr w14:paraId="32C87B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393063E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10</w:t>
            </w:r>
          </w:p>
        </w:tc>
        <w:tc>
          <w:tcPr>
            <w:tcW w:w="1449" w:type="pct"/>
            <w:tcBorders>
              <w:tl2br w:val="nil"/>
              <w:tr2bl w:val="nil"/>
            </w:tcBorders>
            <w:vAlign w:val="center"/>
          </w:tcPr>
          <w:p w14:paraId="6308F611">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电炉</w:t>
            </w:r>
            <w:r>
              <w:rPr>
                <w:rFonts w:hint="default" w:ascii="Times New Roman" w:hAnsi="Times New Roman" w:eastAsia="宋体" w:cs="Times New Roman"/>
                <w:sz w:val="24"/>
                <w:szCs w:val="24"/>
              </w:rPr>
              <w:t>水泵</w:t>
            </w:r>
          </w:p>
        </w:tc>
        <w:tc>
          <w:tcPr>
            <w:tcW w:w="1052" w:type="pct"/>
            <w:tcBorders>
              <w:tl2br w:val="nil"/>
              <w:tr2bl w:val="nil"/>
            </w:tcBorders>
            <w:vAlign w:val="center"/>
          </w:tcPr>
          <w:p w14:paraId="1ABF9AB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YES3-280S-4 </w:t>
            </w:r>
            <w:r>
              <w:rPr>
                <w:rFonts w:hint="eastAsia" w:ascii="Times New Roman" w:hAnsi="Times New Roman" w:eastAsia="宋体" w:cs="Times New Roman"/>
                <w:sz w:val="24"/>
                <w:szCs w:val="24"/>
              </w:rPr>
              <w:t>75kw</w:t>
            </w:r>
            <w:r>
              <w:rPr>
                <w:rFonts w:hint="default" w:ascii="Times New Roman" w:hAnsi="Times New Roman" w:eastAsia="宋体" w:cs="Times New Roman"/>
                <w:sz w:val="24"/>
                <w:szCs w:val="24"/>
              </w:rPr>
              <w:t xml:space="preserve"> </w:t>
            </w:r>
          </w:p>
        </w:tc>
        <w:tc>
          <w:tcPr>
            <w:tcW w:w="433" w:type="pct"/>
            <w:tcBorders>
              <w:tl2br w:val="nil"/>
              <w:tr2bl w:val="nil"/>
            </w:tcBorders>
            <w:vAlign w:val="center"/>
          </w:tcPr>
          <w:p w14:paraId="193FCF0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台</w:t>
            </w:r>
          </w:p>
        </w:tc>
        <w:tc>
          <w:tcPr>
            <w:tcW w:w="281" w:type="pct"/>
            <w:tcBorders>
              <w:tl2br w:val="nil"/>
              <w:tr2bl w:val="nil"/>
            </w:tcBorders>
            <w:vAlign w:val="center"/>
          </w:tcPr>
          <w:p w14:paraId="32B0F14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3</w:t>
            </w:r>
          </w:p>
        </w:tc>
        <w:tc>
          <w:tcPr>
            <w:tcW w:w="622" w:type="pct"/>
            <w:tcBorders>
              <w:tl2br w:val="nil"/>
              <w:tr2bl w:val="nil"/>
            </w:tcBorders>
            <w:vAlign w:val="center"/>
          </w:tcPr>
          <w:p w14:paraId="743D7B9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225</w:t>
            </w:r>
          </w:p>
        </w:tc>
        <w:tc>
          <w:tcPr>
            <w:tcW w:w="853" w:type="pct"/>
            <w:tcBorders>
              <w:tl2br w:val="nil"/>
              <w:tr2bl w:val="nil"/>
            </w:tcBorders>
            <w:vAlign w:val="center"/>
          </w:tcPr>
          <w:p w14:paraId="27EE0F0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2开1备</w:t>
            </w:r>
          </w:p>
        </w:tc>
      </w:tr>
      <w:tr w14:paraId="748BE3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14AF6A0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11</w:t>
            </w:r>
          </w:p>
        </w:tc>
        <w:tc>
          <w:tcPr>
            <w:tcW w:w="1449" w:type="pct"/>
            <w:tcBorders>
              <w:tl2br w:val="nil"/>
              <w:tr2bl w:val="nil"/>
            </w:tcBorders>
            <w:vAlign w:val="center"/>
          </w:tcPr>
          <w:p w14:paraId="4E80813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雷蒙磨</w:t>
            </w:r>
          </w:p>
        </w:tc>
        <w:tc>
          <w:tcPr>
            <w:tcW w:w="1052" w:type="pct"/>
            <w:tcBorders>
              <w:tl2br w:val="nil"/>
              <w:tr2bl w:val="nil"/>
            </w:tcBorders>
            <w:vAlign w:val="center"/>
          </w:tcPr>
          <w:p w14:paraId="301AC0E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5R</w:t>
            </w:r>
          </w:p>
        </w:tc>
        <w:tc>
          <w:tcPr>
            <w:tcW w:w="433" w:type="pct"/>
            <w:tcBorders>
              <w:tl2br w:val="nil"/>
              <w:tr2bl w:val="nil"/>
            </w:tcBorders>
            <w:vAlign w:val="center"/>
          </w:tcPr>
          <w:p w14:paraId="45204F9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系统</w:t>
            </w:r>
          </w:p>
        </w:tc>
        <w:tc>
          <w:tcPr>
            <w:tcW w:w="281" w:type="pct"/>
            <w:tcBorders>
              <w:tl2br w:val="nil"/>
              <w:tr2bl w:val="nil"/>
            </w:tcBorders>
            <w:vAlign w:val="center"/>
          </w:tcPr>
          <w:p w14:paraId="0150D94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val="en-US" w:eastAsia="zh-CN"/>
              </w:rPr>
              <w:t>1</w:t>
            </w:r>
          </w:p>
        </w:tc>
        <w:tc>
          <w:tcPr>
            <w:tcW w:w="622" w:type="pct"/>
            <w:tcBorders>
              <w:tl2br w:val="nil"/>
              <w:tr2bl w:val="nil"/>
            </w:tcBorders>
            <w:vAlign w:val="center"/>
          </w:tcPr>
          <w:p w14:paraId="5AC9DCE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200</w:t>
            </w:r>
          </w:p>
        </w:tc>
        <w:tc>
          <w:tcPr>
            <w:tcW w:w="853" w:type="pct"/>
            <w:tcBorders>
              <w:tl2br w:val="nil"/>
              <w:tr2bl w:val="nil"/>
            </w:tcBorders>
            <w:vAlign w:val="center"/>
          </w:tcPr>
          <w:p w14:paraId="28504D67">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p>
        </w:tc>
      </w:tr>
      <w:tr w14:paraId="3032BA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042112E4">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12</w:t>
            </w:r>
          </w:p>
        </w:tc>
        <w:tc>
          <w:tcPr>
            <w:tcW w:w="1449" w:type="pct"/>
            <w:tcBorders>
              <w:tl2br w:val="nil"/>
              <w:tr2bl w:val="nil"/>
            </w:tcBorders>
            <w:vAlign w:val="center"/>
          </w:tcPr>
          <w:p w14:paraId="40B9003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气流磨</w:t>
            </w:r>
          </w:p>
        </w:tc>
        <w:tc>
          <w:tcPr>
            <w:tcW w:w="1052" w:type="pct"/>
            <w:tcBorders>
              <w:tl2br w:val="nil"/>
              <w:tr2bl w:val="nil"/>
            </w:tcBorders>
            <w:vAlign w:val="center"/>
          </w:tcPr>
          <w:p w14:paraId="594913F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QLM-5</w:t>
            </w:r>
          </w:p>
        </w:tc>
        <w:tc>
          <w:tcPr>
            <w:tcW w:w="433" w:type="pct"/>
            <w:tcBorders>
              <w:tl2br w:val="nil"/>
              <w:tr2bl w:val="nil"/>
            </w:tcBorders>
            <w:vAlign w:val="center"/>
          </w:tcPr>
          <w:p w14:paraId="5DD9893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台</w:t>
            </w:r>
          </w:p>
        </w:tc>
        <w:tc>
          <w:tcPr>
            <w:tcW w:w="281" w:type="pct"/>
            <w:tcBorders>
              <w:tl2br w:val="nil"/>
              <w:tr2bl w:val="nil"/>
            </w:tcBorders>
            <w:vAlign w:val="center"/>
          </w:tcPr>
          <w:p w14:paraId="06C7A4C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val="en-US" w:eastAsia="zh-CN"/>
              </w:rPr>
              <w:t>1</w:t>
            </w:r>
          </w:p>
        </w:tc>
        <w:tc>
          <w:tcPr>
            <w:tcW w:w="622" w:type="pct"/>
            <w:tcBorders>
              <w:tl2br w:val="nil"/>
              <w:tr2bl w:val="nil"/>
            </w:tcBorders>
            <w:vAlign w:val="center"/>
          </w:tcPr>
          <w:p w14:paraId="0ECE1AA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150</w:t>
            </w:r>
          </w:p>
        </w:tc>
        <w:tc>
          <w:tcPr>
            <w:tcW w:w="853" w:type="pct"/>
            <w:tcBorders>
              <w:tl2br w:val="nil"/>
              <w:tr2bl w:val="nil"/>
            </w:tcBorders>
            <w:vAlign w:val="center"/>
          </w:tcPr>
          <w:p w14:paraId="7295236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p>
        </w:tc>
      </w:tr>
      <w:tr w14:paraId="1D9CA8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74F25AA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13</w:t>
            </w:r>
          </w:p>
        </w:tc>
        <w:tc>
          <w:tcPr>
            <w:tcW w:w="1449" w:type="pct"/>
            <w:tcBorders>
              <w:tl2br w:val="nil"/>
              <w:tr2bl w:val="nil"/>
            </w:tcBorders>
            <w:vAlign w:val="center"/>
          </w:tcPr>
          <w:p w14:paraId="2AF56FB4">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气流磨空压机循环水泵</w:t>
            </w:r>
          </w:p>
        </w:tc>
        <w:tc>
          <w:tcPr>
            <w:tcW w:w="1052" w:type="pct"/>
            <w:tcBorders>
              <w:tl2br w:val="nil"/>
              <w:tr2bl w:val="nil"/>
            </w:tcBorders>
            <w:vAlign w:val="center"/>
          </w:tcPr>
          <w:p w14:paraId="76A7B7A4">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YES3-160</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rPr>
              <w:t>-2   15kW</w:t>
            </w:r>
          </w:p>
        </w:tc>
        <w:tc>
          <w:tcPr>
            <w:tcW w:w="433" w:type="pct"/>
            <w:tcBorders>
              <w:tl2br w:val="nil"/>
              <w:tr2bl w:val="nil"/>
            </w:tcBorders>
            <w:vAlign w:val="center"/>
          </w:tcPr>
          <w:p w14:paraId="00A0EDF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台</w:t>
            </w:r>
          </w:p>
        </w:tc>
        <w:tc>
          <w:tcPr>
            <w:tcW w:w="281" w:type="pct"/>
            <w:tcBorders>
              <w:tl2br w:val="nil"/>
              <w:tr2bl w:val="nil"/>
            </w:tcBorders>
            <w:vAlign w:val="center"/>
          </w:tcPr>
          <w:p w14:paraId="7AFD8E9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w:t>
            </w:r>
          </w:p>
        </w:tc>
        <w:tc>
          <w:tcPr>
            <w:tcW w:w="622" w:type="pct"/>
            <w:tcBorders>
              <w:tl2br w:val="nil"/>
              <w:tr2bl w:val="nil"/>
            </w:tcBorders>
            <w:vAlign w:val="center"/>
          </w:tcPr>
          <w:p w14:paraId="5AB858E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30</w:t>
            </w:r>
          </w:p>
        </w:tc>
        <w:tc>
          <w:tcPr>
            <w:tcW w:w="853" w:type="pct"/>
            <w:tcBorders>
              <w:tl2br w:val="nil"/>
              <w:tr2bl w:val="nil"/>
            </w:tcBorders>
            <w:vAlign w:val="center"/>
          </w:tcPr>
          <w:p w14:paraId="263313A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p>
        </w:tc>
      </w:tr>
      <w:tr w14:paraId="718BF5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3BA7A9D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14</w:t>
            </w:r>
          </w:p>
        </w:tc>
        <w:tc>
          <w:tcPr>
            <w:tcW w:w="1449" w:type="pct"/>
            <w:tcBorders>
              <w:tl2br w:val="nil"/>
              <w:tr2bl w:val="nil"/>
            </w:tcBorders>
            <w:vAlign w:val="center"/>
          </w:tcPr>
          <w:p w14:paraId="2D5C65E4">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电炉冷却塔循环</w:t>
            </w:r>
            <w:r>
              <w:rPr>
                <w:rFonts w:hint="default" w:ascii="Times New Roman" w:hAnsi="Times New Roman" w:eastAsia="宋体" w:cs="Times New Roman"/>
                <w:sz w:val="24"/>
                <w:szCs w:val="24"/>
              </w:rPr>
              <w:t>水泵</w:t>
            </w:r>
          </w:p>
        </w:tc>
        <w:tc>
          <w:tcPr>
            <w:tcW w:w="1052" w:type="pct"/>
            <w:tcBorders>
              <w:tl2br w:val="nil"/>
              <w:tr2bl w:val="nil"/>
            </w:tcBorders>
            <w:vAlign w:val="center"/>
          </w:tcPr>
          <w:p w14:paraId="1A07FFD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YES3-280S-4</w:t>
            </w:r>
            <w:r>
              <w:rPr>
                <w:rFonts w:hint="eastAsia" w:ascii="Times New Roman" w:hAnsi="Times New Roman" w:cs="Times New Roman"/>
                <w:sz w:val="24"/>
                <w:szCs w:val="24"/>
                <w:lang w:val="en-US" w:eastAsia="zh-CN"/>
              </w:rPr>
              <w:t xml:space="preserve"> </w:t>
            </w:r>
            <w:r>
              <w:rPr>
                <w:rFonts w:hint="eastAsia" w:ascii="Times New Roman" w:hAnsi="Times New Roman" w:eastAsia="宋体" w:cs="Times New Roman"/>
                <w:sz w:val="24"/>
                <w:szCs w:val="24"/>
              </w:rPr>
              <w:t>75kw</w:t>
            </w:r>
            <w:r>
              <w:rPr>
                <w:rFonts w:hint="default" w:ascii="Times New Roman" w:hAnsi="Times New Roman" w:eastAsia="宋体" w:cs="Times New Roman"/>
                <w:sz w:val="24"/>
                <w:szCs w:val="24"/>
              </w:rPr>
              <w:t xml:space="preserve"> </w:t>
            </w:r>
          </w:p>
        </w:tc>
        <w:tc>
          <w:tcPr>
            <w:tcW w:w="433" w:type="pct"/>
            <w:tcBorders>
              <w:tl2br w:val="nil"/>
              <w:tr2bl w:val="nil"/>
            </w:tcBorders>
            <w:vAlign w:val="center"/>
          </w:tcPr>
          <w:p w14:paraId="629D143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台</w:t>
            </w:r>
          </w:p>
        </w:tc>
        <w:tc>
          <w:tcPr>
            <w:tcW w:w="281" w:type="pct"/>
            <w:tcBorders>
              <w:tl2br w:val="nil"/>
              <w:tr2bl w:val="nil"/>
            </w:tcBorders>
            <w:vAlign w:val="center"/>
          </w:tcPr>
          <w:p w14:paraId="7A60591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w:t>
            </w:r>
          </w:p>
        </w:tc>
        <w:tc>
          <w:tcPr>
            <w:tcW w:w="622" w:type="pct"/>
            <w:tcBorders>
              <w:tl2br w:val="nil"/>
              <w:tr2bl w:val="nil"/>
            </w:tcBorders>
            <w:vAlign w:val="center"/>
          </w:tcPr>
          <w:p w14:paraId="578CB1A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150</w:t>
            </w:r>
          </w:p>
        </w:tc>
        <w:tc>
          <w:tcPr>
            <w:tcW w:w="853" w:type="pct"/>
            <w:tcBorders>
              <w:tl2br w:val="nil"/>
              <w:tr2bl w:val="nil"/>
            </w:tcBorders>
            <w:vAlign w:val="center"/>
          </w:tcPr>
          <w:p w14:paraId="2DC3C50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2开</w:t>
            </w:r>
          </w:p>
        </w:tc>
      </w:tr>
      <w:tr w14:paraId="2DE2C4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48D0DD2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15</w:t>
            </w:r>
          </w:p>
        </w:tc>
        <w:tc>
          <w:tcPr>
            <w:tcW w:w="1449" w:type="pct"/>
            <w:tcBorders>
              <w:tl2br w:val="nil"/>
              <w:tr2bl w:val="nil"/>
            </w:tcBorders>
            <w:vAlign w:val="center"/>
          </w:tcPr>
          <w:p w14:paraId="0DEAFA2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单梁起重机</w:t>
            </w:r>
          </w:p>
        </w:tc>
        <w:tc>
          <w:tcPr>
            <w:tcW w:w="1052" w:type="pct"/>
            <w:tcBorders>
              <w:tl2br w:val="nil"/>
              <w:tr2bl w:val="nil"/>
            </w:tcBorders>
            <w:vAlign w:val="center"/>
          </w:tcPr>
          <w:p w14:paraId="0520AFB4">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10T</w:t>
            </w:r>
          </w:p>
        </w:tc>
        <w:tc>
          <w:tcPr>
            <w:tcW w:w="433" w:type="pct"/>
            <w:tcBorders>
              <w:tl2br w:val="nil"/>
              <w:tr2bl w:val="nil"/>
            </w:tcBorders>
            <w:vAlign w:val="center"/>
          </w:tcPr>
          <w:p w14:paraId="498B2A5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台</w:t>
            </w:r>
          </w:p>
        </w:tc>
        <w:tc>
          <w:tcPr>
            <w:tcW w:w="281" w:type="pct"/>
            <w:tcBorders>
              <w:tl2br w:val="nil"/>
              <w:tr2bl w:val="nil"/>
            </w:tcBorders>
            <w:vAlign w:val="center"/>
          </w:tcPr>
          <w:p w14:paraId="3AD16AE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w:t>
            </w:r>
          </w:p>
        </w:tc>
        <w:tc>
          <w:tcPr>
            <w:tcW w:w="622" w:type="pct"/>
            <w:tcBorders>
              <w:tl2br w:val="nil"/>
              <w:tr2bl w:val="nil"/>
            </w:tcBorders>
            <w:vAlign w:val="center"/>
          </w:tcPr>
          <w:p w14:paraId="25073E4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35</w:t>
            </w:r>
          </w:p>
        </w:tc>
        <w:tc>
          <w:tcPr>
            <w:tcW w:w="853" w:type="pct"/>
            <w:tcBorders>
              <w:tl2br w:val="nil"/>
              <w:tr2bl w:val="nil"/>
            </w:tcBorders>
            <w:vAlign w:val="center"/>
          </w:tcPr>
          <w:p w14:paraId="1EA0668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1#联合车间</w:t>
            </w:r>
          </w:p>
        </w:tc>
      </w:tr>
      <w:tr w14:paraId="24231F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4FFFB64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16</w:t>
            </w:r>
          </w:p>
        </w:tc>
        <w:tc>
          <w:tcPr>
            <w:tcW w:w="1449" w:type="pct"/>
            <w:tcBorders>
              <w:tl2br w:val="nil"/>
              <w:tr2bl w:val="nil"/>
            </w:tcBorders>
            <w:vAlign w:val="center"/>
          </w:tcPr>
          <w:p w14:paraId="3352743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单梁起重机</w:t>
            </w:r>
          </w:p>
        </w:tc>
        <w:tc>
          <w:tcPr>
            <w:tcW w:w="1052" w:type="pct"/>
            <w:tcBorders>
              <w:tl2br w:val="nil"/>
              <w:tr2bl w:val="nil"/>
            </w:tcBorders>
            <w:vAlign w:val="center"/>
          </w:tcPr>
          <w:p w14:paraId="3325722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5T</w:t>
            </w:r>
          </w:p>
        </w:tc>
        <w:tc>
          <w:tcPr>
            <w:tcW w:w="433" w:type="pct"/>
            <w:tcBorders>
              <w:tl2br w:val="nil"/>
              <w:tr2bl w:val="nil"/>
            </w:tcBorders>
            <w:vAlign w:val="center"/>
          </w:tcPr>
          <w:p w14:paraId="3DC72EC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台</w:t>
            </w:r>
          </w:p>
        </w:tc>
        <w:tc>
          <w:tcPr>
            <w:tcW w:w="281" w:type="pct"/>
            <w:tcBorders>
              <w:tl2br w:val="nil"/>
              <w:tr2bl w:val="nil"/>
            </w:tcBorders>
            <w:vAlign w:val="center"/>
          </w:tcPr>
          <w:p w14:paraId="547C115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w:t>
            </w:r>
          </w:p>
        </w:tc>
        <w:tc>
          <w:tcPr>
            <w:tcW w:w="622" w:type="pct"/>
            <w:tcBorders>
              <w:tl2br w:val="nil"/>
              <w:tr2bl w:val="nil"/>
            </w:tcBorders>
            <w:vAlign w:val="center"/>
          </w:tcPr>
          <w:p w14:paraId="19E3F84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20</w:t>
            </w:r>
          </w:p>
        </w:tc>
        <w:tc>
          <w:tcPr>
            <w:tcW w:w="853" w:type="pct"/>
            <w:tcBorders>
              <w:tl2br w:val="nil"/>
              <w:tr2bl w:val="nil"/>
            </w:tcBorders>
            <w:vAlign w:val="center"/>
          </w:tcPr>
          <w:p w14:paraId="79FCB26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1#联合车间</w:t>
            </w:r>
          </w:p>
        </w:tc>
      </w:tr>
      <w:tr w14:paraId="45E28E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6F01644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17</w:t>
            </w:r>
          </w:p>
        </w:tc>
        <w:tc>
          <w:tcPr>
            <w:tcW w:w="1449" w:type="pct"/>
            <w:tcBorders>
              <w:tl2br w:val="nil"/>
              <w:tr2bl w:val="nil"/>
            </w:tcBorders>
            <w:vAlign w:val="center"/>
          </w:tcPr>
          <w:p w14:paraId="6F6C9C1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单梁起重机</w:t>
            </w:r>
          </w:p>
        </w:tc>
        <w:tc>
          <w:tcPr>
            <w:tcW w:w="1052" w:type="pct"/>
            <w:tcBorders>
              <w:tl2br w:val="nil"/>
              <w:tr2bl w:val="nil"/>
            </w:tcBorders>
            <w:vAlign w:val="center"/>
          </w:tcPr>
          <w:p w14:paraId="3D29A2C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5T</w:t>
            </w:r>
          </w:p>
        </w:tc>
        <w:tc>
          <w:tcPr>
            <w:tcW w:w="433" w:type="pct"/>
            <w:tcBorders>
              <w:tl2br w:val="nil"/>
              <w:tr2bl w:val="nil"/>
            </w:tcBorders>
            <w:vAlign w:val="center"/>
          </w:tcPr>
          <w:p w14:paraId="295E49F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台</w:t>
            </w:r>
          </w:p>
        </w:tc>
        <w:tc>
          <w:tcPr>
            <w:tcW w:w="281" w:type="pct"/>
            <w:tcBorders>
              <w:tl2br w:val="nil"/>
              <w:tr2bl w:val="nil"/>
            </w:tcBorders>
            <w:vAlign w:val="center"/>
          </w:tcPr>
          <w:p w14:paraId="08518494">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w:t>
            </w:r>
          </w:p>
        </w:tc>
        <w:tc>
          <w:tcPr>
            <w:tcW w:w="622" w:type="pct"/>
            <w:tcBorders>
              <w:tl2br w:val="nil"/>
              <w:tr2bl w:val="nil"/>
            </w:tcBorders>
            <w:vAlign w:val="center"/>
          </w:tcPr>
          <w:p w14:paraId="22BF10F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20</w:t>
            </w:r>
          </w:p>
        </w:tc>
        <w:tc>
          <w:tcPr>
            <w:tcW w:w="853" w:type="pct"/>
            <w:tcBorders>
              <w:tl2br w:val="nil"/>
              <w:tr2bl w:val="nil"/>
            </w:tcBorders>
            <w:vAlign w:val="center"/>
          </w:tcPr>
          <w:p w14:paraId="29130FC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1#产品车间</w:t>
            </w:r>
          </w:p>
        </w:tc>
      </w:tr>
      <w:tr w14:paraId="403B14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2092B10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18</w:t>
            </w:r>
          </w:p>
        </w:tc>
        <w:tc>
          <w:tcPr>
            <w:tcW w:w="1449" w:type="pct"/>
            <w:tcBorders>
              <w:tl2br w:val="nil"/>
              <w:tr2bl w:val="nil"/>
            </w:tcBorders>
            <w:vAlign w:val="center"/>
          </w:tcPr>
          <w:p w14:paraId="6F50B8B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引风机</w:t>
            </w:r>
          </w:p>
        </w:tc>
        <w:tc>
          <w:tcPr>
            <w:tcW w:w="1052" w:type="pct"/>
            <w:tcBorders>
              <w:tl2br w:val="nil"/>
              <w:tr2bl w:val="nil"/>
            </w:tcBorders>
            <w:vAlign w:val="center"/>
          </w:tcPr>
          <w:p w14:paraId="386CA68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w:t>
            </w:r>
          </w:p>
        </w:tc>
        <w:tc>
          <w:tcPr>
            <w:tcW w:w="433" w:type="pct"/>
            <w:tcBorders>
              <w:tl2br w:val="nil"/>
              <w:tr2bl w:val="nil"/>
            </w:tcBorders>
            <w:vAlign w:val="center"/>
          </w:tcPr>
          <w:p w14:paraId="3ACA3B7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台</w:t>
            </w:r>
          </w:p>
        </w:tc>
        <w:tc>
          <w:tcPr>
            <w:tcW w:w="281" w:type="pct"/>
            <w:tcBorders>
              <w:tl2br w:val="nil"/>
              <w:tr2bl w:val="nil"/>
            </w:tcBorders>
            <w:vAlign w:val="center"/>
          </w:tcPr>
          <w:p w14:paraId="65896A6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sz w:val="24"/>
                <w:szCs w:val="24"/>
                <w:lang w:eastAsia="zh-CN"/>
              </w:rPr>
            </w:pPr>
            <w:r>
              <w:rPr>
                <w:rFonts w:hint="eastAsia" w:ascii="Times New Roman" w:hAnsi="Times New Roman" w:cs="Times New Roman"/>
                <w:sz w:val="24"/>
                <w:szCs w:val="24"/>
                <w:lang w:val="en-US" w:eastAsia="zh-CN"/>
              </w:rPr>
              <w:t>2</w:t>
            </w:r>
          </w:p>
        </w:tc>
        <w:tc>
          <w:tcPr>
            <w:tcW w:w="622" w:type="pct"/>
            <w:tcBorders>
              <w:tl2br w:val="nil"/>
              <w:tr2bl w:val="nil"/>
            </w:tcBorders>
            <w:vAlign w:val="center"/>
          </w:tcPr>
          <w:p w14:paraId="189B91F7">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70</w:t>
            </w:r>
          </w:p>
        </w:tc>
        <w:tc>
          <w:tcPr>
            <w:tcW w:w="853" w:type="pct"/>
            <w:tcBorders>
              <w:tl2br w:val="nil"/>
              <w:tr2bl w:val="nil"/>
            </w:tcBorders>
            <w:vAlign w:val="center"/>
          </w:tcPr>
          <w:p w14:paraId="7ABA6D0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气流磨、环球磨</w:t>
            </w:r>
          </w:p>
        </w:tc>
      </w:tr>
      <w:tr w14:paraId="028F44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00825B3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19</w:t>
            </w:r>
          </w:p>
        </w:tc>
        <w:tc>
          <w:tcPr>
            <w:tcW w:w="1449" w:type="pct"/>
            <w:tcBorders>
              <w:tl2br w:val="nil"/>
              <w:tr2bl w:val="nil"/>
            </w:tcBorders>
            <w:vAlign w:val="center"/>
          </w:tcPr>
          <w:p w14:paraId="59EC477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切割机</w:t>
            </w:r>
          </w:p>
        </w:tc>
        <w:tc>
          <w:tcPr>
            <w:tcW w:w="1052" w:type="pct"/>
            <w:tcBorders>
              <w:tl2br w:val="nil"/>
              <w:tr2bl w:val="nil"/>
            </w:tcBorders>
            <w:vAlign w:val="center"/>
          </w:tcPr>
          <w:p w14:paraId="54B7521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w:t>
            </w:r>
          </w:p>
        </w:tc>
        <w:tc>
          <w:tcPr>
            <w:tcW w:w="433" w:type="pct"/>
            <w:tcBorders>
              <w:tl2br w:val="nil"/>
              <w:tr2bl w:val="nil"/>
            </w:tcBorders>
            <w:vAlign w:val="center"/>
          </w:tcPr>
          <w:p w14:paraId="5338CD8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台</w:t>
            </w:r>
          </w:p>
        </w:tc>
        <w:tc>
          <w:tcPr>
            <w:tcW w:w="281" w:type="pct"/>
            <w:tcBorders>
              <w:tl2br w:val="nil"/>
              <w:tr2bl w:val="nil"/>
            </w:tcBorders>
            <w:vAlign w:val="center"/>
          </w:tcPr>
          <w:p w14:paraId="36120CE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1</w:t>
            </w:r>
          </w:p>
        </w:tc>
        <w:tc>
          <w:tcPr>
            <w:tcW w:w="622" w:type="pct"/>
            <w:tcBorders>
              <w:tl2br w:val="nil"/>
              <w:tr2bl w:val="nil"/>
            </w:tcBorders>
            <w:vAlign w:val="center"/>
          </w:tcPr>
          <w:p w14:paraId="2A02B25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sz w:val="24"/>
                <w:szCs w:val="24"/>
              </w:rPr>
            </w:pPr>
          </w:p>
        </w:tc>
        <w:tc>
          <w:tcPr>
            <w:tcW w:w="853" w:type="pct"/>
            <w:tcBorders>
              <w:tl2br w:val="nil"/>
              <w:tr2bl w:val="nil"/>
            </w:tcBorders>
            <w:vAlign w:val="center"/>
          </w:tcPr>
          <w:p w14:paraId="6B1256F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机修车间</w:t>
            </w:r>
          </w:p>
        </w:tc>
      </w:tr>
      <w:tr w14:paraId="70F214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6DA9579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20</w:t>
            </w:r>
          </w:p>
        </w:tc>
        <w:tc>
          <w:tcPr>
            <w:tcW w:w="1449" w:type="pct"/>
            <w:tcBorders>
              <w:tl2br w:val="nil"/>
              <w:tr2bl w:val="nil"/>
            </w:tcBorders>
            <w:vAlign w:val="center"/>
          </w:tcPr>
          <w:p w14:paraId="3EDFFB1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台钻</w:t>
            </w:r>
          </w:p>
        </w:tc>
        <w:tc>
          <w:tcPr>
            <w:tcW w:w="1052" w:type="pct"/>
            <w:tcBorders>
              <w:tl2br w:val="nil"/>
              <w:tr2bl w:val="nil"/>
            </w:tcBorders>
            <w:vAlign w:val="center"/>
          </w:tcPr>
          <w:p w14:paraId="59BCE90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w:t>
            </w:r>
          </w:p>
        </w:tc>
        <w:tc>
          <w:tcPr>
            <w:tcW w:w="433" w:type="pct"/>
            <w:tcBorders>
              <w:tl2br w:val="nil"/>
              <w:tr2bl w:val="nil"/>
            </w:tcBorders>
            <w:vAlign w:val="center"/>
          </w:tcPr>
          <w:p w14:paraId="1F7400D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台</w:t>
            </w:r>
          </w:p>
        </w:tc>
        <w:tc>
          <w:tcPr>
            <w:tcW w:w="281" w:type="pct"/>
            <w:tcBorders>
              <w:tl2br w:val="nil"/>
              <w:tr2bl w:val="nil"/>
            </w:tcBorders>
            <w:vAlign w:val="center"/>
          </w:tcPr>
          <w:p w14:paraId="064FECC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22" w:type="pct"/>
            <w:tcBorders>
              <w:tl2br w:val="nil"/>
              <w:tr2bl w:val="nil"/>
            </w:tcBorders>
            <w:vAlign w:val="center"/>
          </w:tcPr>
          <w:p w14:paraId="4481734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sz w:val="24"/>
                <w:szCs w:val="24"/>
              </w:rPr>
            </w:pPr>
          </w:p>
        </w:tc>
        <w:tc>
          <w:tcPr>
            <w:tcW w:w="853" w:type="pct"/>
            <w:tcBorders>
              <w:tl2br w:val="nil"/>
              <w:tr2bl w:val="nil"/>
            </w:tcBorders>
            <w:vAlign w:val="center"/>
          </w:tcPr>
          <w:p w14:paraId="17D3D18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sz w:val="24"/>
                <w:szCs w:val="24"/>
              </w:rPr>
            </w:pPr>
            <w:r>
              <w:rPr>
                <w:rFonts w:hint="eastAsia" w:ascii="Times New Roman" w:hAnsi="Times New Roman" w:cs="Times New Roman"/>
                <w:sz w:val="24"/>
                <w:szCs w:val="24"/>
                <w:lang w:val="en-US" w:eastAsia="zh-CN"/>
              </w:rPr>
              <w:t>机修车间</w:t>
            </w:r>
          </w:p>
        </w:tc>
      </w:tr>
      <w:tr w14:paraId="705D87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10ABD95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21</w:t>
            </w:r>
          </w:p>
        </w:tc>
        <w:tc>
          <w:tcPr>
            <w:tcW w:w="1449" w:type="pct"/>
            <w:tcBorders>
              <w:tl2br w:val="nil"/>
              <w:tr2bl w:val="nil"/>
            </w:tcBorders>
            <w:vAlign w:val="center"/>
          </w:tcPr>
          <w:p w14:paraId="17C18CC4">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自动缠膜机</w:t>
            </w:r>
          </w:p>
        </w:tc>
        <w:tc>
          <w:tcPr>
            <w:tcW w:w="1052" w:type="pct"/>
            <w:tcBorders>
              <w:tl2br w:val="nil"/>
              <w:tr2bl w:val="nil"/>
            </w:tcBorders>
            <w:vAlign w:val="center"/>
          </w:tcPr>
          <w:p w14:paraId="59739E6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w:t>
            </w:r>
          </w:p>
        </w:tc>
        <w:tc>
          <w:tcPr>
            <w:tcW w:w="433" w:type="pct"/>
            <w:tcBorders>
              <w:tl2br w:val="nil"/>
              <w:tr2bl w:val="nil"/>
            </w:tcBorders>
            <w:vAlign w:val="center"/>
          </w:tcPr>
          <w:p w14:paraId="500FBF0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台</w:t>
            </w:r>
          </w:p>
        </w:tc>
        <w:tc>
          <w:tcPr>
            <w:tcW w:w="281" w:type="pct"/>
            <w:tcBorders>
              <w:tl2br w:val="nil"/>
              <w:tr2bl w:val="nil"/>
            </w:tcBorders>
            <w:vAlign w:val="center"/>
          </w:tcPr>
          <w:p w14:paraId="5D487E5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p>
        </w:tc>
        <w:tc>
          <w:tcPr>
            <w:tcW w:w="622" w:type="pct"/>
            <w:tcBorders>
              <w:tl2br w:val="nil"/>
              <w:tr2bl w:val="nil"/>
            </w:tcBorders>
            <w:vAlign w:val="center"/>
          </w:tcPr>
          <w:p w14:paraId="312BA7C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sz w:val="24"/>
                <w:szCs w:val="24"/>
              </w:rPr>
            </w:pPr>
          </w:p>
        </w:tc>
        <w:tc>
          <w:tcPr>
            <w:tcW w:w="853" w:type="pct"/>
            <w:tcBorders>
              <w:tl2br w:val="nil"/>
              <w:tr2bl w:val="nil"/>
            </w:tcBorders>
            <w:vAlign w:val="center"/>
          </w:tcPr>
          <w:p w14:paraId="48AF3181">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sz w:val="24"/>
                <w:szCs w:val="24"/>
              </w:rPr>
            </w:pPr>
            <w:r>
              <w:rPr>
                <w:rFonts w:hint="eastAsia" w:ascii="Times New Roman" w:hAnsi="Times New Roman" w:cs="Times New Roman"/>
                <w:sz w:val="24"/>
                <w:szCs w:val="24"/>
                <w:lang w:val="en-US" w:eastAsia="zh-CN"/>
              </w:rPr>
              <w:t>机修车间</w:t>
            </w:r>
          </w:p>
        </w:tc>
      </w:tr>
      <w:tr w14:paraId="317FD2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tcBorders>
              <w:tl2br w:val="nil"/>
              <w:tr2bl w:val="nil"/>
            </w:tcBorders>
            <w:vAlign w:val="center"/>
          </w:tcPr>
          <w:p w14:paraId="65FE7D4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22</w:t>
            </w:r>
          </w:p>
        </w:tc>
        <w:tc>
          <w:tcPr>
            <w:tcW w:w="1449" w:type="pct"/>
            <w:tcBorders>
              <w:tl2br w:val="nil"/>
              <w:tr2bl w:val="nil"/>
            </w:tcBorders>
            <w:vAlign w:val="center"/>
          </w:tcPr>
          <w:p w14:paraId="41242AD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电焊机</w:t>
            </w:r>
          </w:p>
        </w:tc>
        <w:tc>
          <w:tcPr>
            <w:tcW w:w="1052" w:type="pct"/>
            <w:tcBorders>
              <w:tl2br w:val="nil"/>
              <w:tr2bl w:val="nil"/>
            </w:tcBorders>
            <w:vAlign w:val="center"/>
          </w:tcPr>
          <w:p w14:paraId="5A1B71E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w:t>
            </w:r>
          </w:p>
        </w:tc>
        <w:tc>
          <w:tcPr>
            <w:tcW w:w="433" w:type="pct"/>
            <w:tcBorders>
              <w:tl2br w:val="nil"/>
              <w:tr2bl w:val="nil"/>
            </w:tcBorders>
            <w:vAlign w:val="center"/>
          </w:tcPr>
          <w:p w14:paraId="06A4818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台</w:t>
            </w:r>
          </w:p>
        </w:tc>
        <w:tc>
          <w:tcPr>
            <w:tcW w:w="281" w:type="pct"/>
            <w:tcBorders>
              <w:tl2br w:val="nil"/>
              <w:tr2bl w:val="nil"/>
            </w:tcBorders>
            <w:vAlign w:val="center"/>
          </w:tcPr>
          <w:p w14:paraId="2DCE55F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4</w:t>
            </w:r>
          </w:p>
        </w:tc>
        <w:tc>
          <w:tcPr>
            <w:tcW w:w="622" w:type="pct"/>
            <w:tcBorders>
              <w:tl2br w:val="nil"/>
              <w:tr2bl w:val="nil"/>
            </w:tcBorders>
            <w:vAlign w:val="center"/>
          </w:tcPr>
          <w:p w14:paraId="630D98D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sz w:val="24"/>
                <w:szCs w:val="24"/>
              </w:rPr>
            </w:pPr>
          </w:p>
        </w:tc>
        <w:tc>
          <w:tcPr>
            <w:tcW w:w="853" w:type="pct"/>
            <w:tcBorders>
              <w:tl2br w:val="nil"/>
              <w:tr2bl w:val="nil"/>
            </w:tcBorders>
            <w:vAlign w:val="center"/>
          </w:tcPr>
          <w:p w14:paraId="36680464">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leftChars="0" w:right="0" w:firstLine="0" w:firstLineChars="0"/>
              <w:jc w:val="center"/>
              <w:rPr>
                <w:rFonts w:hint="default" w:ascii="Times New Roman" w:hAnsi="Times New Roman" w:eastAsia="宋体" w:cs="Times New Roman"/>
                <w:sz w:val="24"/>
                <w:szCs w:val="24"/>
              </w:rPr>
            </w:pPr>
            <w:r>
              <w:rPr>
                <w:rFonts w:hint="eastAsia" w:ascii="Times New Roman" w:hAnsi="Times New Roman" w:cs="Times New Roman"/>
                <w:sz w:val="24"/>
                <w:szCs w:val="24"/>
                <w:lang w:val="en-US" w:eastAsia="zh-CN"/>
              </w:rPr>
              <w:t>机修车间</w:t>
            </w:r>
          </w:p>
        </w:tc>
      </w:tr>
      <w:bookmarkEnd w:id="357"/>
      <w:bookmarkEnd w:id="358"/>
      <w:bookmarkEnd w:id="359"/>
    </w:tbl>
    <w:p w14:paraId="1FE62B86">
      <w:pPr>
        <w:pStyle w:val="4"/>
        <w:keepNext w:val="0"/>
        <w:keepLines w:val="0"/>
        <w:pageBreakBefore w:val="0"/>
        <w:widowControl w:val="0"/>
        <w:kinsoku/>
        <w:bidi w:val="0"/>
        <w:rPr>
          <w:lang w:val="en-US" w:eastAsia="zh-CN"/>
        </w:rPr>
      </w:pPr>
      <w:bookmarkStart w:id="360" w:name="_Toc14609"/>
      <w:bookmarkStart w:id="361" w:name="_Toc17281"/>
      <w:bookmarkStart w:id="362" w:name="_Toc9492"/>
      <w:r>
        <w:rPr>
          <w:rFonts w:hint="eastAsia"/>
          <w:lang w:val="en-US" w:eastAsia="zh-CN"/>
        </w:rPr>
        <w:t>特种设备及强制检测设备设施</w:t>
      </w:r>
      <w:bookmarkEnd w:id="360"/>
      <w:bookmarkEnd w:id="361"/>
      <w:bookmarkEnd w:id="362"/>
    </w:p>
    <w:p w14:paraId="699034A4">
      <w:pPr>
        <w:keepNext w:val="0"/>
        <w:keepLines w:val="0"/>
        <w:pageBreakBefore w:val="0"/>
        <w:widowControl w:val="0"/>
        <w:kinsoku/>
        <w:wordWrap/>
        <w:overflowPunct/>
        <w:topLinePunct w:val="0"/>
        <w:autoSpaceDE/>
        <w:autoSpaceDN/>
        <w:bidi w:val="0"/>
        <w:adjustRightInd w:val="0"/>
        <w:snapToGrid/>
        <w:textAlignment w:val="auto"/>
        <w:rPr>
          <w:rFonts w:hint="eastAsia"/>
          <w:lang w:val="en-US" w:eastAsia="zh-CN"/>
        </w:rPr>
        <w:sectPr>
          <w:footerReference r:id="rId1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cs="Times New Roman"/>
          <w:lang w:val="zh-TW" w:eastAsia="zh-CN"/>
        </w:rPr>
        <w:t>本项目涉及的特种设备主要为压力容器（</w:t>
      </w:r>
      <w:r>
        <w:rPr>
          <w:rFonts w:hint="eastAsia" w:cs="Times New Roman"/>
          <w:lang w:val="en-US" w:eastAsia="zh-CN"/>
        </w:rPr>
        <w:t>储气罐</w:t>
      </w:r>
      <w:r>
        <w:rPr>
          <w:rFonts w:hint="eastAsia" w:cs="Times New Roman"/>
          <w:lang w:val="zh-TW" w:eastAsia="zh-CN"/>
        </w:rPr>
        <w:t>）、</w:t>
      </w:r>
      <w:r>
        <w:rPr>
          <w:rFonts w:hint="eastAsia" w:cs="Times New Roman"/>
          <w:lang w:val="en-US" w:eastAsia="zh-CN"/>
        </w:rPr>
        <w:t>场（</w:t>
      </w:r>
      <w:r>
        <w:rPr>
          <w:rFonts w:hint="eastAsia" w:cs="Times New Roman"/>
          <w:lang w:val="zh-TW" w:eastAsia="zh-CN"/>
        </w:rPr>
        <w:t>厂）内</w:t>
      </w:r>
      <w:r>
        <w:rPr>
          <w:rFonts w:hint="eastAsia" w:cs="Times New Roman"/>
          <w:lang w:val="en-US" w:eastAsia="zh-CN"/>
        </w:rPr>
        <w:t>专用</w:t>
      </w:r>
      <w:r>
        <w:rPr>
          <w:rFonts w:hint="eastAsia" w:cs="Times New Roman"/>
          <w:lang w:val="zh-TW" w:eastAsia="zh-CN"/>
        </w:rPr>
        <w:t>机动车辆（叉车）、</w:t>
      </w:r>
      <w:r>
        <w:rPr>
          <w:rFonts w:hint="eastAsia" w:cs="Times New Roman"/>
          <w:lang w:val="en-US" w:eastAsia="zh-CN"/>
        </w:rPr>
        <w:t>安全阀、</w:t>
      </w:r>
      <w:r>
        <w:rPr>
          <w:rFonts w:hint="eastAsia" w:cs="Times New Roman"/>
          <w:lang w:val="zh-TW" w:eastAsia="zh-CN"/>
        </w:rPr>
        <w:t>单梁起重机</w:t>
      </w:r>
      <w:r>
        <w:rPr>
          <w:rFonts w:hint="eastAsia" w:cs="Times New Roman"/>
          <w:lang w:val="en-US" w:eastAsia="zh-CN"/>
        </w:rPr>
        <w:t>。公司认真落实特种设备主体责任，任命了特种设备安全总监，按要求建立特</w:t>
      </w:r>
      <w:r>
        <w:rPr>
          <w:rFonts w:hint="eastAsia"/>
          <w:lang w:val="en-US" w:eastAsia="zh-CN"/>
        </w:rPr>
        <w:t>种设备管理台账，按规范要求定期对特种设备及压力表等安全附件进行检验。为落实特种设备主体责任，公司任命程龙为特种设备安全总监。特种设备管理人员任命文件见附件25。公司对特种设备的管理做到定期检查。公司特种设备及强制检测设备设施检验情况见表2-11、2-12、2-13。</w:t>
      </w:r>
    </w:p>
    <w:p w14:paraId="09BCB69D">
      <w:pPr>
        <w:keepNext w:val="0"/>
        <w:keepLines w:val="0"/>
        <w:pageBreakBefore w:val="0"/>
        <w:widowControl w:val="0"/>
        <w:kinsoku/>
        <w:wordWrap/>
        <w:bidi w:val="0"/>
        <w:spacing w:before="50" w:beforeLines="50" w:line="240" w:lineRule="auto"/>
        <w:ind w:firstLine="0" w:firstLineChars="0"/>
        <w:jc w:val="center"/>
        <w:rPr>
          <w:rFonts w:ascii="宋体" w:hAnsi="宋体" w:eastAsia="宋体" w:cs="宋体"/>
          <w:b/>
          <w:kern w:val="2"/>
          <w:sz w:val="24"/>
          <w:szCs w:val="28"/>
          <w:lang w:val="en-US" w:eastAsia="zh-CN" w:bidi="ar-SA"/>
        </w:rPr>
      </w:pPr>
      <w:r>
        <w:rPr>
          <w:rStyle w:val="87"/>
        </w:rPr>
        <w:t xml:space="preserve">表 </w:t>
      </w:r>
      <w:r>
        <w:rPr>
          <w:rStyle w:val="87"/>
        </w:rPr>
        <w:fldChar w:fldCharType="begin"/>
      </w:r>
      <w:r>
        <w:rPr>
          <w:rStyle w:val="87"/>
        </w:rPr>
        <w:instrText xml:space="preserve"> STYLEREF 1 \s </w:instrText>
      </w:r>
      <w:r>
        <w:rPr>
          <w:rStyle w:val="87"/>
        </w:rPr>
        <w:fldChar w:fldCharType="separate"/>
      </w:r>
      <w:r>
        <w:rPr>
          <w:rStyle w:val="87"/>
        </w:rPr>
        <w:t>2</w:t>
      </w:r>
      <w:r>
        <w:rPr>
          <w:rStyle w:val="87"/>
        </w:rPr>
        <w:fldChar w:fldCharType="end"/>
      </w:r>
      <w:r>
        <w:rPr>
          <w:rStyle w:val="87"/>
          <w:rFonts w:hint="eastAsia"/>
          <w:lang w:eastAsia="zh-CN"/>
        </w:rPr>
        <w:t>-</w:t>
      </w:r>
      <w:r>
        <w:rPr>
          <w:rStyle w:val="87"/>
        </w:rPr>
        <w:fldChar w:fldCharType="begin"/>
      </w:r>
      <w:r>
        <w:rPr>
          <w:rStyle w:val="87"/>
        </w:rPr>
        <w:instrText xml:space="preserve"> SEQ 表 \* ARABIC \s 1 </w:instrText>
      </w:r>
      <w:r>
        <w:rPr>
          <w:rStyle w:val="87"/>
        </w:rPr>
        <w:fldChar w:fldCharType="separate"/>
      </w:r>
      <w:r>
        <w:rPr>
          <w:rStyle w:val="87"/>
        </w:rPr>
        <w:t>11</w:t>
      </w:r>
      <w:r>
        <w:rPr>
          <w:rStyle w:val="87"/>
        </w:rPr>
        <w:fldChar w:fldCharType="end"/>
      </w:r>
      <w:r>
        <w:rPr>
          <w:rFonts w:ascii="宋体" w:hAnsi="宋体" w:eastAsia="宋体" w:cs="宋体"/>
          <w:b/>
          <w:kern w:val="2"/>
          <w:sz w:val="24"/>
          <w:szCs w:val="28"/>
          <w:lang w:val="en-US" w:eastAsia="zh-CN" w:bidi="ar-SA"/>
        </w:rPr>
        <w:t>项目特种设备</w:t>
      </w:r>
      <w:r>
        <w:rPr>
          <w:rFonts w:hint="eastAsia" w:cs="宋体"/>
          <w:b/>
          <w:kern w:val="2"/>
          <w:sz w:val="24"/>
          <w:szCs w:val="28"/>
          <w:lang w:val="en-US" w:eastAsia="zh-CN" w:bidi="ar-SA"/>
        </w:rPr>
        <w:t>登记检验情况</w:t>
      </w:r>
      <w:r>
        <w:rPr>
          <w:rFonts w:ascii="宋体" w:hAnsi="宋体" w:eastAsia="宋体" w:cs="宋体"/>
          <w:b/>
          <w:kern w:val="2"/>
          <w:sz w:val="24"/>
          <w:szCs w:val="28"/>
          <w:lang w:val="en-US" w:eastAsia="zh-CN" w:bidi="ar-SA"/>
        </w:rPr>
        <w:t>一览表</w:t>
      </w:r>
    </w:p>
    <w:tbl>
      <w:tblPr>
        <w:tblStyle w:val="32"/>
        <w:tblW w:w="501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9"/>
        <w:gridCol w:w="1546"/>
        <w:gridCol w:w="1086"/>
        <w:gridCol w:w="1414"/>
        <w:gridCol w:w="1324"/>
        <w:gridCol w:w="1454"/>
        <w:gridCol w:w="2046"/>
        <w:gridCol w:w="2408"/>
        <w:gridCol w:w="1164"/>
        <w:gridCol w:w="1164"/>
      </w:tblGrid>
      <w:tr w14:paraId="66A926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5" w:hRule="atLeast"/>
          <w:tblHeader/>
          <w:jc w:val="center"/>
        </w:trPr>
        <w:tc>
          <w:tcPr>
            <w:tcW w:w="214" w:type="pct"/>
            <w:vAlign w:val="center"/>
          </w:tcPr>
          <w:p w14:paraId="753B2D54">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b/>
                <w:bCs/>
                <w:color w:val="000000"/>
                <w:kern w:val="0"/>
                <w:sz w:val="21"/>
                <w:szCs w:val="21"/>
              </w:rPr>
              <w:t>序号</w:t>
            </w:r>
          </w:p>
        </w:tc>
        <w:tc>
          <w:tcPr>
            <w:tcW w:w="543" w:type="pct"/>
            <w:vAlign w:val="center"/>
          </w:tcPr>
          <w:p w14:paraId="25553D49">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000000"/>
                <w:kern w:val="0"/>
                <w:sz w:val="21"/>
                <w:szCs w:val="21"/>
              </w:rPr>
              <w:t>设备名称</w:t>
            </w:r>
          </w:p>
        </w:tc>
        <w:tc>
          <w:tcPr>
            <w:tcW w:w="381" w:type="pct"/>
            <w:vAlign w:val="center"/>
          </w:tcPr>
          <w:p w14:paraId="5D887312">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highlight w:val="none"/>
                <w:lang w:eastAsia="zh-CN"/>
              </w:rPr>
            </w:pPr>
            <w:r>
              <w:rPr>
                <w:rFonts w:hint="eastAsia" w:ascii="宋体" w:hAnsi="宋体" w:eastAsia="宋体" w:cs="宋体"/>
                <w:b/>
                <w:bCs/>
                <w:color w:val="000000"/>
                <w:kern w:val="0"/>
                <w:sz w:val="21"/>
                <w:szCs w:val="21"/>
              </w:rPr>
              <w:t>使用场所</w:t>
            </w:r>
          </w:p>
        </w:tc>
        <w:tc>
          <w:tcPr>
            <w:tcW w:w="497" w:type="pct"/>
            <w:vAlign w:val="center"/>
          </w:tcPr>
          <w:p w14:paraId="6E9DF214">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b/>
                <w:bCs/>
                <w:color w:val="000000"/>
                <w:kern w:val="0"/>
                <w:sz w:val="21"/>
                <w:szCs w:val="21"/>
              </w:rPr>
              <w:t>规格及型号</w:t>
            </w:r>
          </w:p>
        </w:tc>
        <w:tc>
          <w:tcPr>
            <w:tcW w:w="465" w:type="pct"/>
            <w:vAlign w:val="center"/>
          </w:tcPr>
          <w:p w14:paraId="53CE3830">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color w:val="000000"/>
                <w:kern w:val="0"/>
                <w:sz w:val="21"/>
                <w:szCs w:val="21"/>
                <w:lang w:val="en-US" w:eastAsia="zh-CN"/>
              </w:rPr>
            </w:pPr>
            <w:r>
              <w:rPr>
                <w:rFonts w:hint="eastAsia" w:ascii="宋体" w:hAnsi="宋体" w:eastAsia="宋体" w:cs="宋体"/>
                <w:b/>
                <w:bCs/>
                <w:color w:val="000000"/>
                <w:kern w:val="0"/>
                <w:sz w:val="21"/>
                <w:szCs w:val="21"/>
                <w:lang w:val="en-US" w:eastAsia="zh-CN"/>
              </w:rPr>
              <w:t>制造单位</w:t>
            </w:r>
          </w:p>
        </w:tc>
        <w:tc>
          <w:tcPr>
            <w:tcW w:w="511" w:type="pct"/>
            <w:vAlign w:val="center"/>
          </w:tcPr>
          <w:p w14:paraId="11F785A1">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color w:val="000000"/>
                <w:kern w:val="0"/>
                <w:sz w:val="21"/>
                <w:szCs w:val="21"/>
                <w:lang w:val="en-US" w:eastAsia="zh-CN"/>
              </w:rPr>
            </w:pPr>
            <w:r>
              <w:rPr>
                <w:rFonts w:hint="eastAsia" w:ascii="宋体" w:hAnsi="宋体" w:eastAsia="宋体" w:cs="宋体"/>
                <w:b/>
                <w:bCs/>
                <w:color w:val="000000"/>
                <w:kern w:val="0"/>
                <w:sz w:val="21"/>
                <w:szCs w:val="21"/>
                <w:lang w:val="en-US" w:eastAsia="zh-CN"/>
              </w:rPr>
              <w:t>出厂编号</w:t>
            </w:r>
          </w:p>
        </w:tc>
        <w:tc>
          <w:tcPr>
            <w:tcW w:w="719" w:type="pct"/>
            <w:vAlign w:val="center"/>
          </w:tcPr>
          <w:p w14:paraId="7E51D3BE">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b/>
                <w:bCs/>
                <w:color w:val="000000"/>
                <w:kern w:val="0"/>
                <w:sz w:val="21"/>
                <w:szCs w:val="21"/>
              </w:rPr>
              <w:t>登记证编号</w:t>
            </w:r>
          </w:p>
        </w:tc>
        <w:tc>
          <w:tcPr>
            <w:tcW w:w="846" w:type="pct"/>
            <w:vAlign w:val="center"/>
          </w:tcPr>
          <w:p w14:paraId="4D8495C0">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b/>
                <w:bCs/>
                <w:color w:val="000000"/>
                <w:kern w:val="0"/>
                <w:sz w:val="21"/>
                <w:szCs w:val="21"/>
              </w:rPr>
              <w:t>检测单位</w:t>
            </w:r>
          </w:p>
        </w:tc>
        <w:tc>
          <w:tcPr>
            <w:tcW w:w="409" w:type="pct"/>
            <w:vAlign w:val="center"/>
          </w:tcPr>
          <w:p w14:paraId="2315F831">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default" w:ascii="宋体" w:hAnsi="宋体" w:eastAsia="宋体" w:cs="宋体"/>
                <w:b/>
                <w:bCs/>
                <w:color w:val="000000"/>
                <w:kern w:val="0"/>
                <w:sz w:val="21"/>
                <w:szCs w:val="21"/>
                <w:lang w:val="en-US" w:eastAsia="zh-CN"/>
              </w:rPr>
            </w:pPr>
            <w:r>
              <w:rPr>
                <w:rFonts w:hint="eastAsia" w:ascii="宋体" w:hAnsi="宋体" w:eastAsia="宋体" w:cs="宋体"/>
                <w:b/>
                <w:bCs/>
                <w:color w:val="000000"/>
                <w:kern w:val="0"/>
                <w:sz w:val="21"/>
                <w:szCs w:val="21"/>
                <w:lang w:val="en-US" w:eastAsia="zh-CN"/>
              </w:rPr>
              <w:t>检验日期</w:t>
            </w:r>
          </w:p>
        </w:tc>
        <w:tc>
          <w:tcPr>
            <w:tcW w:w="409" w:type="pct"/>
            <w:vAlign w:val="center"/>
          </w:tcPr>
          <w:p w14:paraId="7CCEE236">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下次检测</w:t>
            </w:r>
          </w:p>
        </w:tc>
      </w:tr>
      <w:tr w14:paraId="487623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8" w:hRule="atLeast"/>
          <w:tblHeader/>
          <w:jc w:val="center"/>
        </w:trPr>
        <w:tc>
          <w:tcPr>
            <w:tcW w:w="214" w:type="pct"/>
            <w:vAlign w:val="center"/>
          </w:tcPr>
          <w:p w14:paraId="209773B1">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543" w:type="pct"/>
            <w:vAlign w:val="center"/>
          </w:tcPr>
          <w:p w14:paraId="170024AB">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000000"/>
                <w:kern w:val="0"/>
                <w:sz w:val="21"/>
                <w:szCs w:val="21"/>
                <w:lang w:val="en-US" w:eastAsia="zh-CN"/>
              </w:rPr>
              <w:t>1#</w:t>
            </w:r>
            <w:r>
              <w:rPr>
                <w:rFonts w:hint="eastAsia" w:ascii="宋体" w:hAnsi="宋体" w:eastAsia="宋体" w:cs="宋体"/>
                <w:color w:val="000000"/>
                <w:kern w:val="0"/>
                <w:sz w:val="21"/>
                <w:szCs w:val="21"/>
                <w:lang w:eastAsia="zh-CN"/>
              </w:rPr>
              <w:t>桥式</w:t>
            </w:r>
            <w:r>
              <w:rPr>
                <w:rFonts w:hint="eastAsia" w:ascii="宋体" w:hAnsi="宋体" w:eastAsia="宋体" w:cs="宋体"/>
                <w:color w:val="000000"/>
                <w:kern w:val="0"/>
                <w:sz w:val="21"/>
                <w:szCs w:val="21"/>
              </w:rPr>
              <w:t>起重机</w:t>
            </w:r>
          </w:p>
        </w:tc>
        <w:tc>
          <w:tcPr>
            <w:tcW w:w="381" w:type="pct"/>
            <w:vAlign w:val="center"/>
          </w:tcPr>
          <w:p w14:paraId="368FD72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联合车间</w:t>
            </w:r>
          </w:p>
        </w:tc>
        <w:tc>
          <w:tcPr>
            <w:tcW w:w="497" w:type="pct"/>
            <w:vAlign w:val="center"/>
          </w:tcPr>
          <w:p w14:paraId="3E5ACC5B">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LD10-22.5A4</w:t>
            </w:r>
          </w:p>
        </w:tc>
        <w:tc>
          <w:tcPr>
            <w:tcW w:w="465" w:type="pct"/>
            <w:vAlign w:val="center"/>
          </w:tcPr>
          <w:p w14:paraId="0470861A">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河南卫华</w:t>
            </w:r>
          </w:p>
        </w:tc>
        <w:tc>
          <w:tcPr>
            <w:tcW w:w="511" w:type="pct"/>
            <w:vAlign w:val="center"/>
          </w:tcPr>
          <w:p w14:paraId="635D6056">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2101111014</w:t>
            </w:r>
          </w:p>
        </w:tc>
        <w:tc>
          <w:tcPr>
            <w:tcW w:w="719" w:type="pct"/>
            <w:vAlign w:val="center"/>
          </w:tcPr>
          <w:p w14:paraId="5B28DB74">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highlight w:val="none"/>
                <w:lang w:val="en-US"/>
              </w:rPr>
            </w:pPr>
            <w:r>
              <w:rPr>
                <w:rFonts w:hint="eastAsia" w:ascii="宋体" w:hAnsi="宋体" w:eastAsia="宋体" w:cs="宋体"/>
                <w:color w:val="000000"/>
                <w:kern w:val="0"/>
                <w:sz w:val="21"/>
                <w:szCs w:val="21"/>
                <w:lang w:val="en-US" w:eastAsia="zh-CN"/>
              </w:rPr>
              <w:t>起17滇E00361（22）</w:t>
            </w:r>
          </w:p>
        </w:tc>
        <w:tc>
          <w:tcPr>
            <w:tcW w:w="846" w:type="pct"/>
            <w:vAlign w:val="center"/>
          </w:tcPr>
          <w:p w14:paraId="71F6465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vAlign w:val="center"/>
          </w:tcPr>
          <w:p w14:paraId="4CAA1DCD">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2024/5/7</w:t>
            </w:r>
          </w:p>
        </w:tc>
        <w:tc>
          <w:tcPr>
            <w:tcW w:w="409" w:type="pct"/>
            <w:vAlign w:val="center"/>
          </w:tcPr>
          <w:p w14:paraId="49581C1D">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rPr>
            </w:pPr>
            <w:r>
              <w:rPr>
                <w:rFonts w:hint="eastAsia" w:ascii="宋体" w:hAnsi="宋体" w:eastAsia="宋体" w:cs="宋体"/>
                <w:color w:val="000000"/>
                <w:kern w:val="0"/>
                <w:sz w:val="21"/>
                <w:szCs w:val="21"/>
                <w:lang w:val="en-US" w:eastAsia="zh-CN"/>
              </w:rPr>
              <w:t>2026/5/6</w:t>
            </w:r>
          </w:p>
        </w:tc>
      </w:tr>
      <w:tr w14:paraId="285F28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8" w:hRule="atLeast"/>
          <w:tblHeader/>
          <w:jc w:val="center"/>
        </w:trPr>
        <w:tc>
          <w:tcPr>
            <w:tcW w:w="214" w:type="pct"/>
            <w:vAlign w:val="center"/>
          </w:tcPr>
          <w:p w14:paraId="11CBC35B">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default" w:ascii="宋体" w:hAnsi="宋体" w:eastAsia="宋体" w:cs="宋体"/>
                <w:color w:val="auto"/>
                <w:sz w:val="21"/>
                <w:szCs w:val="21"/>
                <w:highlight w:val="none"/>
                <w:lang w:val="en-US" w:eastAsia="zh-CN"/>
              </w:rPr>
            </w:pPr>
          </w:p>
        </w:tc>
        <w:tc>
          <w:tcPr>
            <w:tcW w:w="543" w:type="pct"/>
            <w:vAlign w:val="center"/>
          </w:tcPr>
          <w:p w14:paraId="5C960E9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w:t>
            </w:r>
            <w:r>
              <w:rPr>
                <w:rFonts w:hint="eastAsia" w:ascii="宋体" w:hAnsi="宋体" w:eastAsia="宋体" w:cs="宋体"/>
                <w:color w:val="000000"/>
                <w:kern w:val="0"/>
                <w:sz w:val="21"/>
                <w:szCs w:val="21"/>
                <w:lang w:eastAsia="zh-CN"/>
              </w:rPr>
              <w:t>桥式</w:t>
            </w:r>
            <w:r>
              <w:rPr>
                <w:rFonts w:hint="eastAsia" w:ascii="宋体" w:hAnsi="宋体" w:eastAsia="宋体" w:cs="宋体"/>
                <w:color w:val="000000"/>
                <w:kern w:val="0"/>
                <w:sz w:val="21"/>
                <w:szCs w:val="21"/>
              </w:rPr>
              <w:t>起重机</w:t>
            </w:r>
          </w:p>
        </w:tc>
        <w:tc>
          <w:tcPr>
            <w:tcW w:w="381" w:type="pct"/>
            <w:vAlign w:val="center"/>
          </w:tcPr>
          <w:p w14:paraId="30B3D78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联合车间</w:t>
            </w:r>
          </w:p>
        </w:tc>
        <w:tc>
          <w:tcPr>
            <w:tcW w:w="497" w:type="pct"/>
            <w:vAlign w:val="center"/>
          </w:tcPr>
          <w:p w14:paraId="6F2809CD">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LD10-22.5A4</w:t>
            </w:r>
          </w:p>
        </w:tc>
        <w:tc>
          <w:tcPr>
            <w:tcW w:w="465" w:type="pct"/>
            <w:vAlign w:val="center"/>
          </w:tcPr>
          <w:p w14:paraId="2E74B999">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河南卫华</w:t>
            </w:r>
          </w:p>
        </w:tc>
        <w:tc>
          <w:tcPr>
            <w:tcW w:w="511" w:type="pct"/>
            <w:vAlign w:val="center"/>
          </w:tcPr>
          <w:p w14:paraId="6333C30A">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2101111015</w:t>
            </w:r>
          </w:p>
        </w:tc>
        <w:tc>
          <w:tcPr>
            <w:tcW w:w="719" w:type="pct"/>
            <w:vAlign w:val="center"/>
          </w:tcPr>
          <w:p w14:paraId="667E81C0">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起17滇E00360（22）</w:t>
            </w:r>
          </w:p>
        </w:tc>
        <w:tc>
          <w:tcPr>
            <w:tcW w:w="846" w:type="pct"/>
            <w:vAlign w:val="center"/>
          </w:tcPr>
          <w:p w14:paraId="11EB6DA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vAlign w:val="center"/>
          </w:tcPr>
          <w:p w14:paraId="11691F3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2024/5/7</w:t>
            </w:r>
          </w:p>
        </w:tc>
        <w:tc>
          <w:tcPr>
            <w:tcW w:w="409" w:type="pct"/>
            <w:vAlign w:val="center"/>
          </w:tcPr>
          <w:p w14:paraId="2F885CF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2026/5/6</w:t>
            </w:r>
          </w:p>
        </w:tc>
      </w:tr>
      <w:tr w14:paraId="45BBD3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8" w:hRule="atLeast"/>
          <w:tblHeader/>
          <w:jc w:val="center"/>
        </w:trPr>
        <w:tc>
          <w:tcPr>
            <w:tcW w:w="214" w:type="pct"/>
            <w:vAlign w:val="center"/>
          </w:tcPr>
          <w:p w14:paraId="09AC110C">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default" w:ascii="宋体" w:hAnsi="宋体" w:eastAsia="宋体" w:cs="宋体"/>
                <w:color w:val="auto"/>
                <w:sz w:val="21"/>
                <w:szCs w:val="21"/>
                <w:highlight w:val="none"/>
                <w:lang w:val="en-US" w:eastAsia="zh-CN"/>
              </w:rPr>
            </w:pPr>
          </w:p>
        </w:tc>
        <w:tc>
          <w:tcPr>
            <w:tcW w:w="543" w:type="pct"/>
            <w:vAlign w:val="center"/>
          </w:tcPr>
          <w:p w14:paraId="259A1A7E">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w:t>
            </w:r>
            <w:r>
              <w:rPr>
                <w:rFonts w:hint="eastAsia" w:ascii="宋体" w:hAnsi="宋体" w:eastAsia="宋体" w:cs="宋体"/>
                <w:color w:val="000000"/>
                <w:kern w:val="0"/>
                <w:sz w:val="21"/>
                <w:szCs w:val="21"/>
                <w:lang w:eastAsia="zh-CN"/>
              </w:rPr>
              <w:t>桥式</w:t>
            </w:r>
            <w:r>
              <w:rPr>
                <w:rFonts w:hint="eastAsia" w:ascii="宋体" w:hAnsi="宋体" w:eastAsia="宋体" w:cs="宋体"/>
                <w:color w:val="000000"/>
                <w:kern w:val="0"/>
                <w:sz w:val="21"/>
                <w:szCs w:val="21"/>
              </w:rPr>
              <w:t>起重机</w:t>
            </w:r>
          </w:p>
        </w:tc>
        <w:tc>
          <w:tcPr>
            <w:tcW w:w="381" w:type="pct"/>
            <w:vAlign w:val="center"/>
          </w:tcPr>
          <w:p w14:paraId="39C73A18">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联合车间</w:t>
            </w:r>
          </w:p>
        </w:tc>
        <w:tc>
          <w:tcPr>
            <w:tcW w:w="497" w:type="pct"/>
            <w:vAlign w:val="center"/>
          </w:tcPr>
          <w:p w14:paraId="60543846">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LD10-22.5A4</w:t>
            </w:r>
          </w:p>
        </w:tc>
        <w:tc>
          <w:tcPr>
            <w:tcW w:w="465" w:type="pct"/>
            <w:vAlign w:val="center"/>
          </w:tcPr>
          <w:p w14:paraId="099D999E">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河南卫华</w:t>
            </w:r>
          </w:p>
        </w:tc>
        <w:tc>
          <w:tcPr>
            <w:tcW w:w="511" w:type="pct"/>
            <w:vAlign w:val="center"/>
          </w:tcPr>
          <w:p w14:paraId="30B148E7">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210113792</w:t>
            </w:r>
          </w:p>
        </w:tc>
        <w:tc>
          <w:tcPr>
            <w:tcW w:w="719" w:type="pct"/>
            <w:vAlign w:val="center"/>
          </w:tcPr>
          <w:p w14:paraId="26AAC9D5">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起17滇E00363（22）</w:t>
            </w:r>
          </w:p>
        </w:tc>
        <w:tc>
          <w:tcPr>
            <w:tcW w:w="846" w:type="pct"/>
            <w:vAlign w:val="center"/>
          </w:tcPr>
          <w:p w14:paraId="5B7C619E">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vAlign w:val="center"/>
          </w:tcPr>
          <w:p w14:paraId="13D8DA7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2024/5/7</w:t>
            </w:r>
          </w:p>
        </w:tc>
        <w:tc>
          <w:tcPr>
            <w:tcW w:w="409" w:type="pct"/>
            <w:vAlign w:val="center"/>
          </w:tcPr>
          <w:p w14:paraId="3599DD88">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2026/5/6</w:t>
            </w:r>
          </w:p>
        </w:tc>
      </w:tr>
      <w:tr w14:paraId="459B63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8" w:hRule="atLeast"/>
          <w:tblHeader/>
          <w:jc w:val="center"/>
        </w:trPr>
        <w:tc>
          <w:tcPr>
            <w:tcW w:w="214" w:type="pct"/>
            <w:vAlign w:val="center"/>
          </w:tcPr>
          <w:p w14:paraId="49E930E8">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default" w:ascii="宋体" w:hAnsi="宋体" w:eastAsia="宋体" w:cs="宋体"/>
                <w:color w:val="auto"/>
                <w:sz w:val="21"/>
                <w:szCs w:val="21"/>
                <w:highlight w:val="none"/>
                <w:lang w:val="en-US" w:eastAsia="zh-CN"/>
              </w:rPr>
            </w:pPr>
          </w:p>
        </w:tc>
        <w:tc>
          <w:tcPr>
            <w:tcW w:w="543" w:type="pct"/>
            <w:vAlign w:val="center"/>
          </w:tcPr>
          <w:p w14:paraId="552C7972">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4#</w:t>
            </w:r>
            <w:r>
              <w:rPr>
                <w:rFonts w:hint="eastAsia" w:ascii="宋体" w:hAnsi="宋体" w:eastAsia="宋体" w:cs="宋体"/>
                <w:color w:val="000000"/>
                <w:kern w:val="0"/>
                <w:sz w:val="21"/>
                <w:szCs w:val="21"/>
                <w:lang w:eastAsia="zh-CN"/>
              </w:rPr>
              <w:t>桥式</w:t>
            </w:r>
            <w:r>
              <w:rPr>
                <w:rFonts w:hint="eastAsia" w:ascii="宋体" w:hAnsi="宋体" w:eastAsia="宋体" w:cs="宋体"/>
                <w:color w:val="000000"/>
                <w:kern w:val="0"/>
                <w:sz w:val="21"/>
                <w:szCs w:val="21"/>
              </w:rPr>
              <w:t>起重机</w:t>
            </w:r>
          </w:p>
        </w:tc>
        <w:tc>
          <w:tcPr>
            <w:tcW w:w="381" w:type="pct"/>
            <w:vAlign w:val="center"/>
          </w:tcPr>
          <w:p w14:paraId="41FD8BC6">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联合车间</w:t>
            </w:r>
          </w:p>
        </w:tc>
        <w:tc>
          <w:tcPr>
            <w:tcW w:w="497" w:type="pct"/>
            <w:vAlign w:val="center"/>
          </w:tcPr>
          <w:p w14:paraId="6F107D91">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LD10-22.5A4</w:t>
            </w:r>
          </w:p>
        </w:tc>
        <w:tc>
          <w:tcPr>
            <w:tcW w:w="465" w:type="pct"/>
            <w:vAlign w:val="center"/>
          </w:tcPr>
          <w:p w14:paraId="57D36605">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河南卫华</w:t>
            </w:r>
          </w:p>
        </w:tc>
        <w:tc>
          <w:tcPr>
            <w:tcW w:w="511" w:type="pct"/>
            <w:vAlign w:val="center"/>
          </w:tcPr>
          <w:p w14:paraId="1A493917">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210114614</w:t>
            </w:r>
          </w:p>
        </w:tc>
        <w:tc>
          <w:tcPr>
            <w:tcW w:w="719" w:type="pct"/>
            <w:vAlign w:val="center"/>
          </w:tcPr>
          <w:p w14:paraId="04EBE00C">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起17滇E00362（22）</w:t>
            </w:r>
          </w:p>
        </w:tc>
        <w:tc>
          <w:tcPr>
            <w:tcW w:w="846" w:type="pct"/>
            <w:vAlign w:val="center"/>
          </w:tcPr>
          <w:p w14:paraId="4F39C34D">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vAlign w:val="center"/>
          </w:tcPr>
          <w:p w14:paraId="51EBBD83">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2024/5/7</w:t>
            </w:r>
          </w:p>
        </w:tc>
        <w:tc>
          <w:tcPr>
            <w:tcW w:w="409" w:type="pct"/>
            <w:vAlign w:val="center"/>
          </w:tcPr>
          <w:p w14:paraId="0512B22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2026/5/6</w:t>
            </w:r>
          </w:p>
        </w:tc>
      </w:tr>
      <w:tr w14:paraId="00D5E5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8" w:hRule="atLeast"/>
          <w:tblHeader/>
          <w:jc w:val="center"/>
        </w:trPr>
        <w:tc>
          <w:tcPr>
            <w:tcW w:w="214" w:type="pct"/>
            <w:vAlign w:val="center"/>
          </w:tcPr>
          <w:p w14:paraId="774F7607">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default" w:ascii="宋体" w:hAnsi="宋体" w:eastAsia="宋体" w:cs="宋体"/>
                <w:color w:val="auto"/>
                <w:sz w:val="21"/>
                <w:szCs w:val="21"/>
                <w:highlight w:val="none"/>
                <w:lang w:val="en-US" w:eastAsia="zh-CN"/>
              </w:rPr>
            </w:pPr>
          </w:p>
        </w:tc>
        <w:tc>
          <w:tcPr>
            <w:tcW w:w="543" w:type="pct"/>
            <w:vAlign w:val="center"/>
          </w:tcPr>
          <w:p w14:paraId="40EAF2A2">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w:t>
            </w:r>
            <w:r>
              <w:rPr>
                <w:rFonts w:hint="eastAsia" w:ascii="宋体" w:hAnsi="宋体" w:eastAsia="宋体" w:cs="宋体"/>
                <w:color w:val="000000"/>
                <w:kern w:val="0"/>
                <w:sz w:val="21"/>
                <w:szCs w:val="21"/>
                <w:lang w:eastAsia="zh-CN"/>
              </w:rPr>
              <w:t>桥式</w:t>
            </w:r>
            <w:r>
              <w:rPr>
                <w:rFonts w:hint="eastAsia" w:ascii="宋体" w:hAnsi="宋体" w:eastAsia="宋体" w:cs="宋体"/>
                <w:color w:val="000000"/>
                <w:kern w:val="0"/>
                <w:sz w:val="21"/>
                <w:szCs w:val="21"/>
              </w:rPr>
              <w:t>起重机</w:t>
            </w:r>
          </w:p>
        </w:tc>
        <w:tc>
          <w:tcPr>
            <w:tcW w:w="381" w:type="pct"/>
            <w:vAlign w:val="center"/>
          </w:tcPr>
          <w:p w14:paraId="6742BD0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成品仓库</w:t>
            </w:r>
          </w:p>
        </w:tc>
        <w:tc>
          <w:tcPr>
            <w:tcW w:w="497" w:type="pct"/>
            <w:vAlign w:val="center"/>
          </w:tcPr>
          <w:p w14:paraId="610F5CB2">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LD5-16.5A4</w:t>
            </w:r>
          </w:p>
        </w:tc>
        <w:tc>
          <w:tcPr>
            <w:tcW w:w="465" w:type="pct"/>
            <w:vAlign w:val="center"/>
          </w:tcPr>
          <w:p w14:paraId="233E5ED4">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河南矿山</w:t>
            </w:r>
          </w:p>
        </w:tc>
        <w:tc>
          <w:tcPr>
            <w:tcW w:w="511" w:type="pct"/>
            <w:vAlign w:val="center"/>
          </w:tcPr>
          <w:p w14:paraId="3033B0C0">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2211105068</w:t>
            </w:r>
          </w:p>
        </w:tc>
        <w:tc>
          <w:tcPr>
            <w:tcW w:w="719" w:type="pct"/>
            <w:vAlign w:val="center"/>
          </w:tcPr>
          <w:p w14:paraId="4700AFA0">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起17滇E00024（24）</w:t>
            </w:r>
          </w:p>
        </w:tc>
        <w:tc>
          <w:tcPr>
            <w:tcW w:w="846" w:type="pct"/>
            <w:vAlign w:val="center"/>
          </w:tcPr>
          <w:p w14:paraId="3D68FB68">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vAlign w:val="center"/>
          </w:tcPr>
          <w:p w14:paraId="7755FD6B">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2023/9/6</w:t>
            </w:r>
          </w:p>
        </w:tc>
        <w:tc>
          <w:tcPr>
            <w:tcW w:w="409" w:type="pct"/>
            <w:vAlign w:val="center"/>
          </w:tcPr>
          <w:p w14:paraId="50231D0D">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2025/9/25</w:t>
            </w:r>
          </w:p>
        </w:tc>
      </w:tr>
      <w:tr w14:paraId="61B630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8" w:hRule="atLeast"/>
          <w:tblHeader/>
          <w:jc w:val="center"/>
        </w:trPr>
        <w:tc>
          <w:tcPr>
            <w:tcW w:w="214" w:type="pct"/>
            <w:vAlign w:val="center"/>
          </w:tcPr>
          <w:p w14:paraId="0AD7C83E">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default" w:ascii="宋体" w:hAnsi="宋体" w:eastAsia="宋体" w:cs="宋体"/>
                <w:color w:val="auto"/>
                <w:sz w:val="21"/>
                <w:szCs w:val="21"/>
                <w:highlight w:val="none"/>
                <w:lang w:val="en-US" w:eastAsia="zh-CN"/>
              </w:rPr>
            </w:pPr>
          </w:p>
        </w:tc>
        <w:tc>
          <w:tcPr>
            <w:tcW w:w="543" w:type="pct"/>
            <w:vAlign w:val="center"/>
          </w:tcPr>
          <w:p w14:paraId="731467E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w:t>
            </w:r>
            <w:r>
              <w:rPr>
                <w:rFonts w:hint="eastAsia" w:ascii="宋体" w:hAnsi="宋体" w:eastAsia="宋体" w:cs="宋体"/>
                <w:color w:val="000000"/>
                <w:kern w:val="0"/>
                <w:sz w:val="21"/>
                <w:szCs w:val="21"/>
                <w:lang w:eastAsia="zh-CN"/>
              </w:rPr>
              <w:t>桥式</w:t>
            </w:r>
            <w:r>
              <w:rPr>
                <w:rFonts w:hint="eastAsia" w:ascii="宋体" w:hAnsi="宋体" w:eastAsia="宋体" w:cs="宋体"/>
                <w:color w:val="000000"/>
                <w:kern w:val="0"/>
                <w:sz w:val="21"/>
                <w:szCs w:val="21"/>
              </w:rPr>
              <w:t>起重机</w:t>
            </w:r>
          </w:p>
        </w:tc>
        <w:tc>
          <w:tcPr>
            <w:tcW w:w="381" w:type="pct"/>
            <w:vAlign w:val="center"/>
          </w:tcPr>
          <w:p w14:paraId="28E37C69">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成品仓库</w:t>
            </w:r>
          </w:p>
        </w:tc>
        <w:tc>
          <w:tcPr>
            <w:tcW w:w="497" w:type="pct"/>
            <w:vAlign w:val="center"/>
          </w:tcPr>
          <w:p w14:paraId="0DDCE36E">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LD5-16.5A4</w:t>
            </w:r>
          </w:p>
        </w:tc>
        <w:tc>
          <w:tcPr>
            <w:tcW w:w="465" w:type="pct"/>
            <w:vAlign w:val="center"/>
          </w:tcPr>
          <w:p w14:paraId="430511D5">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河南矿山</w:t>
            </w:r>
          </w:p>
        </w:tc>
        <w:tc>
          <w:tcPr>
            <w:tcW w:w="511" w:type="pct"/>
            <w:vAlign w:val="center"/>
          </w:tcPr>
          <w:p w14:paraId="3719112B">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2211105067</w:t>
            </w:r>
          </w:p>
        </w:tc>
        <w:tc>
          <w:tcPr>
            <w:tcW w:w="719" w:type="pct"/>
            <w:vAlign w:val="center"/>
          </w:tcPr>
          <w:p w14:paraId="272442C8">
            <w:pPr>
              <w:keepNext w:val="0"/>
              <w:keepLines w:val="0"/>
              <w:pageBreakBefore w:val="0"/>
              <w:widowControl/>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起17滇E00022（24）</w:t>
            </w:r>
          </w:p>
        </w:tc>
        <w:tc>
          <w:tcPr>
            <w:tcW w:w="846" w:type="pct"/>
            <w:vAlign w:val="center"/>
          </w:tcPr>
          <w:p w14:paraId="5644B46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vAlign w:val="center"/>
          </w:tcPr>
          <w:p w14:paraId="6093E23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2023/9/6</w:t>
            </w:r>
          </w:p>
        </w:tc>
        <w:tc>
          <w:tcPr>
            <w:tcW w:w="409" w:type="pct"/>
            <w:vAlign w:val="center"/>
          </w:tcPr>
          <w:p w14:paraId="7626F694">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2025/9/25</w:t>
            </w:r>
          </w:p>
        </w:tc>
      </w:tr>
      <w:tr w14:paraId="5001EC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214" w:type="pct"/>
            <w:vAlign w:val="center"/>
          </w:tcPr>
          <w:p w14:paraId="22140848">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543" w:type="pct"/>
            <w:vAlign w:val="center"/>
          </w:tcPr>
          <w:p w14:paraId="5C9F1CD3">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1#大储气罐</w:t>
            </w:r>
          </w:p>
        </w:tc>
        <w:tc>
          <w:tcPr>
            <w:tcW w:w="381" w:type="pct"/>
            <w:vAlign w:val="center"/>
          </w:tcPr>
          <w:p w14:paraId="425E15F1">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空压站</w:t>
            </w:r>
          </w:p>
        </w:tc>
        <w:tc>
          <w:tcPr>
            <w:tcW w:w="497" w:type="pct"/>
            <w:vAlign w:val="center"/>
          </w:tcPr>
          <w:p w14:paraId="4F27DA99">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50/0.8</w:t>
            </w:r>
          </w:p>
        </w:tc>
        <w:tc>
          <w:tcPr>
            <w:tcW w:w="465" w:type="pct"/>
            <w:vAlign w:val="center"/>
          </w:tcPr>
          <w:p w14:paraId="0E80E8B3">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烟台兴隆</w:t>
            </w:r>
          </w:p>
        </w:tc>
        <w:tc>
          <w:tcPr>
            <w:tcW w:w="511" w:type="pct"/>
            <w:vAlign w:val="center"/>
          </w:tcPr>
          <w:p w14:paraId="5A4646F7">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R2021-10285</w:t>
            </w:r>
          </w:p>
        </w:tc>
        <w:tc>
          <w:tcPr>
            <w:tcW w:w="719" w:type="pct"/>
            <w:vAlign w:val="center"/>
          </w:tcPr>
          <w:p w14:paraId="6B779901">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容17滇E00800（22）</w:t>
            </w:r>
          </w:p>
        </w:tc>
        <w:tc>
          <w:tcPr>
            <w:tcW w:w="846" w:type="pct"/>
            <w:vAlign w:val="center"/>
          </w:tcPr>
          <w:p w14:paraId="682EB2A4">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vAlign w:val="center"/>
          </w:tcPr>
          <w:p w14:paraId="3548A8A6">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2024/5/16</w:t>
            </w:r>
          </w:p>
        </w:tc>
        <w:tc>
          <w:tcPr>
            <w:tcW w:w="409" w:type="pct"/>
            <w:vAlign w:val="center"/>
          </w:tcPr>
          <w:p w14:paraId="67B3B434">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2025/5/15</w:t>
            </w:r>
          </w:p>
        </w:tc>
      </w:tr>
      <w:tr w14:paraId="7BE040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214" w:type="pct"/>
            <w:vAlign w:val="center"/>
          </w:tcPr>
          <w:p w14:paraId="4F75B03D">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default" w:ascii="宋体" w:hAnsi="宋体" w:eastAsia="宋体" w:cs="宋体"/>
                <w:color w:val="auto"/>
                <w:sz w:val="21"/>
                <w:szCs w:val="21"/>
                <w:highlight w:val="none"/>
                <w:lang w:val="en-US" w:eastAsia="zh-CN"/>
              </w:rPr>
            </w:pPr>
          </w:p>
        </w:tc>
        <w:tc>
          <w:tcPr>
            <w:tcW w:w="543" w:type="pct"/>
            <w:vAlign w:val="center"/>
          </w:tcPr>
          <w:p w14:paraId="48A31303">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2#大储气罐</w:t>
            </w:r>
          </w:p>
        </w:tc>
        <w:tc>
          <w:tcPr>
            <w:tcW w:w="381" w:type="pct"/>
            <w:vAlign w:val="center"/>
          </w:tcPr>
          <w:p w14:paraId="56FB06A4">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空压站</w:t>
            </w:r>
          </w:p>
        </w:tc>
        <w:tc>
          <w:tcPr>
            <w:tcW w:w="497" w:type="pct"/>
            <w:vAlign w:val="center"/>
          </w:tcPr>
          <w:p w14:paraId="202B7F95">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50/0.8</w:t>
            </w:r>
          </w:p>
        </w:tc>
        <w:tc>
          <w:tcPr>
            <w:tcW w:w="465" w:type="pct"/>
            <w:vAlign w:val="center"/>
          </w:tcPr>
          <w:p w14:paraId="2AF5D5E9">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烟台兴隆</w:t>
            </w:r>
          </w:p>
        </w:tc>
        <w:tc>
          <w:tcPr>
            <w:tcW w:w="511" w:type="pct"/>
            <w:vAlign w:val="center"/>
          </w:tcPr>
          <w:p w14:paraId="407CA354">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R2022-09524</w:t>
            </w:r>
          </w:p>
        </w:tc>
        <w:tc>
          <w:tcPr>
            <w:tcW w:w="719" w:type="pct"/>
            <w:vAlign w:val="center"/>
          </w:tcPr>
          <w:p w14:paraId="1663DA9B">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容17滇E01054（22）</w:t>
            </w:r>
          </w:p>
        </w:tc>
        <w:tc>
          <w:tcPr>
            <w:tcW w:w="846" w:type="pct"/>
            <w:vAlign w:val="center"/>
          </w:tcPr>
          <w:p w14:paraId="1CD4758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shd w:val="clear" w:color="auto" w:fill="auto"/>
            <w:vAlign w:val="center"/>
          </w:tcPr>
          <w:p w14:paraId="4FB2948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2024/5/16</w:t>
            </w:r>
          </w:p>
        </w:tc>
        <w:tc>
          <w:tcPr>
            <w:tcW w:w="409" w:type="pct"/>
            <w:shd w:val="clear" w:color="auto" w:fill="auto"/>
            <w:vAlign w:val="center"/>
          </w:tcPr>
          <w:p w14:paraId="5E893299">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2025/5/15</w:t>
            </w:r>
          </w:p>
        </w:tc>
      </w:tr>
      <w:tr w14:paraId="36E4C6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3" w:hRule="atLeast"/>
          <w:tblHeader/>
          <w:jc w:val="center"/>
        </w:trPr>
        <w:tc>
          <w:tcPr>
            <w:tcW w:w="214" w:type="pct"/>
            <w:vAlign w:val="center"/>
          </w:tcPr>
          <w:p w14:paraId="01056AC7">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543" w:type="pct"/>
            <w:vAlign w:val="center"/>
          </w:tcPr>
          <w:p w14:paraId="4915BCA4">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气流磨储气罐</w:t>
            </w:r>
          </w:p>
        </w:tc>
        <w:tc>
          <w:tcPr>
            <w:tcW w:w="381" w:type="pct"/>
            <w:vAlign w:val="center"/>
          </w:tcPr>
          <w:p w14:paraId="573EC445">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气流磨</w:t>
            </w:r>
          </w:p>
        </w:tc>
        <w:tc>
          <w:tcPr>
            <w:tcW w:w="497" w:type="pct"/>
            <w:vAlign w:val="center"/>
          </w:tcPr>
          <w:p w14:paraId="438CB81E">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15/0.8</w:t>
            </w:r>
          </w:p>
        </w:tc>
        <w:tc>
          <w:tcPr>
            <w:tcW w:w="465" w:type="pct"/>
            <w:vAlign w:val="center"/>
          </w:tcPr>
          <w:p w14:paraId="50F3268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烟台兴隆</w:t>
            </w:r>
          </w:p>
        </w:tc>
        <w:tc>
          <w:tcPr>
            <w:tcW w:w="511" w:type="pct"/>
            <w:vAlign w:val="center"/>
          </w:tcPr>
          <w:p w14:paraId="6EB92396">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R2021-09939</w:t>
            </w:r>
          </w:p>
        </w:tc>
        <w:tc>
          <w:tcPr>
            <w:tcW w:w="719" w:type="pct"/>
            <w:vAlign w:val="center"/>
          </w:tcPr>
          <w:p w14:paraId="6A2BC6F5">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容17滇E00801（22）</w:t>
            </w:r>
          </w:p>
        </w:tc>
        <w:tc>
          <w:tcPr>
            <w:tcW w:w="846" w:type="pct"/>
            <w:vAlign w:val="center"/>
          </w:tcPr>
          <w:p w14:paraId="64111121">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vAlign w:val="center"/>
          </w:tcPr>
          <w:p w14:paraId="5751A5B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2024/5/16</w:t>
            </w:r>
          </w:p>
        </w:tc>
        <w:tc>
          <w:tcPr>
            <w:tcW w:w="409" w:type="pct"/>
            <w:vAlign w:val="center"/>
          </w:tcPr>
          <w:p w14:paraId="5A606644">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2025/5/15</w:t>
            </w:r>
          </w:p>
        </w:tc>
      </w:tr>
      <w:tr w14:paraId="6266D2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8" w:hRule="atLeast"/>
          <w:tblHeader/>
          <w:jc w:val="center"/>
        </w:trPr>
        <w:tc>
          <w:tcPr>
            <w:tcW w:w="214" w:type="pct"/>
            <w:vAlign w:val="center"/>
          </w:tcPr>
          <w:p w14:paraId="5C2BFD58">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543" w:type="pct"/>
            <w:vAlign w:val="center"/>
          </w:tcPr>
          <w:p w14:paraId="25D3A2C8">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环球磨储气罐</w:t>
            </w:r>
          </w:p>
        </w:tc>
        <w:tc>
          <w:tcPr>
            <w:tcW w:w="381" w:type="pct"/>
            <w:vAlign w:val="center"/>
          </w:tcPr>
          <w:p w14:paraId="7077D548">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环球磨</w:t>
            </w:r>
          </w:p>
        </w:tc>
        <w:tc>
          <w:tcPr>
            <w:tcW w:w="497" w:type="pct"/>
            <w:vAlign w:val="center"/>
          </w:tcPr>
          <w:p w14:paraId="3BA687B6">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20/0.8</w:t>
            </w:r>
          </w:p>
        </w:tc>
        <w:tc>
          <w:tcPr>
            <w:tcW w:w="465" w:type="pct"/>
            <w:vAlign w:val="center"/>
          </w:tcPr>
          <w:p w14:paraId="7E302C3B">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四川艾帕博</w:t>
            </w:r>
          </w:p>
        </w:tc>
        <w:tc>
          <w:tcPr>
            <w:tcW w:w="511" w:type="pct"/>
            <w:vAlign w:val="center"/>
          </w:tcPr>
          <w:p w14:paraId="1D8404E5">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AP22-0783</w:t>
            </w:r>
          </w:p>
        </w:tc>
        <w:tc>
          <w:tcPr>
            <w:tcW w:w="719" w:type="pct"/>
            <w:vAlign w:val="center"/>
          </w:tcPr>
          <w:p w14:paraId="419AF10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容17滇E01053（22）</w:t>
            </w:r>
          </w:p>
        </w:tc>
        <w:tc>
          <w:tcPr>
            <w:tcW w:w="846" w:type="pct"/>
            <w:vAlign w:val="center"/>
          </w:tcPr>
          <w:p w14:paraId="585B6FE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shd w:val="clear" w:color="auto" w:fill="auto"/>
            <w:vAlign w:val="center"/>
          </w:tcPr>
          <w:p w14:paraId="24BFDB7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2024/5/16</w:t>
            </w:r>
          </w:p>
        </w:tc>
        <w:tc>
          <w:tcPr>
            <w:tcW w:w="409" w:type="pct"/>
            <w:shd w:val="clear" w:color="auto" w:fill="auto"/>
            <w:vAlign w:val="center"/>
          </w:tcPr>
          <w:p w14:paraId="202ECBB7">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2025/5/15</w:t>
            </w:r>
          </w:p>
        </w:tc>
      </w:tr>
      <w:tr w14:paraId="4F73BD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8" w:hRule="atLeast"/>
          <w:tblHeader/>
          <w:jc w:val="center"/>
        </w:trPr>
        <w:tc>
          <w:tcPr>
            <w:tcW w:w="214" w:type="pct"/>
            <w:vAlign w:val="center"/>
          </w:tcPr>
          <w:p w14:paraId="563A5FA1">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543" w:type="pct"/>
            <w:vAlign w:val="center"/>
          </w:tcPr>
          <w:p w14:paraId="15AA1AB9">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过滤器</w:t>
            </w:r>
          </w:p>
        </w:tc>
        <w:tc>
          <w:tcPr>
            <w:tcW w:w="381" w:type="pct"/>
            <w:vAlign w:val="center"/>
          </w:tcPr>
          <w:p w14:paraId="2F2BD45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联合车间</w:t>
            </w:r>
          </w:p>
        </w:tc>
        <w:tc>
          <w:tcPr>
            <w:tcW w:w="497" w:type="pct"/>
            <w:vAlign w:val="center"/>
          </w:tcPr>
          <w:p w14:paraId="5426BF0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p>
        </w:tc>
        <w:tc>
          <w:tcPr>
            <w:tcW w:w="465" w:type="pct"/>
            <w:vAlign w:val="center"/>
          </w:tcPr>
          <w:p w14:paraId="096F9752">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浙江固特</w:t>
            </w:r>
          </w:p>
        </w:tc>
        <w:tc>
          <w:tcPr>
            <w:tcW w:w="511" w:type="pct"/>
            <w:vAlign w:val="center"/>
          </w:tcPr>
          <w:p w14:paraId="14DEB8B9">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S210709028</w:t>
            </w:r>
          </w:p>
        </w:tc>
        <w:tc>
          <w:tcPr>
            <w:tcW w:w="719" w:type="pct"/>
            <w:vAlign w:val="center"/>
          </w:tcPr>
          <w:p w14:paraId="479D819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容17滇E00802（22）</w:t>
            </w:r>
          </w:p>
        </w:tc>
        <w:tc>
          <w:tcPr>
            <w:tcW w:w="846" w:type="pct"/>
            <w:vAlign w:val="center"/>
          </w:tcPr>
          <w:p w14:paraId="6205D93D">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shd w:val="clear" w:color="auto" w:fill="auto"/>
            <w:vAlign w:val="center"/>
          </w:tcPr>
          <w:p w14:paraId="27397E44">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2024/5/16</w:t>
            </w:r>
          </w:p>
        </w:tc>
        <w:tc>
          <w:tcPr>
            <w:tcW w:w="409" w:type="pct"/>
            <w:shd w:val="clear" w:color="auto" w:fill="auto"/>
            <w:vAlign w:val="center"/>
          </w:tcPr>
          <w:p w14:paraId="7EFD3EDE">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2025/5/15</w:t>
            </w:r>
          </w:p>
        </w:tc>
      </w:tr>
      <w:tr w14:paraId="16C3C9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8" w:hRule="atLeast"/>
          <w:tblHeader/>
          <w:jc w:val="center"/>
        </w:trPr>
        <w:tc>
          <w:tcPr>
            <w:tcW w:w="214" w:type="pct"/>
            <w:vAlign w:val="center"/>
          </w:tcPr>
          <w:p w14:paraId="456B2340">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543" w:type="pct"/>
            <w:vAlign w:val="center"/>
          </w:tcPr>
          <w:p w14:paraId="44B358EA">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过滤器</w:t>
            </w:r>
          </w:p>
        </w:tc>
        <w:tc>
          <w:tcPr>
            <w:tcW w:w="381" w:type="pct"/>
            <w:vAlign w:val="center"/>
          </w:tcPr>
          <w:p w14:paraId="608B4BCD">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联合车间</w:t>
            </w:r>
          </w:p>
        </w:tc>
        <w:tc>
          <w:tcPr>
            <w:tcW w:w="497" w:type="pct"/>
            <w:vAlign w:val="center"/>
          </w:tcPr>
          <w:p w14:paraId="6348DE87">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p>
        </w:tc>
        <w:tc>
          <w:tcPr>
            <w:tcW w:w="465" w:type="pct"/>
            <w:vAlign w:val="center"/>
          </w:tcPr>
          <w:p w14:paraId="5A6379FA">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浙江固特</w:t>
            </w:r>
          </w:p>
        </w:tc>
        <w:tc>
          <w:tcPr>
            <w:tcW w:w="511" w:type="pct"/>
            <w:vAlign w:val="center"/>
          </w:tcPr>
          <w:p w14:paraId="3F4C646D">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S210709029</w:t>
            </w:r>
          </w:p>
        </w:tc>
        <w:tc>
          <w:tcPr>
            <w:tcW w:w="719" w:type="pct"/>
            <w:vAlign w:val="center"/>
          </w:tcPr>
          <w:p w14:paraId="0D8395D1">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容17滇E00803（22）</w:t>
            </w:r>
          </w:p>
        </w:tc>
        <w:tc>
          <w:tcPr>
            <w:tcW w:w="846" w:type="pct"/>
            <w:vAlign w:val="center"/>
          </w:tcPr>
          <w:p w14:paraId="61B3917D">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shd w:val="clear" w:color="auto" w:fill="auto"/>
            <w:vAlign w:val="center"/>
          </w:tcPr>
          <w:p w14:paraId="3D6306F5">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2024/5/16</w:t>
            </w:r>
          </w:p>
        </w:tc>
        <w:tc>
          <w:tcPr>
            <w:tcW w:w="409" w:type="pct"/>
            <w:shd w:val="clear" w:color="auto" w:fill="auto"/>
            <w:vAlign w:val="center"/>
          </w:tcPr>
          <w:p w14:paraId="2D06D19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2025/5/15</w:t>
            </w:r>
          </w:p>
        </w:tc>
      </w:tr>
      <w:tr w14:paraId="45C38F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8" w:hRule="atLeast"/>
          <w:tblHeader/>
          <w:jc w:val="center"/>
        </w:trPr>
        <w:tc>
          <w:tcPr>
            <w:tcW w:w="214" w:type="pct"/>
            <w:vAlign w:val="center"/>
          </w:tcPr>
          <w:p w14:paraId="619EE251">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543" w:type="pct"/>
            <w:vAlign w:val="center"/>
          </w:tcPr>
          <w:p w14:paraId="0FD19B5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油气分离器</w:t>
            </w:r>
          </w:p>
        </w:tc>
        <w:tc>
          <w:tcPr>
            <w:tcW w:w="381" w:type="pct"/>
            <w:vAlign w:val="center"/>
          </w:tcPr>
          <w:p w14:paraId="72240842">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联合车间</w:t>
            </w:r>
          </w:p>
        </w:tc>
        <w:tc>
          <w:tcPr>
            <w:tcW w:w="497" w:type="pct"/>
            <w:vAlign w:val="center"/>
          </w:tcPr>
          <w:p w14:paraId="2141DD8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480L</w:t>
            </w:r>
          </w:p>
        </w:tc>
        <w:tc>
          <w:tcPr>
            <w:tcW w:w="465" w:type="pct"/>
            <w:vAlign w:val="center"/>
          </w:tcPr>
          <w:p w14:paraId="08A70AAE">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爱康设备</w:t>
            </w:r>
          </w:p>
        </w:tc>
        <w:tc>
          <w:tcPr>
            <w:tcW w:w="511" w:type="pct"/>
            <w:vAlign w:val="center"/>
          </w:tcPr>
          <w:p w14:paraId="279FADB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Y21-10452</w:t>
            </w:r>
          </w:p>
        </w:tc>
        <w:tc>
          <w:tcPr>
            <w:tcW w:w="719" w:type="pct"/>
            <w:vAlign w:val="center"/>
          </w:tcPr>
          <w:p w14:paraId="3508CBF9">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容17滇E00797（22）</w:t>
            </w:r>
          </w:p>
        </w:tc>
        <w:tc>
          <w:tcPr>
            <w:tcW w:w="846" w:type="pct"/>
            <w:vAlign w:val="center"/>
          </w:tcPr>
          <w:p w14:paraId="3DD13C0D">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shd w:val="clear" w:color="auto" w:fill="auto"/>
            <w:vAlign w:val="center"/>
          </w:tcPr>
          <w:p w14:paraId="169D4082">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2024/5/16</w:t>
            </w:r>
          </w:p>
        </w:tc>
        <w:tc>
          <w:tcPr>
            <w:tcW w:w="409" w:type="pct"/>
            <w:shd w:val="clear" w:color="auto" w:fill="auto"/>
            <w:vAlign w:val="center"/>
          </w:tcPr>
          <w:p w14:paraId="3D958896">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2025/5/15</w:t>
            </w:r>
          </w:p>
        </w:tc>
      </w:tr>
      <w:tr w14:paraId="315C8E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8" w:hRule="atLeast"/>
          <w:tblHeader/>
          <w:jc w:val="center"/>
        </w:trPr>
        <w:tc>
          <w:tcPr>
            <w:tcW w:w="214" w:type="pct"/>
            <w:vAlign w:val="center"/>
          </w:tcPr>
          <w:p w14:paraId="6568CBC4">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543" w:type="pct"/>
            <w:vAlign w:val="center"/>
          </w:tcPr>
          <w:p w14:paraId="25ED4B4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油气分离器</w:t>
            </w:r>
          </w:p>
        </w:tc>
        <w:tc>
          <w:tcPr>
            <w:tcW w:w="381" w:type="pct"/>
            <w:vAlign w:val="center"/>
          </w:tcPr>
          <w:p w14:paraId="5BCA184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联合车间</w:t>
            </w:r>
          </w:p>
        </w:tc>
        <w:tc>
          <w:tcPr>
            <w:tcW w:w="497" w:type="pct"/>
            <w:vAlign w:val="center"/>
          </w:tcPr>
          <w:p w14:paraId="2FB33A4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480L</w:t>
            </w:r>
          </w:p>
        </w:tc>
        <w:tc>
          <w:tcPr>
            <w:tcW w:w="465" w:type="pct"/>
            <w:vAlign w:val="center"/>
          </w:tcPr>
          <w:p w14:paraId="4C3F98E1">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爱康设备</w:t>
            </w:r>
          </w:p>
        </w:tc>
        <w:tc>
          <w:tcPr>
            <w:tcW w:w="511" w:type="pct"/>
            <w:vAlign w:val="center"/>
          </w:tcPr>
          <w:p w14:paraId="0C190253">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Y21-10453</w:t>
            </w:r>
          </w:p>
        </w:tc>
        <w:tc>
          <w:tcPr>
            <w:tcW w:w="719" w:type="pct"/>
            <w:vAlign w:val="center"/>
          </w:tcPr>
          <w:p w14:paraId="78B2ECC6">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容17滇E00798（22）</w:t>
            </w:r>
          </w:p>
        </w:tc>
        <w:tc>
          <w:tcPr>
            <w:tcW w:w="846" w:type="pct"/>
            <w:vAlign w:val="center"/>
          </w:tcPr>
          <w:p w14:paraId="708F6765">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shd w:val="clear" w:color="auto" w:fill="auto"/>
            <w:vAlign w:val="center"/>
          </w:tcPr>
          <w:p w14:paraId="670CEB3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2024/5/16</w:t>
            </w:r>
          </w:p>
        </w:tc>
        <w:tc>
          <w:tcPr>
            <w:tcW w:w="409" w:type="pct"/>
            <w:shd w:val="clear" w:color="auto" w:fill="auto"/>
            <w:vAlign w:val="center"/>
          </w:tcPr>
          <w:p w14:paraId="66E36232">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2025/5/15</w:t>
            </w:r>
          </w:p>
        </w:tc>
      </w:tr>
      <w:tr w14:paraId="7BACC2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8" w:hRule="atLeast"/>
          <w:tblHeader/>
          <w:jc w:val="center"/>
        </w:trPr>
        <w:tc>
          <w:tcPr>
            <w:tcW w:w="214" w:type="pct"/>
            <w:vAlign w:val="center"/>
          </w:tcPr>
          <w:p w14:paraId="468D0092">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543" w:type="pct"/>
            <w:vAlign w:val="center"/>
          </w:tcPr>
          <w:p w14:paraId="479B88C3">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油气分离器</w:t>
            </w:r>
          </w:p>
        </w:tc>
        <w:tc>
          <w:tcPr>
            <w:tcW w:w="381" w:type="pct"/>
            <w:vAlign w:val="center"/>
          </w:tcPr>
          <w:p w14:paraId="7DF6BF61">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联合车间</w:t>
            </w:r>
          </w:p>
        </w:tc>
        <w:tc>
          <w:tcPr>
            <w:tcW w:w="497" w:type="pct"/>
            <w:vAlign w:val="center"/>
          </w:tcPr>
          <w:p w14:paraId="532DFA6A">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480L</w:t>
            </w:r>
          </w:p>
        </w:tc>
        <w:tc>
          <w:tcPr>
            <w:tcW w:w="465" w:type="pct"/>
            <w:vAlign w:val="center"/>
          </w:tcPr>
          <w:p w14:paraId="1E5C190A">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爱康设备</w:t>
            </w:r>
          </w:p>
        </w:tc>
        <w:tc>
          <w:tcPr>
            <w:tcW w:w="511" w:type="pct"/>
            <w:vAlign w:val="center"/>
          </w:tcPr>
          <w:p w14:paraId="3515C30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Y21-10456</w:t>
            </w:r>
          </w:p>
        </w:tc>
        <w:tc>
          <w:tcPr>
            <w:tcW w:w="719" w:type="pct"/>
            <w:vAlign w:val="center"/>
          </w:tcPr>
          <w:p w14:paraId="5A6C5E6B">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容17滇E00799（22）</w:t>
            </w:r>
          </w:p>
        </w:tc>
        <w:tc>
          <w:tcPr>
            <w:tcW w:w="846" w:type="pct"/>
            <w:vAlign w:val="center"/>
          </w:tcPr>
          <w:p w14:paraId="4CAFB551">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shd w:val="clear" w:color="auto" w:fill="auto"/>
            <w:vAlign w:val="center"/>
          </w:tcPr>
          <w:p w14:paraId="7EFCFC12">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2024/5/16</w:t>
            </w:r>
          </w:p>
        </w:tc>
        <w:tc>
          <w:tcPr>
            <w:tcW w:w="409" w:type="pct"/>
            <w:shd w:val="clear" w:color="auto" w:fill="auto"/>
            <w:vAlign w:val="center"/>
          </w:tcPr>
          <w:p w14:paraId="64E1882A">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2025/5/15</w:t>
            </w:r>
          </w:p>
        </w:tc>
      </w:tr>
      <w:tr w14:paraId="0CFB67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8" w:hRule="atLeast"/>
          <w:tblHeader/>
          <w:jc w:val="center"/>
        </w:trPr>
        <w:tc>
          <w:tcPr>
            <w:tcW w:w="214" w:type="pct"/>
            <w:vAlign w:val="center"/>
          </w:tcPr>
          <w:p w14:paraId="5097513E">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543" w:type="pct"/>
            <w:vAlign w:val="center"/>
          </w:tcPr>
          <w:p w14:paraId="239E4A0A">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冷却分离器</w:t>
            </w:r>
          </w:p>
        </w:tc>
        <w:tc>
          <w:tcPr>
            <w:tcW w:w="381" w:type="pct"/>
            <w:vAlign w:val="center"/>
          </w:tcPr>
          <w:p w14:paraId="73FD4ECB">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联合车间</w:t>
            </w:r>
          </w:p>
        </w:tc>
        <w:tc>
          <w:tcPr>
            <w:tcW w:w="497" w:type="pct"/>
            <w:vAlign w:val="center"/>
          </w:tcPr>
          <w:p w14:paraId="29B9650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p>
        </w:tc>
        <w:tc>
          <w:tcPr>
            <w:tcW w:w="465" w:type="pct"/>
            <w:vAlign w:val="center"/>
          </w:tcPr>
          <w:p w14:paraId="3D1AFCB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湖北迪峰</w:t>
            </w:r>
          </w:p>
        </w:tc>
        <w:tc>
          <w:tcPr>
            <w:tcW w:w="511" w:type="pct"/>
            <w:vAlign w:val="center"/>
          </w:tcPr>
          <w:p w14:paraId="3FCCDDAD">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C2104016401</w:t>
            </w:r>
          </w:p>
        </w:tc>
        <w:tc>
          <w:tcPr>
            <w:tcW w:w="719" w:type="pct"/>
            <w:vAlign w:val="center"/>
          </w:tcPr>
          <w:p w14:paraId="1E5AEEE9">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容17滇E00804（22）</w:t>
            </w:r>
          </w:p>
        </w:tc>
        <w:tc>
          <w:tcPr>
            <w:tcW w:w="846" w:type="pct"/>
            <w:vAlign w:val="center"/>
          </w:tcPr>
          <w:p w14:paraId="65689D83">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vAlign w:val="center"/>
          </w:tcPr>
          <w:p w14:paraId="4F91F4A8">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auto"/>
                <w:sz w:val="21"/>
                <w:szCs w:val="21"/>
                <w:highlight w:val="none"/>
                <w:lang w:val="en-US" w:eastAsia="zh-CN"/>
              </w:rPr>
              <w:t>2024/5/16</w:t>
            </w:r>
          </w:p>
        </w:tc>
        <w:tc>
          <w:tcPr>
            <w:tcW w:w="409" w:type="pct"/>
            <w:vAlign w:val="center"/>
          </w:tcPr>
          <w:p w14:paraId="065FE9EE">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auto"/>
                <w:sz w:val="21"/>
                <w:szCs w:val="21"/>
                <w:highlight w:val="none"/>
                <w:lang w:val="en-US" w:eastAsia="zh-CN"/>
              </w:rPr>
              <w:t>2025/5/15</w:t>
            </w:r>
          </w:p>
        </w:tc>
      </w:tr>
      <w:tr w14:paraId="6985CC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8" w:hRule="atLeast"/>
          <w:tblHeader/>
          <w:jc w:val="center"/>
        </w:trPr>
        <w:tc>
          <w:tcPr>
            <w:tcW w:w="214" w:type="pct"/>
            <w:vAlign w:val="center"/>
          </w:tcPr>
          <w:p w14:paraId="1EFF2C63">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543" w:type="pct"/>
            <w:vAlign w:val="center"/>
          </w:tcPr>
          <w:p w14:paraId="2B86C4E8">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冷却分离器</w:t>
            </w:r>
          </w:p>
        </w:tc>
        <w:tc>
          <w:tcPr>
            <w:tcW w:w="381" w:type="pct"/>
            <w:vAlign w:val="center"/>
          </w:tcPr>
          <w:p w14:paraId="3A2EDF0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联合车间</w:t>
            </w:r>
          </w:p>
        </w:tc>
        <w:tc>
          <w:tcPr>
            <w:tcW w:w="497" w:type="pct"/>
            <w:vAlign w:val="center"/>
          </w:tcPr>
          <w:p w14:paraId="30412DA5">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p>
        </w:tc>
        <w:tc>
          <w:tcPr>
            <w:tcW w:w="465" w:type="pct"/>
            <w:vAlign w:val="center"/>
          </w:tcPr>
          <w:p w14:paraId="66FD3986">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湖北迪峰</w:t>
            </w:r>
          </w:p>
        </w:tc>
        <w:tc>
          <w:tcPr>
            <w:tcW w:w="511" w:type="pct"/>
            <w:vAlign w:val="center"/>
          </w:tcPr>
          <w:p w14:paraId="70447843">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C2108002202</w:t>
            </w:r>
          </w:p>
        </w:tc>
        <w:tc>
          <w:tcPr>
            <w:tcW w:w="719" w:type="pct"/>
            <w:vAlign w:val="center"/>
          </w:tcPr>
          <w:p w14:paraId="7CB7AA11">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容17滇E00805（22）</w:t>
            </w:r>
          </w:p>
        </w:tc>
        <w:tc>
          <w:tcPr>
            <w:tcW w:w="846" w:type="pct"/>
            <w:vAlign w:val="center"/>
          </w:tcPr>
          <w:p w14:paraId="185B90A3">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vAlign w:val="center"/>
          </w:tcPr>
          <w:p w14:paraId="6E1BBAD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auto"/>
                <w:sz w:val="21"/>
                <w:szCs w:val="21"/>
                <w:highlight w:val="none"/>
                <w:lang w:val="en-US" w:eastAsia="zh-CN"/>
              </w:rPr>
              <w:t>2024/5/16</w:t>
            </w:r>
          </w:p>
        </w:tc>
        <w:tc>
          <w:tcPr>
            <w:tcW w:w="409" w:type="pct"/>
            <w:vAlign w:val="center"/>
          </w:tcPr>
          <w:p w14:paraId="41DFE1AB">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auto"/>
                <w:sz w:val="21"/>
                <w:szCs w:val="21"/>
                <w:highlight w:val="none"/>
                <w:lang w:val="en-US" w:eastAsia="zh-CN"/>
              </w:rPr>
              <w:t>2025/5/15</w:t>
            </w:r>
          </w:p>
        </w:tc>
      </w:tr>
      <w:tr w14:paraId="334ED5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8" w:hRule="atLeast"/>
          <w:tblHeader/>
          <w:jc w:val="center"/>
        </w:trPr>
        <w:tc>
          <w:tcPr>
            <w:tcW w:w="214" w:type="pct"/>
            <w:vAlign w:val="center"/>
          </w:tcPr>
          <w:p w14:paraId="12120849">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543" w:type="pct"/>
            <w:vAlign w:val="center"/>
          </w:tcPr>
          <w:p w14:paraId="0CE55726">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后冷器</w:t>
            </w:r>
          </w:p>
        </w:tc>
        <w:tc>
          <w:tcPr>
            <w:tcW w:w="381" w:type="pct"/>
            <w:vAlign w:val="center"/>
          </w:tcPr>
          <w:p w14:paraId="57E76EF5">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联合车间</w:t>
            </w:r>
          </w:p>
        </w:tc>
        <w:tc>
          <w:tcPr>
            <w:tcW w:w="497" w:type="pct"/>
            <w:vAlign w:val="center"/>
          </w:tcPr>
          <w:p w14:paraId="633A881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p>
        </w:tc>
        <w:tc>
          <w:tcPr>
            <w:tcW w:w="465" w:type="pct"/>
            <w:vAlign w:val="center"/>
          </w:tcPr>
          <w:p w14:paraId="514A81E2">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上海郎森</w:t>
            </w:r>
          </w:p>
        </w:tc>
        <w:tc>
          <w:tcPr>
            <w:tcW w:w="511" w:type="pct"/>
            <w:vAlign w:val="center"/>
          </w:tcPr>
          <w:p w14:paraId="108D80B5">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217031111202100231</w:t>
            </w:r>
          </w:p>
        </w:tc>
        <w:tc>
          <w:tcPr>
            <w:tcW w:w="719" w:type="pct"/>
            <w:vAlign w:val="center"/>
          </w:tcPr>
          <w:p w14:paraId="057E39E7">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容17滇E00806（22）</w:t>
            </w:r>
          </w:p>
        </w:tc>
        <w:tc>
          <w:tcPr>
            <w:tcW w:w="846" w:type="pct"/>
            <w:vAlign w:val="center"/>
          </w:tcPr>
          <w:p w14:paraId="49FC543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vAlign w:val="center"/>
          </w:tcPr>
          <w:p w14:paraId="4A07571B">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2024/5/16</w:t>
            </w:r>
          </w:p>
        </w:tc>
        <w:tc>
          <w:tcPr>
            <w:tcW w:w="409" w:type="pct"/>
            <w:vAlign w:val="center"/>
          </w:tcPr>
          <w:p w14:paraId="289F6B11">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2025/5/15</w:t>
            </w:r>
          </w:p>
        </w:tc>
      </w:tr>
      <w:tr w14:paraId="66B669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8" w:hRule="atLeast"/>
          <w:tblHeader/>
          <w:jc w:val="center"/>
        </w:trPr>
        <w:tc>
          <w:tcPr>
            <w:tcW w:w="214" w:type="pct"/>
            <w:vAlign w:val="center"/>
          </w:tcPr>
          <w:p w14:paraId="6FC5F2FF">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543" w:type="pct"/>
            <w:vAlign w:val="center"/>
          </w:tcPr>
          <w:p w14:paraId="5A475D5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1#叉车</w:t>
            </w:r>
          </w:p>
        </w:tc>
        <w:tc>
          <w:tcPr>
            <w:tcW w:w="381" w:type="pct"/>
            <w:vAlign w:val="center"/>
          </w:tcPr>
          <w:p w14:paraId="06044BC8">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厂区</w:t>
            </w:r>
          </w:p>
        </w:tc>
        <w:tc>
          <w:tcPr>
            <w:tcW w:w="497" w:type="pct"/>
            <w:vAlign w:val="center"/>
          </w:tcPr>
          <w:p w14:paraId="4836E586">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CPC型3.5</w:t>
            </w:r>
          </w:p>
        </w:tc>
        <w:tc>
          <w:tcPr>
            <w:tcW w:w="465" w:type="pct"/>
            <w:vAlign w:val="center"/>
          </w:tcPr>
          <w:p w14:paraId="6E368D58">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合力叉车</w:t>
            </w:r>
          </w:p>
        </w:tc>
        <w:tc>
          <w:tcPr>
            <w:tcW w:w="511" w:type="pct"/>
            <w:vAlign w:val="center"/>
          </w:tcPr>
          <w:p w14:paraId="0CAF1BA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020352Z7396</w:t>
            </w:r>
          </w:p>
        </w:tc>
        <w:tc>
          <w:tcPr>
            <w:tcW w:w="719" w:type="pct"/>
            <w:vAlign w:val="center"/>
          </w:tcPr>
          <w:p w14:paraId="727157E2">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车11滇E009（24）</w:t>
            </w:r>
          </w:p>
        </w:tc>
        <w:tc>
          <w:tcPr>
            <w:tcW w:w="846" w:type="pct"/>
            <w:vAlign w:val="center"/>
          </w:tcPr>
          <w:p w14:paraId="3062BCD6">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vAlign w:val="center"/>
          </w:tcPr>
          <w:p w14:paraId="74715BE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000000"/>
                <w:kern w:val="0"/>
                <w:sz w:val="21"/>
                <w:szCs w:val="21"/>
                <w:lang w:val="en-US" w:eastAsia="zh-CN"/>
              </w:rPr>
              <w:t>2024/5/7</w:t>
            </w:r>
          </w:p>
        </w:tc>
        <w:tc>
          <w:tcPr>
            <w:tcW w:w="409" w:type="pct"/>
            <w:vAlign w:val="center"/>
          </w:tcPr>
          <w:p w14:paraId="02BC235D">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000000"/>
                <w:kern w:val="0"/>
                <w:sz w:val="21"/>
                <w:szCs w:val="21"/>
                <w:lang w:val="en-US" w:eastAsia="zh-CN"/>
              </w:rPr>
              <w:t>2026/5/6</w:t>
            </w:r>
          </w:p>
        </w:tc>
      </w:tr>
      <w:tr w14:paraId="671814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0" w:hRule="atLeast"/>
          <w:tblHeader/>
          <w:jc w:val="center"/>
        </w:trPr>
        <w:tc>
          <w:tcPr>
            <w:tcW w:w="214" w:type="pct"/>
            <w:vAlign w:val="center"/>
          </w:tcPr>
          <w:p w14:paraId="7F43D4B7">
            <w:pPr>
              <w:keepNext w:val="0"/>
              <w:keepLines w:val="0"/>
              <w:pageBreakBefore w:val="0"/>
              <w:widowControl w:val="0"/>
              <w:numPr>
                <w:ilvl w:val="0"/>
                <w:numId w:val="21"/>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543" w:type="pct"/>
            <w:vAlign w:val="center"/>
          </w:tcPr>
          <w:p w14:paraId="7AF66823">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2#叉车</w:t>
            </w:r>
          </w:p>
        </w:tc>
        <w:tc>
          <w:tcPr>
            <w:tcW w:w="381" w:type="pct"/>
            <w:vAlign w:val="center"/>
          </w:tcPr>
          <w:p w14:paraId="2F9C8B86">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厂区</w:t>
            </w:r>
          </w:p>
        </w:tc>
        <w:tc>
          <w:tcPr>
            <w:tcW w:w="497" w:type="pct"/>
            <w:vAlign w:val="center"/>
          </w:tcPr>
          <w:p w14:paraId="0EC8F824">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CPC</w:t>
            </w:r>
          </w:p>
        </w:tc>
        <w:tc>
          <w:tcPr>
            <w:tcW w:w="465" w:type="pct"/>
            <w:vAlign w:val="center"/>
          </w:tcPr>
          <w:p w14:paraId="2EDBBD42">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合力叉车</w:t>
            </w:r>
          </w:p>
        </w:tc>
        <w:tc>
          <w:tcPr>
            <w:tcW w:w="511" w:type="pct"/>
            <w:vAlign w:val="center"/>
          </w:tcPr>
          <w:p w14:paraId="04CABB77">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020303Y0505</w:t>
            </w:r>
          </w:p>
        </w:tc>
        <w:tc>
          <w:tcPr>
            <w:tcW w:w="719" w:type="pct"/>
            <w:vAlign w:val="center"/>
          </w:tcPr>
          <w:p w14:paraId="2E280D34">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车11滇E0068（24）</w:t>
            </w:r>
          </w:p>
        </w:tc>
        <w:tc>
          <w:tcPr>
            <w:tcW w:w="846" w:type="pct"/>
            <w:vAlign w:val="center"/>
          </w:tcPr>
          <w:p w14:paraId="17846966">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000000"/>
                <w:kern w:val="0"/>
                <w:sz w:val="21"/>
                <w:szCs w:val="21"/>
                <w:lang w:eastAsia="zh-CN"/>
              </w:rPr>
              <w:t>楚雄州</w:t>
            </w:r>
            <w:r>
              <w:rPr>
                <w:rFonts w:hint="eastAsia" w:ascii="宋体" w:hAnsi="宋体" w:eastAsia="宋体" w:cs="宋体"/>
                <w:color w:val="000000"/>
                <w:kern w:val="0"/>
                <w:sz w:val="21"/>
                <w:szCs w:val="21"/>
                <w:lang w:val="en-US" w:eastAsia="zh-CN"/>
              </w:rPr>
              <w:t>检验检测认证院</w:t>
            </w:r>
          </w:p>
        </w:tc>
        <w:tc>
          <w:tcPr>
            <w:tcW w:w="409" w:type="pct"/>
            <w:vAlign w:val="center"/>
          </w:tcPr>
          <w:p w14:paraId="3DB1C1D4">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color w:val="000000"/>
                <w:kern w:val="0"/>
                <w:sz w:val="21"/>
                <w:szCs w:val="21"/>
                <w:lang w:val="en-US" w:eastAsia="zh-CN"/>
              </w:rPr>
              <w:t>2024/5/7</w:t>
            </w:r>
          </w:p>
        </w:tc>
        <w:tc>
          <w:tcPr>
            <w:tcW w:w="409" w:type="pct"/>
            <w:vAlign w:val="center"/>
          </w:tcPr>
          <w:p w14:paraId="351DF1AE">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000000"/>
                <w:kern w:val="0"/>
                <w:sz w:val="21"/>
                <w:szCs w:val="21"/>
                <w:lang w:val="en-US" w:eastAsia="zh-CN"/>
              </w:rPr>
              <w:t>2026/5/6</w:t>
            </w:r>
          </w:p>
        </w:tc>
      </w:tr>
    </w:tbl>
    <w:p w14:paraId="490B0BE2">
      <w:pPr>
        <w:keepNext w:val="0"/>
        <w:keepLines w:val="0"/>
        <w:pageBreakBefore w:val="0"/>
        <w:widowControl w:val="0"/>
        <w:kinsoku/>
        <w:wordWrap/>
        <w:bidi w:val="0"/>
        <w:spacing w:before="50" w:beforeLines="50" w:line="240" w:lineRule="auto"/>
        <w:ind w:firstLine="0" w:firstLineChars="0"/>
        <w:jc w:val="center"/>
        <w:rPr>
          <w:rFonts w:hint="default"/>
          <w:b/>
          <w:bCs/>
          <w:sz w:val="24"/>
          <w:szCs w:val="24"/>
          <w:lang w:val="en-US" w:eastAsia="zh-CN"/>
        </w:rPr>
      </w:pPr>
      <w:bookmarkStart w:id="363" w:name="_Toc55033311"/>
      <w:bookmarkStart w:id="364" w:name="_Toc3835"/>
      <w:bookmarkStart w:id="365" w:name="_Toc55567371"/>
      <w:bookmarkStart w:id="366" w:name="_Toc60925342"/>
      <w:bookmarkStart w:id="367" w:name="_Toc19177046"/>
      <w:bookmarkStart w:id="368" w:name="_Toc55945236"/>
      <w:bookmarkStart w:id="369" w:name="_Toc11281"/>
      <w:bookmarkStart w:id="370" w:name="_Toc531271072"/>
      <w:r>
        <w:rPr>
          <w:rStyle w:val="87"/>
        </w:rPr>
        <w:t xml:space="preserve">表 </w:t>
      </w:r>
      <w:r>
        <w:rPr>
          <w:rStyle w:val="87"/>
        </w:rPr>
        <w:fldChar w:fldCharType="begin"/>
      </w:r>
      <w:r>
        <w:rPr>
          <w:rStyle w:val="87"/>
        </w:rPr>
        <w:instrText xml:space="preserve"> STYLEREF 1 \s </w:instrText>
      </w:r>
      <w:r>
        <w:rPr>
          <w:rStyle w:val="87"/>
        </w:rPr>
        <w:fldChar w:fldCharType="separate"/>
      </w:r>
      <w:r>
        <w:rPr>
          <w:rStyle w:val="87"/>
        </w:rPr>
        <w:t>2</w:t>
      </w:r>
      <w:r>
        <w:rPr>
          <w:rStyle w:val="87"/>
        </w:rPr>
        <w:fldChar w:fldCharType="end"/>
      </w:r>
      <w:r>
        <w:rPr>
          <w:rStyle w:val="87"/>
          <w:rFonts w:hint="eastAsia"/>
          <w:lang w:eastAsia="zh-CN"/>
        </w:rPr>
        <w:t>-</w:t>
      </w:r>
      <w:r>
        <w:rPr>
          <w:rStyle w:val="87"/>
        </w:rPr>
        <w:fldChar w:fldCharType="begin"/>
      </w:r>
      <w:r>
        <w:rPr>
          <w:rStyle w:val="87"/>
        </w:rPr>
        <w:instrText xml:space="preserve"> SEQ 表 \* ARABIC \s 1 </w:instrText>
      </w:r>
      <w:r>
        <w:rPr>
          <w:rStyle w:val="87"/>
        </w:rPr>
        <w:fldChar w:fldCharType="separate"/>
      </w:r>
      <w:r>
        <w:rPr>
          <w:rStyle w:val="87"/>
        </w:rPr>
        <w:t>12</w:t>
      </w:r>
      <w:r>
        <w:rPr>
          <w:rStyle w:val="87"/>
        </w:rPr>
        <w:fldChar w:fldCharType="end"/>
      </w:r>
      <w:r>
        <w:rPr>
          <w:rFonts w:hint="eastAsia"/>
          <w:b/>
          <w:bCs/>
          <w:sz w:val="24"/>
          <w:szCs w:val="24"/>
          <w:lang w:val="en-US" w:eastAsia="zh-CN"/>
        </w:rPr>
        <w:t>压力表检验</w:t>
      </w:r>
      <w:r>
        <w:rPr>
          <w:rFonts w:hint="eastAsia" w:cs="宋体"/>
          <w:b/>
          <w:bCs/>
          <w:kern w:val="2"/>
          <w:sz w:val="24"/>
          <w:szCs w:val="24"/>
          <w:lang w:val="en-US" w:eastAsia="zh-CN" w:bidi="ar-SA"/>
        </w:rPr>
        <w:t>情况</w:t>
      </w:r>
      <w:r>
        <w:rPr>
          <w:rFonts w:ascii="宋体" w:hAnsi="宋体" w:eastAsia="宋体" w:cs="宋体"/>
          <w:b/>
          <w:bCs/>
          <w:kern w:val="2"/>
          <w:sz w:val="24"/>
          <w:szCs w:val="24"/>
          <w:lang w:val="en-US" w:eastAsia="zh-CN" w:bidi="ar-SA"/>
        </w:rPr>
        <w:t>一览表</w:t>
      </w:r>
    </w:p>
    <w:tbl>
      <w:tblPr>
        <w:tblStyle w:val="32"/>
        <w:tblW w:w="501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2080"/>
        <w:gridCol w:w="2777"/>
        <w:gridCol w:w="3747"/>
        <w:gridCol w:w="3070"/>
        <w:gridCol w:w="1440"/>
      </w:tblGrid>
      <w:tr w14:paraId="34FE53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tblHeader/>
          <w:jc w:val="center"/>
        </w:trPr>
        <w:tc>
          <w:tcPr>
            <w:tcW w:w="388" w:type="pct"/>
            <w:tcBorders>
              <w:tl2br w:val="nil"/>
              <w:tr2bl w:val="nil"/>
            </w:tcBorders>
            <w:vAlign w:val="center"/>
          </w:tcPr>
          <w:p w14:paraId="1CDDC7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731" w:type="pct"/>
            <w:tcBorders>
              <w:tl2br w:val="nil"/>
              <w:tr2bl w:val="nil"/>
            </w:tcBorders>
            <w:vAlign w:val="center"/>
          </w:tcPr>
          <w:p w14:paraId="591FA5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名称</w:t>
            </w:r>
          </w:p>
        </w:tc>
        <w:tc>
          <w:tcPr>
            <w:tcW w:w="976" w:type="pct"/>
            <w:tcBorders>
              <w:tl2br w:val="nil"/>
              <w:tr2bl w:val="nil"/>
            </w:tcBorders>
            <w:vAlign w:val="center"/>
          </w:tcPr>
          <w:p w14:paraId="497DF9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规格及型号</w:t>
            </w:r>
          </w:p>
        </w:tc>
        <w:tc>
          <w:tcPr>
            <w:tcW w:w="1317" w:type="pct"/>
            <w:tcBorders>
              <w:tl2br w:val="nil"/>
              <w:tr2bl w:val="nil"/>
            </w:tcBorders>
            <w:vAlign w:val="center"/>
          </w:tcPr>
          <w:p w14:paraId="44646E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下次检定、校验时间</w:t>
            </w:r>
          </w:p>
        </w:tc>
        <w:tc>
          <w:tcPr>
            <w:tcW w:w="1079" w:type="pct"/>
            <w:tcBorders>
              <w:tl2br w:val="nil"/>
              <w:tr2bl w:val="nil"/>
            </w:tcBorders>
            <w:vAlign w:val="center"/>
          </w:tcPr>
          <w:p w14:paraId="5B0ECC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检定编号</w:t>
            </w:r>
          </w:p>
        </w:tc>
        <w:tc>
          <w:tcPr>
            <w:tcW w:w="506" w:type="pct"/>
            <w:tcBorders>
              <w:tl2br w:val="nil"/>
              <w:tr2bl w:val="nil"/>
            </w:tcBorders>
            <w:vAlign w:val="center"/>
          </w:tcPr>
          <w:p w14:paraId="11F3D1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校验单位</w:t>
            </w:r>
          </w:p>
        </w:tc>
      </w:tr>
      <w:tr w14:paraId="0572D5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88" w:type="pct"/>
            <w:tcBorders>
              <w:tl2br w:val="nil"/>
              <w:tr2bl w:val="nil"/>
            </w:tcBorders>
            <w:vAlign w:val="center"/>
          </w:tcPr>
          <w:p w14:paraId="495BF031">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3335A6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压力表</w:t>
            </w:r>
          </w:p>
        </w:tc>
        <w:tc>
          <w:tcPr>
            <w:tcW w:w="976" w:type="pct"/>
            <w:tcBorders>
              <w:tl2br w:val="nil"/>
              <w:tr2bl w:val="nil"/>
            </w:tcBorders>
            <w:vAlign w:val="center"/>
          </w:tcPr>
          <w:p w14:paraId="20D921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（0~16）bar</w:t>
            </w:r>
          </w:p>
        </w:tc>
        <w:tc>
          <w:tcPr>
            <w:tcW w:w="1317" w:type="pct"/>
            <w:tcBorders>
              <w:tl2br w:val="nil"/>
              <w:tr2bl w:val="nil"/>
            </w:tcBorders>
            <w:vAlign w:val="center"/>
          </w:tcPr>
          <w:p w14:paraId="208EB7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2024年11月11日</w:t>
            </w:r>
          </w:p>
        </w:tc>
        <w:tc>
          <w:tcPr>
            <w:tcW w:w="1079" w:type="pct"/>
            <w:tcBorders>
              <w:tl2br w:val="nil"/>
              <w:tr2bl w:val="nil"/>
            </w:tcBorders>
            <w:vAlign w:val="center"/>
          </w:tcPr>
          <w:p w14:paraId="156894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P01-20240512007</w:t>
            </w:r>
          </w:p>
        </w:tc>
        <w:tc>
          <w:tcPr>
            <w:tcW w:w="506" w:type="pct"/>
            <w:vMerge w:val="restart"/>
            <w:tcBorders>
              <w:tl2br w:val="nil"/>
              <w:tr2bl w:val="nil"/>
            </w:tcBorders>
            <w:vAlign w:val="center"/>
          </w:tcPr>
          <w:p w14:paraId="50EF48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山东博昌检测有限公司</w:t>
            </w:r>
          </w:p>
        </w:tc>
      </w:tr>
      <w:tr w14:paraId="2C5E6F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88" w:type="pct"/>
            <w:tcBorders>
              <w:tl2br w:val="nil"/>
              <w:tr2bl w:val="nil"/>
            </w:tcBorders>
            <w:vAlign w:val="center"/>
          </w:tcPr>
          <w:p w14:paraId="56F23FDA">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default" w:ascii="宋体" w:hAnsi="宋体" w:eastAsia="宋体" w:cs="宋体"/>
                <w:color w:val="auto"/>
                <w:sz w:val="21"/>
                <w:szCs w:val="21"/>
                <w:highlight w:val="none"/>
                <w:lang w:val="en-US" w:eastAsia="zh-CN"/>
              </w:rPr>
            </w:pPr>
          </w:p>
        </w:tc>
        <w:tc>
          <w:tcPr>
            <w:tcW w:w="731" w:type="pct"/>
            <w:tcBorders>
              <w:tl2br w:val="nil"/>
              <w:tr2bl w:val="nil"/>
            </w:tcBorders>
            <w:vAlign w:val="center"/>
          </w:tcPr>
          <w:p w14:paraId="1ED932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压力表</w:t>
            </w:r>
          </w:p>
        </w:tc>
        <w:tc>
          <w:tcPr>
            <w:tcW w:w="976" w:type="pct"/>
            <w:tcBorders>
              <w:tl2br w:val="nil"/>
              <w:tr2bl w:val="nil"/>
            </w:tcBorders>
            <w:vAlign w:val="center"/>
          </w:tcPr>
          <w:p w14:paraId="33259E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（0~16）bar</w:t>
            </w:r>
          </w:p>
        </w:tc>
        <w:tc>
          <w:tcPr>
            <w:tcW w:w="1317" w:type="pct"/>
            <w:tcBorders>
              <w:tl2br w:val="nil"/>
              <w:tr2bl w:val="nil"/>
            </w:tcBorders>
            <w:vAlign w:val="center"/>
          </w:tcPr>
          <w:p w14:paraId="2AF86B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2024年11月11日</w:t>
            </w:r>
          </w:p>
        </w:tc>
        <w:tc>
          <w:tcPr>
            <w:tcW w:w="1079" w:type="pct"/>
            <w:tcBorders>
              <w:tl2br w:val="nil"/>
              <w:tr2bl w:val="nil"/>
            </w:tcBorders>
            <w:vAlign w:val="center"/>
          </w:tcPr>
          <w:p w14:paraId="51FFCE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P01-20240512008</w:t>
            </w:r>
          </w:p>
        </w:tc>
        <w:tc>
          <w:tcPr>
            <w:tcW w:w="506" w:type="pct"/>
            <w:vMerge w:val="continue"/>
            <w:tcBorders>
              <w:tl2br w:val="nil"/>
              <w:tr2bl w:val="nil"/>
            </w:tcBorders>
            <w:vAlign w:val="center"/>
          </w:tcPr>
          <w:p w14:paraId="373C33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4EE01F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88" w:type="pct"/>
            <w:tcBorders>
              <w:tl2br w:val="nil"/>
              <w:tr2bl w:val="nil"/>
            </w:tcBorders>
            <w:vAlign w:val="center"/>
          </w:tcPr>
          <w:p w14:paraId="333251E2">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33A004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压力表</w:t>
            </w:r>
          </w:p>
        </w:tc>
        <w:tc>
          <w:tcPr>
            <w:tcW w:w="976" w:type="pct"/>
            <w:tcBorders>
              <w:tl2br w:val="nil"/>
              <w:tr2bl w:val="nil"/>
            </w:tcBorders>
            <w:vAlign w:val="center"/>
          </w:tcPr>
          <w:p w14:paraId="734CAC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（0~16）bar</w:t>
            </w:r>
          </w:p>
        </w:tc>
        <w:tc>
          <w:tcPr>
            <w:tcW w:w="1317" w:type="pct"/>
            <w:tcBorders>
              <w:tl2br w:val="nil"/>
              <w:tr2bl w:val="nil"/>
            </w:tcBorders>
            <w:vAlign w:val="center"/>
          </w:tcPr>
          <w:p w14:paraId="5178C8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2024年11月11日</w:t>
            </w:r>
          </w:p>
        </w:tc>
        <w:tc>
          <w:tcPr>
            <w:tcW w:w="1079" w:type="pct"/>
            <w:tcBorders>
              <w:tl2br w:val="nil"/>
              <w:tr2bl w:val="nil"/>
            </w:tcBorders>
            <w:vAlign w:val="center"/>
          </w:tcPr>
          <w:p w14:paraId="6799E4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P01-20240512009</w:t>
            </w:r>
          </w:p>
        </w:tc>
        <w:tc>
          <w:tcPr>
            <w:tcW w:w="506" w:type="pct"/>
            <w:vMerge w:val="continue"/>
            <w:tcBorders>
              <w:tl2br w:val="nil"/>
              <w:tr2bl w:val="nil"/>
            </w:tcBorders>
            <w:vAlign w:val="center"/>
          </w:tcPr>
          <w:p w14:paraId="2870B3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78D195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88" w:type="pct"/>
            <w:tcBorders>
              <w:tl2br w:val="nil"/>
              <w:tr2bl w:val="nil"/>
            </w:tcBorders>
            <w:vAlign w:val="center"/>
          </w:tcPr>
          <w:p w14:paraId="08F84AFC">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5402EB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压力表</w:t>
            </w:r>
          </w:p>
        </w:tc>
        <w:tc>
          <w:tcPr>
            <w:tcW w:w="976" w:type="pct"/>
            <w:tcBorders>
              <w:tl2br w:val="nil"/>
              <w:tr2bl w:val="nil"/>
            </w:tcBorders>
            <w:vAlign w:val="center"/>
          </w:tcPr>
          <w:p w14:paraId="3A4B73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（0~1.6）MPa</w:t>
            </w:r>
          </w:p>
        </w:tc>
        <w:tc>
          <w:tcPr>
            <w:tcW w:w="1317" w:type="pct"/>
            <w:tcBorders>
              <w:tl2br w:val="nil"/>
              <w:tr2bl w:val="nil"/>
            </w:tcBorders>
            <w:vAlign w:val="center"/>
          </w:tcPr>
          <w:p w14:paraId="634FF5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2024年10月26日</w:t>
            </w:r>
          </w:p>
        </w:tc>
        <w:tc>
          <w:tcPr>
            <w:tcW w:w="1079" w:type="pct"/>
            <w:tcBorders>
              <w:tl2br w:val="nil"/>
              <w:tr2bl w:val="nil"/>
            </w:tcBorders>
            <w:vAlign w:val="center"/>
          </w:tcPr>
          <w:p w14:paraId="151DDA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P01-20240427099</w:t>
            </w:r>
          </w:p>
        </w:tc>
        <w:tc>
          <w:tcPr>
            <w:tcW w:w="506" w:type="pct"/>
            <w:vMerge w:val="continue"/>
            <w:tcBorders>
              <w:tl2br w:val="nil"/>
              <w:tr2bl w:val="nil"/>
            </w:tcBorders>
            <w:vAlign w:val="center"/>
          </w:tcPr>
          <w:p w14:paraId="3EE7DB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718978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88" w:type="pct"/>
            <w:tcBorders>
              <w:tl2br w:val="nil"/>
              <w:tr2bl w:val="nil"/>
            </w:tcBorders>
            <w:vAlign w:val="center"/>
          </w:tcPr>
          <w:p w14:paraId="6D21A5DF">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38E9E7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压力表</w:t>
            </w:r>
          </w:p>
        </w:tc>
        <w:tc>
          <w:tcPr>
            <w:tcW w:w="976" w:type="pct"/>
            <w:tcBorders>
              <w:tl2br w:val="nil"/>
              <w:tr2bl w:val="nil"/>
            </w:tcBorders>
            <w:vAlign w:val="center"/>
          </w:tcPr>
          <w:p w14:paraId="655EBB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（0~1.6）MPa</w:t>
            </w:r>
          </w:p>
        </w:tc>
        <w:tc>
          <w:tcPr>
            <w:tcW w:w="1317" w:type="pct"/>
            <w:tcBorders>
              <w:tl2br w:val="nil"/>
              <w:tr2bl w:val="nil"/>
            </w:tcBorders>
            <w:vAlign w:val="center"/>
          </w:tcPr>
          <w:p w14:paraId="15B7A0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2024年10月26日</w:t>
            </w:r>
          </w:p>
        </w:tc>
        <w:tc>
          <w:tcPr>
            <w:tcW w:w="1079" w:type="pct"/>
            <w:tcBorders>
              <w:tl2br w:val="nil"/>
              <w:tr2bl w:val="nil"/>
            </w:tcBorders>
            <w:vAlign w:val="center"/>
          </w:tcPr>
          <w:p w14:paraId="1D46AA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P01-20240427100</w:t>
            </w:r>
          </w:p>
        </w:tc>
        <w:tc>
          <w:tcPr>
            <w:tcW w:w="506" w:type="pct"/>
            <w:vMerge w:val="continue"/>
            <w:tcBorders>
              <w:tl2br w:val="nil"/>
              <w:tr2bl w:val="nil"/>
            </w:tcBorders>
            <w:vAlign w:val="center"/>
          </w:tcPr>
          <w:p w14:paraId="3BBBAE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15A5E5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39" w:hRule="atLeast"/>
          <w:jc w:val="center"/>
        </w:trPr>
        <w:tc>
          <w:tcPr>
            <w:tcW w:w="388" w:type="pct"/>
            <w:tcBorders>
              <w:tl2br w:val="nil"/>
              <w:tr2bl w:val="nil"/>
            </w:tcBorders>
            <w:vAlign w:val="center"/>
          </w:tcPr>
          <w:p w14:paraId="3C828714">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73CCE7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压力表</w:t>
            </w:r>
          </w:p>
        </w:tc>
        <w:tc>
          <w:tcPr>
            <w:tcW w:w="976" w:type="pct"/>
            <w:tcBorders>
              <w:tl2br w:val="nil"/>
              <w:tr2bl w:val="nil"/>
            </w:tcBorders>
            <w:vAlign w:val="center"/>
          </w:tcPr>
          <w:p w14:paraId="586B98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（0~1.6）MPa</w:t>
            </w:r>
          </w:p>
        </w:tc>
        <w:tc>
          <w:tcPr>
            <w:tcW w:w="1317" w:type="pct"/>
            <w:tcBorders>
              <w:tl2br w:val="nil"/>
              <w:tr2bl w:val="nil"/>
            </w:tcBorders>
            <w:vAlign w:val="center"/>
          </w:tcPr>
          <w:p w14:paraId="680197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2024年10月26日</w:t>
            </w:r>
          </w:p>
        </w:tc>
        <w:tc>
          <w:tcPr>
            <w:tcW w:w="1079" w:type="pct"/>
            <w:tcBorders>
              <w:tl2br w:val="nil"/>
              <w:tr2bl w:val="nil"/>
            </w:tcBorders>
            <w:vAlign w:val="center"/>
          </w:tcPr>
          <w:p w14:paraId="3B5384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P01-20240427101</w:t>
            </w:r>
          </w:p>
        </w:tc>
        <w:tc>
          <w:tcPr>
            <w:tcW w:w="506" w:type="pct"/>
            <w:vMerge w:val="continue"/>
            <w:tcBorders>
              <w:tl2br w:val="nil"/>
              <w:tr2bl w:val="nil"/>
            </w:tcBorders>
            <w:vAlign w:val="center"/>
          </w:tcPr>
          <w:p w14:paraId="76BBA9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08398E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88" w:type="pct"/>
            <w:tcBorders>
              <w:tl2br w:val="nil"/>
              <w:tr2bl w:val="nil"/>
            </w:tcBorders>
            <w:vAlign w:val="center"/>
          </w:tcPr>
          <w:p w14:paraId="0DB15670">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7212EA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压力表</w:t>
            </w:r>
          </w:p>
        </w:tc>
        <w:tc>
          <w:tcPr>
            <w:tcW w:w="976" w:type="pct"/>
            <w:tcBorders>
              <w:tl2br w:val="nil"/>
              <w:tr2bl w:val="nil"/>
            </w:tcBorders>
            <w:vAlign w:val="center"/>
          </w:tcPr>
          <w:p w14:paraId="626A06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（0~1.6）MPa</w:t>
            </w:r>
          </w:p>
        </w:tc>
        <w:tc>
          <w:tcPr>
            <w:tcW w:w="1317" w:type="pct"/>
            <w:tcBorders>
              <w:tl2br w:val="nil"/>
              <w:tr2bl w:val="nil"/>
            </w:tcBorders>
            <w:vAlign w:val="center"/>
          </w:tcPr>
          <w:p w14:paraId="6E0C75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2024年10月26日</w:t>
            </w:r>
          </w:p>
        </w:tc>
        <w:tc>
          <w:tcPr>
            <w:tcW w:w="1079" w:type="pct"/>
            <w:tcBorders>
              <w:tl2br w:val="nil"/>
              <w:tr2bl w:val="nil"/>
            </w:tcBorders>
            <w:vAlign w:val="center"/>
          </w:tcPr>
          <w:p w14:paraId="326153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P01-20240427102</w:t>
            </w:r>
          </w:p>
        </w:tc>
        <w:tc>
          <w:tcPr>
            <w:tcW w:w="506" w:type="pct"/>
            <w:vMerge w:val="continue"/>
            <w:tcBorders>
              <w:tl2br w:val="nil"/>
              <w:tr2bl w:val="nil"/>
            </w:tcBorders>
            <w:vAlign w:val="center"/>
          </w:tcPr>
          <w:p w14:paraId="56927B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6ECA41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88" w:type="pct"/>
            <w:tcBorders>
              <w:tl2br w:val="nil"/>
              <w:tr2bl w:val="nil"/>
            </w:tcBorders>
            <w:vAlign w:val="center"/>
          </w:tcPr>
          <w:p w14:paraId="0B9464A7">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7040E4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压力表</w:t>
            </w:r>
          </w:p>
        </w:tc>
        <w:tc>
          <w:tcPr>
            <w:tcW w:w="976" w:type="pct"/>
            <w:tcBorders>
              <w:tl2br w:val="nil"/>
              <w:tr2bl w:val="nil"/>
            </w:tcBorders>
            <w:vAlign w:val="center"/>
          </w:tcPr>
          <w:p w14:paraId="19148C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（0~1.6）MPa</w:t>
            </w:r>
          </w:p>
        </w:tc>
        <w:tc>
          <w:tcPr>
            <w:tcW w:w="1317" w:type="pct"/>
            <w:tcBorders>
              <w:tl2br w:val="nil"/>
              <w:tr2bl w:val="nil"/>
            </w:tcBorders>
            <w:vAlign w:val="center"/>
          </w:tcPr>
          <w:p w14:paraId="763F16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2024年10月26日</w:t>
            </w:r>
          </w:p>
        </w:tc>
        <w:tc>
          <w:tcPr>
            <w:tcW w:w="1079" w:type="pct"/>
            <w:tcBorders>
              <w:tl2br w:val="nil"/>
              <w:tr2bl w:val="nil"/>
            </w:tcBorders>
            <w:vAlign w:val="center"/>
          </w:tcPr>
          <w:p w14:paraId="6EC522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P01-20240427103</w:t>
            </w:r>
          </w:p>
        </w:tc>
        <w:tc>
          <w:tcPr>
            <w:tcW w:w="506" w:type="pct"/>
            <w:vMerge w:val="continue"/>
            <w:tcBorders>
              <w:tl2br w:val="nil"/>
              <w:tr2bl w:val="nil"/>
            </w:tcBorders>
            <w:vAlign w:val="center"/>
          </w:tcPr>
          <w:p w14:paraId="62CC40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05E0C2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88" w:type="pct"/>
            <w:tcBorders>
              <w:tl2br w:val="nil"/>
              <w:tr2bl w:val="nil"/>
            </w:tcBorders>
            <w:vAlign w:val="center"/>
          </w:tcPr>
          <w:p w14:paraId="48B8CB3F">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63941A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压力表</w:t>
            </w:r>
          </w:p>
        </w:tc>
        <w:tc>
          <w:tcPr>
            <w:tcW w:w="976" w:type="pct"/>
            <w:tcBorders>
              <w:tl2br w:val="nil"/>
              <w:tr2bl w:val="nil"/>
            </w:tcBorders>
            <w:vAlign w:val="center"/>
          </w:tcPr>
          <w:p w14:paraId="690045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（0~1.6）MPa</w:t>
            </w:r>
          </w:p>
        </w:tc>
        <w:tc>
          <w:tcPr>
            <w:tcW w:w="1317" w:type="pct"/>
            <w:tcBorders>
              <w:tl2br w:val="nil"/>
              <w:tr2bl w:val="nil"/>
            </w:tcBorders>
            <w:vAlign w:val="center"/>
          </w:tcPr>
          <w:p w14:paraId="0D6B90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2024年10月26日</w:t>
            </w:r>
          </w:p>
        </w:tc>
        <w:tc>
          <w:tcPr>
            <w:tcW w:w="1079" w:type="pct"/>
            <w:tcBorders>
              <w:tl2br w:val="nil"/>
              <w:tr2bl w:val="nil"/>
            </w:tcBorders>
            <w:vAlign w:val="center"/>
          </w:tcPr>
          <w:p w14:paraId="7A9342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P01-20240427104</w:t>
            </w:r>
          </w:p>
        </w:tc>
        <w:tc>
          <w:tcPr>
            <w:tcW w:w="506" w:type="pct"/>
            <w:vMerge w:val="continue"/>
            <w:tcBorders>
              <w:tl2br w:val="nil"/>
              <w:tr2bl w:val="nil"/>
            </w:tcBorders>
            <w:vAlign w:val="center"/>
          </w:tcPr>
          <w:p w14:paraId="634589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658DC1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88" w:type="pct"/>
            <w:tcBorders>
              <w:tl2br w:val="nil"/>
              <w:tr2bl w:val="nil"/>
            </w:tcBorders>
            <w:vAlign w:val="center"/>
          </w:tcPr>
          <w:p w14:paraId="26F8277E">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0D0346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压力表</w:t>
            </w:r>
          </w:p>
        </w:tc>
        <w:tc>
          <w:tcPr>
            <w:tcW w:w="976" w:type="pct"/>
            <w:tcBorders>
              <w:tl2br w:val="nil"/>
              <w:tr2bl w:val="nil"/>
            </w:tcBorders>
            <w:vAlign w:val="center"/>
          </w:tcPr>
          <w:p w14:paraId="344AE3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（0~1.6）MPa</w:t>
            </w:r>
          </w:p>
        </w:tc>
        <w:tc>
          <w:tcPr>
            <w:tcW w:w="1317" w:type="pct"/>
            <w:tcBorders>
              <w:tl2br w:val="nil"/>
              <w:tr2bl w:val="nil"/>
            </w:tcBorders>
            <w:vAlign w:val="center"/>
          </w:tcPr>
          <w:p w14:paraId="17B70C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2024年10月26日</w:t>
            </w:r>
          </w:p>
        </w:tc>
        <w:tc>
          <w:tcPr>
            <w:tcW w:w="1079" w:type="pct"/>
            <w:tcBorders>
              <w:tl2br w:val="nil"/>
              <w:tr2bl w:val="nil"/>
            </w:tcBorders>
            <w:vAlign w:val="center"/>
          </w:tcPr>
          <w:p w14:paraId="1DAEFF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P01-20240427105</w:t>
            </w:r>
          </w:p>
        </w:tc>
        <w:tc>
          <w:tcPr>
            <w:tcW w:w="506" w:type="pct"/>
            <w:vMerge w:val="continue"/>
            <w:tcBorders>
              <w:tl2br w:val="nil"/>
              <w:tr2bl w:val="nil"/>
            </w:tcBorders>
            <w:vAlign w:val="center"/>
          </w:tcPr>
          <w:p w14:paraId="0B413B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3705F2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88" w:type="pct"/>
            <w:tcBorders>
              <w:tl2br w:val="nil"/>
              <w:tr2bl w:val="nil"/>
            </w:tcBorders>
            <w:vAlign w:val="center"/>
          </w:tcPr>
          <w:p w14:paraId="229555BF">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397FB1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压力表</w:t>
            </w:r>
          </w:p>
        </w:tc>
        <w:tc>
          <w:tcPr>
            <w:tcW w:w="976" w:type="pct"/>
            <w:tcBorders>
              <w:tl2br w:val="nil"/>
              <w:tr2bl w:val="nil"/>
            </w:tcBorders>
            <w:vAlign w:val="center"/>
          </w:tcPr>
          <w:p w14:paraId="600C0D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（0~1.6）MPa</w:t>
            </w:r>
          </w:p>
        </w:tc>
        <w:tc>
          <w:tcPr>
            <w:tcW w:w="1317" w:type="pct"/>
            <w:tcBorders>
              <w:tl2br w:val="nil"/>
              <w:tr2bl w:val="nil"/>
            </w:tcBorders>
            <w:vAlign w:val="center"/>
          </w:tcPr>
          <w:p w14:paraId="5C65C7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2024年10月26日</w:t>
            </w:r>
          </w:p>
        </w:tc>
        <w:tc>
          <w:tcPr>
            <w:tcW w:w="1079" w:type="pct"/>
            <w:tcBorders>
              <w:tl2br w:val="nil"/>
              <w:tr2bl w:val="nil"/>
            </w:tcBorders>
            <w:vAlign w:val="center"/>
          </w:tcPr>
          <w:p w14:paraId="7587CC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P01-20240427105</w:t>
            </w:r>
          </w:p>
        </w:tc>
        <w:tc>
          <w:tcPr>
            <w:tcW w:w="506" w:type="pct"/>
            <w:vMerge w:val="continue"/>
            <w:tcBorders>
              <w:tl2br w:val="nil"/>
              <w:tr2bl w:val="nil"/>
            </w:tcBorders>
            <w:vAlign w:val="center"/>
          </w:tcPr>
          <w:p w14:paraId="58A8C5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51D05F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88" w:type="pct"/>
            <w:tcBorders>
              <w:tl2br w:val="nil"/>
              <w:tr2bl w:val="nil"/>
            </w:tcBorders>
            <w:vAlign w:val="center"/>
          </w:tcPr>
          <w:p w14:paraId="790636C4">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3C300C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压力表</w:t>
            </w:r>
          </w:p>
        </w:tc>
        <w:tc>
          <w:tcPr>
            <w:tcW w:w="976" w:type="pct"/>
            <w:tcBorders>
              <w:tl2br w:val="nil"/>
              <w:tr2bl w:val="nil"/>
            </w:tcBorders>
            <w:vAlign w:val="center"/>
          </w:tcPr>
          <w:p w14:paraId="29B5C1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（0~1.6）MPa</w:t>
            </w:r>
          </w:p>
        </w:tc>
        <w:tc>
          <w:tcPr>
            <w:tcW w:w="1317" w:type="pct"/>
            <w:tcBorders>
              <w:tl2br w:val="nil"/>
              <w:tr2bl w:val="nil"/>
            </w:tcBorders>
            <w:vAlign w:val="center"/>
          </w:tcPr>
          <w:p w14:paraId="1A9B85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2024年10月26日</w:t>
            </w:r>
          </w:p>
        </w:tc>
        <w:tc>
          <w:tcPr>
            <w:tcW w:w="1079" w:type="pct"/>
            <w:tcBorders>
              <w:tl2br w:val="nil"/>
              <w:tr2bl w:val="nil"/>
            </w:tcBorders>
            <w:vAlign w:val="center"/>
          </w:tcPr>
          <w:p w14:paraId="4AB8AE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P01-20240427106</w:t>
            </w:r>
          </w:p>
        </w:tc>
        <w:tc>
          <w:tcPr>
            <w:tcW w:w="506" w:type="pct"/>
            <w:vMerge w:val="continue"/>
            <w:tcBorders>
              <w:tl2br w:val="nil"/>
              <w:tr2bl w:val="nil"/>
            </w:tcBorders>
            <w:vAlign w:val="center"/>
          </w:tcPr>
          <w:p w14:paraId="542A5B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1CEAA4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88" w:type="pct"/>
            <w:tcBorders>
              <w:tl2br w:val="nil"/>
              <w:tr2bl w:val="nil"/>
            </w:tcBorders>
            <w:vAlign w:val="center"/>
          </w:tcPr>
          <w:p w14:paraId="7C329ADC">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60CD86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压力表</w:t>
            </w:r>
          </w:p>
        </w:tc>
        <w:tc>
          <w:tcPr>
            <w:tcW w:w="976" w:type="pct"/>
            <w:tcBorders>
              <w:tl2br w:val="nil"/>
              <w:tr2bl w:val="nil"/>
            </w:tcBorders>
            <w:vAlign w:val="center"/>
          </w:tcPr>
          <w:p w14:paraId="6EAEE3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（0~1.6）MPa</w:t>
            </w:r>
          </w:p>
        </w:tc>
        <w:tc>
          <w:tcPr>
            <w:tcW w:w="1317" w:type="pct"/>
            <w:tcBorders>
              <w:tl2br w:val="nil"/>
              <w:tr2bl w:val="nil"/>
            </w:tcBorders>
            <w:vAlign w:val="center"/>
          </w:tcPr>
          <w:p w14:paraId="46AC1C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2024年10月26日</w:t>
            </w:r>
          </w:p>
        </w:tc>
        <w:tc>
          <w:tcPr>
            <w:tcW w:w="1079" w:type="pct"/>
            <w:tcBorders>
              <w:tl2br w:val="nil"/>
              <w:tr2bl w:val="nil"/>
            </w:tcBorders>
            <w:vAlign w:val="center"/>
          </w:tcPr>
          <w:p w14:paraId="4A26CB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P01-20240427107</w:t>
            </w:r>
          </w:p>
        </w:tc>
        <w:tc>
          <w:tcPr>
            <w:tcW w:w="506" w:type="pct"/>
            <w:vMerge w:val="continue"/>
            <w:tcBorders>
              <w:tl2br w:val="nil"/>
              <w:tr2bl w:val="nil"/>
            </w:tcBorders>
            <w:vAlign w:val="center"/>
          </w:tcPr>
          <w:p w14:paraId="1C4307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66B34F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88" w:type="pct"/>
            <w:tcBorders>
              <w:tl2br w:val="nil"/>
              <w:tr2bl w:val="nil"/>
            </w:tcBorders>
            <w:vAlign w:val="center"/>
          </w:tcPr>
          <w:p w14:paraId="4A080C67">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76A63D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压力表</w:t>
            </w:r>
          </w:p>
        </w:tc>
        <w:tc>
          <w:tcPr>
            <w:tcW w:w="976" w:type="pct"/>
            <w:tcBorders>
              <w:tl2br w:val="nil"/>
              <w:tr2bl w:val="nil"/>
            </w:tcBorders>
            <w:vAlign w:val="center"/>
          </w:tcPr>
          <w:p w14:paraId="55AAEA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（0~1.6）MPa</w:t>
            </w:r>
          </w:p>
        </w:tc>
        <w:tc>
          <w:tcPr>
            <w:tcW w:w="1317" w:type="pct"/>
            <w:tcBorders>
              <w:tl2br w:val="nil"/>
              <w:tr2bl w:val="nil"/>
            </w:tcBorders>
            <w:vAlign w:val="center"/>
          </w:tcPr>
          <w:p w14:paraId="5C5EC7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2024年10月26日</w:t>
            </w:r>
          </w:p>
        </w:tc>
        <w:tc>
          <w:tcPr>
            <w:tcW w:w="1079" w:type="pct"/>
            <w:tcBorders>
              <w:tl2br w:val="nil"/>
              <w:tr2bl w:val="nil"/>
            </w:tcBorders>
            <w:vAlign w:val="center"/>
          </w:tcPr>
          <w:p w14:paraId="6D8496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P01-20240427108</w:t>
            </w:r>
          </w:p>
        </w:tc>
        <w:tc>
          <w:tcPr>
            <w:tcW w:w="506" w:type="pct"/>
            <w:vMerge w:val="continue"/>
            <w:tcBorders>
              <w:tl2br w:val="nil"/>
              <w:tr2bl w:val="nil"/>
            </w:tcBorders>
            <w:vAlign w:val="center"/>
          </w:tcPr>
          <w:p w14:paraId="0EAEE5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2C2BF1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388" w:type="pct"/>
            <w:tcBorders>
              <w:tl2br w:val="nil"/>
              <w:tr2bl w:val="nil"/>
            </w:tcBorders>
            <w:vAlign w:val="center"/>
          </w:tcPr>
          <w:p w14:paraId="205EF625">
            <w:pPr>
              <w:keepNext w:val="0"/>
              <w:keepLines w:val="0"/>
              <w:pageBreakBefore w:val="0"/>
              <w:widowControl w:val="0"/>
              <w:numPr>
                <w:ilvl w:val="0"/>
                <w:numId w:val="22"/>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7E6280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压力表</w:t>
            </w:r>
          </w:p>
        </w:tc>
        <w:tc>
          <w:tcPr>
            <w:tcW w:w="976" w:type="pct"/>
            <w:tcBorders>
              <w:tl2br w:val="nil"/>
              <w:tr2bl w:val="nil"/>
            </w:tcBorders>
            <w:vAlign w:val="center"/>
          </w:tcPr>
          <w:p w14:paraId="52653B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（0~1.6）MPa</w:t>
            </w:r>
          </w:p>
        </w:tc>
        <w:tc>
          <w:tcPr>
            <w:tcW w:w="1317" w:type="pct"/>
            <w:tcBorders>
              <w:tl2br w:val="nil"/>
              <w:tr2bl w:val="nil"/>
            </w:tcBorders>
            <w:vAlign w:val="center"/>
          </w:tcPr>
          <w:p w14:paraId="2C59DE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2024年10月26日</w:t>
            </w:r>
          </w:p>
        </w:tc>
        <w:tc>
          <w:tcPr>
            <w:tcW w:w="1079" w:type="pct"/>
            <w:tcBorders>
              <w:tl2br w:val="nil"/>
              <w:tr2bl w:val="nil"/>
            </w:tcBorders>
            <w:vAlign w:val="center"/>
          </w:tcPr>
          <w:p w14:paraId="5BC57B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P01-20240427109</w:t>
            </w:r>
          </w:p>
        </w:tc>
        <w:tc>
          <w:tcPr>
            <w:tcW w:w="506" w:type="pct"/>
            <w:vMerge w:val="continue"/>
            <w:tcBorders>
              <w:tl2br w:val="nil"/>
              <w:tr2bl w:val="nil"/>
            </w:tcBorders>
            <w:vAlign w:val="center"/>
          </w:tcPr>
          <w:p w14:paraId="6592F4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bl>
    <w:p w14:paraId="7ACCF8E4">
      <w:pPr>
        <w:keepNext w:val="0"/>
        <w:keepLines w:val="0"/>
        <w:pageBreakBefore w:val="0"/>
        <w:widowControl w:val="0"/>
        <w:kinsoku/>
        <w:bidi w:val="0"/>
        <w:ind w:left="0" w:leftChars="0" w:right="0" w:rightChars="0" w:firstLine="0" w:firstLineChars="0"/>
        <w:jc w:val="center"/>
        <w:rPr>
          <w:rFonts w:ascii="宋体" w:hAnsi="宋体" w:eastAsia="宋体" w:cs="宋体"/>
          <w:b/>
          <w:bCs/>
          <w:kern w:val="2"/>
          <w:sz w:val="24"/>
          <w:szCs w:val="24"/>
          <w:lang w:val="en-US" w:eastAsia="zh-CN" w:bidi="ar-SA"/>
        </w:rPr>
      </w:pPr>
      <w:r>
        <w:rPr>
          <w:rStyle w:val="87"/>
        </w:rPr>
        <w:t xml:space="preserve">表 </w:t>
      </w:r>
      <w:r>
        <w:rPr>
          <w:rStyle w:val="87"/>
        </w:rPr>
        <w:fldChar w:fldCharType="begin"/>
      </w:r>
      <w:r>
        <w:rPr>
          <w:rStyle w:val="87"/>
        </w:rPr>
        <w:instrText xml:space="preserve"> STYLEREF 1 \s </w:instrText>
      </w:r>
      <w:r>
        <w:rPr>
          <w:rStyle w:val="87"/>
        </w:rPr>
        <w:fldChar w:fldCharType="separate"/>
      </w:r>
      <w:r>
        <w:rPr>
          <w:rStyle w:val="87"/>
        </w:rPr>
        <w:t>2</w:t>
      </w:r>
      <w:r>
        <w:rPr>
          <w:rStyle w:val="87"/>
        </w:rPr>
        <w:fldChar w:fldCharType="end"/>
      </w:r>
      <w:r>
        <w:rPr>
          <w:rStyle w:val="87"/>
          <w:rFonts w:hint="eastAsia"/>
          <w:lang w:eastAsia="zh-CN"/>
        </w:rPr>
        <w:t>-</w:t>
      </w:r>
      <w:r>
        <w:rPr>
          <w:rStyle w:val="87"/>
        </w:rPr>
        <w:fldChar w:fldCharType="begin"/>
      </w:r>
      <w:r>
        <w:rPr>
          <w:rStyle w:val="87"/>
        </w:rPr>
        <w:instrText xml:space="preserve"> SEQ 表 \* ARABIC \s 1 </w:instrText>
      </w:r>
      <w:r>
        <w:rPr>
          <w:rStyle w:val="87"/>
        </w:rPr>
        <w:fldChar w:fldCharType="separate"/>
      </w:r>
      <w:r>
        <w:rPr>
          <w:rStyle w:val="87"/>
        </w:rPr>
        <w:t>13</w:t>
      </w:r>
      <w:r>
        <w:rPr>
          <w:rStyle w:val="87"/>
        </w:rPr>
        <w:fldChar w:fldCharType="end"/>
      </w:r>
      <w:r>
        <w:rPr>
          <w:rStyle w:val="87"/>
          <w:rFonts w:hint="eastAsia"/>
          <w:lang w:val="en-US" w:eastAsia="zh-CN"/>
        </w:rPr>
        <w:t>安全阀</w:t>
      </w:r>
      <w:r>
        <w:rPr>
          <w:rFonts w:hint="eastAsia"/>
          <w:b/>
          <w:bCs/>
          <w:sz w:val="24"/>
          <w:szCs w:val="24"/>
          <w:lang w:val="en-US" w:eastAsia="zh-CN"/>
        </w:rPr>
        <w:t>检验</w:t>
      </w:r>
      <w:r>
        <w:rPr>
          <w:rFonts w:hint="eastAsia" w:cs="宋体"/>
          <w:b/>
          <w:bCs/>
          <w:kern w:val="2"/>
          <w:sz w:val="24"/>
          <w:szCs w:val="24"/>
          <w:lang w:val="en-US" w:eastAsia="zh-CN" w:bidi="ar-SA"/>
        </w:rPr>
        <w:t>情况</w:t>
      </w:r>
      <w:r>
        <w:rPr>
          <w:rFonts w:ascii="宋体" w:hAnsi="宋体" w:eastAsia="宋体" w:cs="宋体"/>
          <w:b/>
          <w:bCs/>
          <w:kern w:val="2"/>
          <w:sz w:val="24"/>
          <w:szCs w:val="24"/>
          <w:lang w:val="en-US" w:eastAsia="zh-CN" w:bidi="ar-SA"/>
        </w:rPr>
        <w:t>一览表</w:t>
      </w:r>
    </w:p>
    <w:tbl>
      <w:tblPr>
        <w:tblStyle w:val="32"/>
        <w:tblW w:w="500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05"/>
        <w:gridCol w:w="2077"/>
        <w:gridCol w:w="2773"/>
        <w:gridCol w:w="3737"/>
        <w:gridCol w:w="3066"/>
        <w:gridCol w:w="1439"/>
      </w:tblGrid>
      <w:tr w14:paraId="53CA01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8" w:hRule="atLeast"/>
          <w:tblHeader/>
          <w:jc w:val="center"/>
        </w:trPr>
        <w:tc>
          <w:tcPr>
            <w:tcW w:w="389" w:type="pct"/>
            <w:tcBorders>
              <w:tl2br w:val="nil"/>
              <w:tr2bl w:val="nil"/>
            </w:tcBorders>
            <w:vAlign w:val="center"/>
          </w:tcPr>
          <w:p w14:paraId="101B04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731" w:type="pct"/>
            <w:tcBorders>
              <w:tl2br w:val="nil"/>
              <w:tr2bl w:val="nil"/>
            </w:tcBorders>
            <w:vAlign w:val="center"/>
          </w:tcPr>
          <w:p w14:paraId="33A612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名称</w:t>
            </w:r>
          </w:p>
        </w:tc>
        <w:tc>
          <w:tcPr>
            <w:tcW w:w="976" w:type="pct"/>
            <w:tcBorders>
              <w:tl2br w:val="nil"/>
              <w:tr2bl w:val="nil"/>
            </w:tcBorders>
            <w:vAlign w:val="center"/>
          </w:tcPr>
          <w:p w14:paraId="169997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规格及型号</w:t>
            </w:r>
          </w:p>
        </w:tc>
        <w:tc>
          <w:tcPr>
            <w:tcW w:w="1315" w:type="pct"/>
            <w:tcBorders>
              <w:tl2br w:val="nil"/>
              <w:tr2bl w:val="nil"/>
            </w:tcBorders>
            <w:vAlign w:val="center"/>
          </w:tcPr>
          <w:p w14:paraId="6621F9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下次检定、校验时间</w:t>
            </w:r>
          </w:p>
        </w:tc>
        <w:tc>
          <w:tcPr>
            <w:tcW w:w="1079" w:type="pct"/>
            <w:tcBorders>
              <w:tl2br w:val="nil"/>
              <w:tr2bl w:val="nil"/>
            </w:tcBorders>
            <w:vAlign w:val="center"/>
          </w:tcPr>
          <w:p w14:paraId="47C2F7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检定编号</w:t>
            </w:r>
          </w:p>
        </w:tc>
        <w:tc>
          <w:tcPr>
            <w:tcW w:w="506" w:type="pct"/>
            <w:tcBorders>
              <w:tl2br w:val="nil"/>
              <w:tr2bl w:val="nil"/>
            </w:tcBorders>
            <w:vAlign w:val="center"/>
          </w:tcPr>
          <w:p w14:paraId="6D23E7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校验单位</w:t>
            </w:r>
          </w:p>
        </w:tc>
      </w:tr>
      <w:tr w14:paraId="0F93D4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atLeast"/>
          <w:tblHeader/>
          <w:jc w:val="center"/>
        </w:trPr>
        <w:tc>
          <w:tcPr>
            <w:tcW w:w="389" w:type="pct"/>
            <w:tcBorders>
              <w:tl2br w:val="nil"/>
              <w:tr2bl w:val="nil"/>
            </w:tcBorders>
            <w:vAlign w:val="center"/>
          </w:tcPr>
          <w:p w14:paraId="61C34B07">
            <w:pPr>
              <w:keepNext w:val="0"/>
              <w:keepLines w:val="0"/>
              <w:pageBreakBefore w:val="0"/>
              <w:widowControl w:val="0"/>
              <w:numPr>
                <w:ilvl w:val="0"/>
                <w:numId w:val="23"/>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7E5453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 w:val="21"/>
                <w:szCs w:val="21"/>
                <w:lang w:val="en-US" w:eastAsia="zh-CN"/>
              </w:rPr>
              <w:t>弹簧式安全阀</w:t>
            </w:r>
          </w:p>
        </w:tc>
        <w:tc>
          <w:tcPr>
            <w:tcW w:w="976" w:type="pct"/>
            <w:tcBorders>
              <w:tl2br w:val="nil"/>
              <w:tr2bl w:val="nil"/>
            </w:tcBorders>
            <w:vAlign w:val="center"/>
          </w:tcPr>
          <w:p w14:paraId="4A0F19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lang w:val="en-US" w:eastAsia="zh-CN"/>
              </w:rPr>
              <w:t>A27W-10T/DN25</w:t>
            </w:r>
          </w:p>
        </w:tc>
        <w:tc>
          <w:tcPr>
            <w:tcW w:w="1315" w:type="pct"/>
            <w:tcBorders>
              <w:tl2br w:val="nil"/>
              <w:tr2bl w:val="nil"/>
            </w:tcBorders>
            <w:vAlign w:val="center"/>
          </w:tcPr>
          <w:p w14:paraId="44896E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lang w:val="en-US" w:eastAsia="zh-CN"/>
              </w:rPr>
              <w:t>2025年04月27日</w:t>
            </w:r>
          </w:p>
        </w:tc>
        <w:tc>
          <w:tcPr>
            <w:tcW w:w="1079" w:type="pct"/>
            <w:tcBorders>
              <w:tl2br w:val="nil"/>
              <w:tr2bl w:val="nil"/>
            </w:tcBorders>
            <w:vAlign w:val="center"/>
          </w:tcPr>
          <w:p w14:paraId="13F828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kern w:val="2"/>
                <w:sz w:val="21"/>
                <w:szCs w:val="21"/>
                <w:lang w:val="en-US" w:eastAsia="zh-CN" w:bidi="ar-SA"/>
              </w:rPr>
            </w:pPr>
            <w:r>
              <w:rPr>
                <w:rFonts w:hint="eastAsia" w:ascii="宋体" w:hAnsi="宋体" w:cs="宋体"/>
                <w:color w:val="000000"/>
                <w:sz w:val="21"/>
                <w:szCs w:val="21"/>
                <w:lang w:val="en-US" w:eastAsia="zh-CN"/>
              </w:rPr>
              <w:t>20240427001</w:t>
            </w:r>
          </w:p>
        </w:tc>
        <w:tc>
          <w:tcPr>
            <w:tcW w:w="506" w:type="pct"/>
            <w:vMerge w:val="restart"/>
            <w:tcBorders>
              <w:tl2br w:val="nil"/>
              <w:tr2bl w:val="nil"/>
            </w:tcBorders>
            <w:vAlign w:val="center"/>
          </w:tcPr>
          <w:p w14:paraId="7A7448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安锋设备检测（云南）有限公司</w:t>
            </w:r>
          </w:p>
        </w:tc>
      </w:tr>
      <w:tr w14:paraId="28BD2E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atLeast"/>
          <w:tblHeader/>
          <w:jc w:val="center"/>
        </w:trPr>
        <w:tc>
          <w:tcPr>
            <w:tcW w:w="389" w:type="pct"/>
            <w:tcBorders>
              <w:tl2br w:val="nil"/>
              <w:tr2bl w:val="nil"/>
            </w:tcBorders>
            <w:vAlign w:val="center"/>
          </w:tcPr>
          <w:p w14:paraId="5170C96A">
            <w:pPr>
              <w:keepNext w:val="0"/>
              <w:keepLines w:val="0"/>
              <w:pageBreakBefore w:val="0"/>
              <w:widowControl w:val="0"/>
              <w:numPr>
                <w:ilvl w:val="0"/>
                <w:numId w:val="23"/>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default" w:ascii="宋体" w:hAnsi="宋体" w:eastAsia="宋体" w:cs="宋体"/>
                <w:color w:val="auto"/>
                <w:sz w:val="21"/>
                <w:szCs w:val="21"/>
                <w:highlight w:val="none"/>
                <w:lang w:val="en-US" w:eastAsia="zh-CN"/>
              </w:rPr>
            </w:pPr>
          </w:p>
        </w:tc>
        <w:tc>
          <w:tcPr>
            <w:tcW w:w="731" w:type="pct"/>
            <w:tcBorders>
              <w:tl2br w:val="nil"/>
              <w:tr2bl w:val="nil"/>
            </w:tcBorders>
            <w:vAlign w:val="center"/>
          </w:tcPr>
          <w:p w14:paraId="39F960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kern w:val="0"/>
                <w:sz w:val="21"/>
                <w:szCs w:val="21"/>
                <w:lang w:val="en-US" w:eastAsia="zh-CN" w:bidi="ar-SA"/>
              </w:rPr>
            </w:pPr>
            <w:r>
              <w:rPr>
                <w:rFonts w:hint="eastAsia" w:ascii="宋体" w:hAnsi="宋体" w:cs="宋体"/>
                <w:color w:val="000000"/>
                <w:kern w:val="0"/>
                <w:sz w:val="21"/>
                <w:szCs w:val="21"/>
                <w:lang w:val="en-US" w:eastAsia="zh-CN"/>
              </w:rPr>
              <w:t>弹簧式安全阀</w:t>
            </w:r>
          </w:p>
        </w:tc>
        <w:tc>
          <w:tcPr>
            <w:tcW w:w="976" w:type="pct"/>
            <w:tcBorders>
              <w:tl2br w:val="nil"/>
              <w:tr2bl w:val="nil"/>
            </w:tcBorders>
            <w:vAlign w:val="center"/>
          </w:tcPr>
          <w:p w14:paraId="356C3B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lang w:val="en-US" w:eastAsia="zh-CN"/>
              </w:rPr>
              <w:t>A228H-16/DN80</w:t>
            </w:r>
          </w:p>
        </w:tc>
        <w:tc>
          <w:tcPr>
            <w:tcW w:w="1315" w:type="pct"/>
            <w:tcBorders>
              <w:tl2br w:val="nil"/>
              <w:tr2bl w:val="nil"/>
            </w:tcBorders>
            <w:vAlign w:val="center"/>
          </w:tcPr>
          <w:p w14:paraId="31314D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lang w:val="en-US" w:eastAsia="zh-CN"/>
              </w:rPr>
              <w:t>2025年05月12日</w:t>
            </w:r>
          </w:p>
        </w:tc>
        <w:tc>
          <w:tcPr>
            <w:tcW w:w="1079" w:type="pct"/>
            <w:tcBorders>
              <w:tl2br w:val="nil"/>
              <w:tr2bl w:val="nil"/>
            </w:tcBorders>
            <w:vAlign w:val="center"/>
          </w:tcPr>
          <w:p w14:paraId="0E40CF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lang w:val="en-US" w:eastAsia="zh-CN"/>
              </w:rPr>
              <w:t>20240427002</w:t>
            </w:r>
          </w:p>
        </w:tc>
        <w:tc>
          <w:tcPr>
            <w:tcW w:w="506" w:type="pct"/>
            <w:vMerge w:val="continue"/>
            <w:tcBorders>
              <w:tl2br w:val="nil"/>
              <w:tr2bl w:val="nil"/>
            </w:tcBorders>
            <w:vAlign w:val="center"/>
          </w:tcPr>
          <w:p w14:paraId="6232F0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4217E7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atLeast"/>
          <w:tblHeader/>
          <w:jc w:val="center"/>
        </w:trPr>
        <w:tc>
          <w:tcPr>
            <w:tcW w:w="389" w:type="pct"/>
            <w:tcBorders>
              <w:tl2br w:val="nil"/>
              <w:tr2bl w:val="nil"/>
            </w:tcBorders>
            <w:vAlign w:val="center"/>
          </w:tcPr>
          <w:p w14:paraId="796F1355">
            <w:pPr>
              <w:keepNext w:val="0"/>
              <w:keepLines w:val="0"/>
              <w:pageBreakBefore w:val="0"/>
              <w:widowControl w:val="0"/>
              <w:numPr>
                <w:ilvl w:val="0"/>
                <w:numId w:val="23"/>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4A067F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kern w:val="0"/>
                <w:sz w:val="21"/>
                <w:szCs w:val="21"/>
                <w:lang w:val="en-US" w:eastAsia="zh-CN" w:bidi="ar-SA"/>
              </w:rPr>
            </w:pPr>
            <w:r>
              <w:rPr>
                <w:rFonts w:hint="eastAsia" w:ascii="宋体" w:hAnsi="宋体" w:cs="宋体"/>
                <w:color w:val="000000"/>
                <w:kern w:val="0"/>
                <w:sz w:val="21"/>
                <w:szCs w:val="21"/>
                <w:lang w:val="en-US" w:eastAsia="zh-CN"/>
              </w:rPr>
              <w:t>弹簧式安全阀</w:t>
            </w:r>
          </w:p>
        </w:tc>
        <w:tc>
          <w:tcPr>
            <w:tcW w:w="976" w:type="pct"/>
            <w:tcBorders>
              <w:tl2br w:val="nil"/>
              <w:tr2bl w:val="nil"/>
            </w:tcBorders>
            <w:vAlign w:val="center"/>
          </w:tcPr>
          <w:p w14:paraId="45F297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lang w:val="en-US" w:eastAsia="zh-CN"/>
              </w:rPr>
              <w:t>A228H-16/DN80</w:t>
            </w:r>
          </w:p>
        </w:tc>
        <w:tc>
          <w:tcPr>
            <w:tcW w:w="1315" w:type="pct"/>
            <w:tcBorders>
              <w:tl2br w:val="nil"/>
              <w:tr2bl w:val="nil"/>
            </w:tcBorders>
            <w:vAlign w:val="center"/>
          </w:tcPr>
          <w:p w14:paraId="20DF26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kern w:val="2"/>
                <w:sz w:val="21"/>
                <w:szCs w:val="21"/>
                <w:lang w:val="en-US" w:eastAsia="zh-CN" w:bidi="ar-SA"/>
              </w:rPr>
            </w:pPr>
            <w:r>
              <w:rPr>
                <w:rFonts w:hint="eastAsia" w:ascii="宋体" w:hAnsi="宋体" w:cs="宋体"/>
                <w:color w:val="000000"/>
                <w:sz w:val="21"/>
                <w:szCs w:val="21"/>
                <w:lang w:val="en-US" w:eastAsia="zh-CN"/>
              </w:rPr>
              <w:t>2025年05月12日</w:t>
            </w:r>
          </w:p>
        </w:tc>
        <w:tc>
          <w:tcPr>
            <w:tcW w:w="1079" w:type="pct"/>
            <w:tcBorders>
              <w:tl2br w:val="nil"/>
              <w:tr2bl w:val="nil"/>
            </w:tcBorders>
            <w:vAlign w:val="center"/>
          </w:tcPr>
          <w:p w14:paraId="3CB443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kern w:val="2"/>
                <w:sz w:val="21"/>
                <w:szCs w:val="21"/>
                <w:lang w:val="en-US" w:eastAsia="zh-CN" w:bidi="ar-SA"/>
              </w:rPr>
            </w:pPr>
            <w:r>
              <w:rPr>
                <w:rFonts w:hint="eastAsia" w:ascii="宋体" w:hAnsi="宋体" w:cs="宋体"/>
                <w:color w:val="000000"/>
                <w:sz w:val="21"/>
                <w:szCs w:val="21"/>
                <w:lang w:val="en-US" w:eastAsia="zh-CN"/>
              </w:rPr>
              <w:t>20240427003</w:t>
            </w:r>
          </w:p>
        </w:tc>
        <w:tc>
          <w:tcPr>
            <w:tcW w:w="506" w:type="pct"/>
            <w:vMerge w:val="continue"/>
            <w:tcBorders>
              <w:tl2br w:val="nil"/>
              <w:tr2bl w:val="nil"/>
            </w:tcBorders>
            <w:vAlign w:val="center"/>
          </w:tcPr>
          <w:p w14:paraId="20792B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tr w14:paraId="3A93F1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atLeast"/>
          <w:tblHeader/>
          <w:jc w:val="center"/>
        </w:trPr>
        <w:tc>
          <w:tcPr>
            <w:tcW w:w="389" w:type="pct"/>
            <w:tcBorders>
              <w:tl2br w:val="nil"/>
              <w:tr2bl w:val="nil"/>
            </w:tcBorders>
            <w:vAlign w:val="center"/>
          </w:tcPr>
          <w:p w14:paraId="7FD74811">
            <w:pPr>
              <w:keepNext w:val="0"/>
              <w:keepLines w:val="0"/>
              <w:pageBreakBefore w:val="0"/>
              <w:widowControl w:val="0"/>
              <w:numPr>
                <w:ilvl w:val="0"/>
                <w:numId w:val="23"/>
              </w:numPr>
              <w:suppressLineNumbers w:val="0"/>
              <w:kinsoku/>
              <w:wordWrap/>
              <w:topLinePunct w:val="0"/>
              <w:bidi w:val="0"/>
              <w:adjustRightInd/>
              <w:snapToGrid/>
              <w:spacing w:before="0" w:beforeAutospacing="0" w:after="0" w:afterAutospacing="0" w:line="300" w:lineRule="exact"/>
              <w:ind w:left="454" w:leftChars="0" w:right="0" w:rightChars="0" w:hanging="454" w:firstLineChars="0"/>
              <w:jc w:val="center"/>
              <w:rPr>
                <w:rFonts w:hint="eastAsia" w:ascii="宋体" w:hAnsi="宋体" w:eastAsia="宋体" w:cs="宋体"/>
                <w:color w:val="auto"/>
                <w:sz w:val="21"/>
                <w:szCs w:val="21"/>
                <w:highlight w:val="none"/>
                <w:lang w:val="en-US" w:eastAsia="zh-CN"/>
              </w:rPr>
            </w:pPr>
          </w:p>
        </w:tc>
        <w:tc>
          <w:tcPr>
            <w:tcW w:w="731" w:type="pct"/>
            <w:tcBorders>
              <w:tl2br w:val="nil"/>
              <w:tr2bl w:val="nil"/>
            </w:tcBorders>
            <w:vAlign w:val="center"/>
          </w:tcPr>
          <w:p w14:paraId="504F11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kern w:val="0"/>
                <w:sz w:val="21"/>
                <w:szCs w:val="21"/>
                <w:lang w:val="en-US" w:eastAsia="zh-CN" w:bidi="ar-SA"/>
              </w:rPr>
            </w:pPr>
            <w:r>
              <w:rPr>
                <w:rFonts w:hint="eastAsia" w:ascii="宋体" w:hAnsi="宋体" w:cs="宋体"/>
                <w:color w:val="000000"/>
                <w:kern w:val="0"/>
                <w:sz w:val="21"/>
                <w:szCs w:val="21"/>
                <w:lang w:val="en-US" w:eastAsia="zh-CN"/>
              </w:rPr>
              <w:t>弹簧式安全阀</w:t>
            </w:r>
          </w:p>
        </w:tc>
        <w:tc>
          <w:tcPr>
            <w:tcW w:w="976" w:type="pct"/>
            <w:tcBorders>
              <w:tl2br w:val="nil"/>
              <w:tr2bl w:val="nil"/>
            </w:tcBorders>
            <w:vAlign w:val="center"/>
          </w:tcPr>
          <w:p w14:paraId="09CACE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kern w:val="2"/>
                <w:sz w:val="21"/>
                <w:szCs w:val="21"/>
                <w:lang w:val="en-US" w:eastAsia="zh-CN" w:bidi="ar-SA"/>
              </w:rPr>
            </w:pPr>
            <w:r>
              <w:rPr>
                <w:rFonts w:hint="eastAsia" w:ascii="宋体" w:hAnsi="宋体" w:cs="宋体"/>
                <w:color w:val="000000"/>
                <w:sz w:val="21"/>
                <w:szCs w:val="21"/>
                <w:lang w:val="en-US" w:eastAsia="zh-CN"/>
              </w:rPr>
              <w:t>A27W-10T/DN25</w:t>
            </w:r>
          </w:p>
        </w:tc>
        <w:tc>
          <w:tcPr>
            <w:tcW w:w="1315" w:type="pct"/>
            <w:tcBorders>
              <w:tl2br w:val="nil"/>
              <w:tr2bl w:val="nil"/>
            </w:tcBorders>
            <w:vAlign w:val="center"/>
          </w:tcPr>
          <w:p w14:paraId="533AAF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lang w:val="en-US" w:eastAsia="zh-CN"/>
              </w:rPr>
              <w:t>2025年05月12日</w:t>
            </w:r>
          </w:p>
        </w:tc>
        <w:tc>
          <w:tcPr>
            <w:tcW w:w="1079" w:type="pct"/>
            <w:tcBorders>
              <w:tl2br w:val="nil"/>
              <w:tr2bl w:val="nil"/>
            </w:tcBorders>
            <w:vAlign w:val="center"/>
          </w:tcPr>
          <w:p w14:paraId="411F46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kern w:val="2"/>
                <w:sz w:val="21"/>
                <w:szCs w:val="21"/>
                <w:lang w:val="en-US" w:eastAsia="zh-CN" w:bidi="ar-SA"/>
              </w:rPr>
            </w:pPr>
            <w:r>
              <w:rPr>
                <w:rFonts w:hint="eastAsia" w:ascii="宋体" w:hAnsi="宋体" w:cs="宋体"/>
                <w:color w:val="000000"/>
                <w:sz w:val="21"/>
                <w:szCs w:val="21"/>
                <w:lang w:val="en-US" w:eastAsia="zh-CN"/>
              </w:rPr>
              <w:t>20240427004</w:t>
            </w:r>
          </w:p>
        </w:tc>
        <w:tc>
          <w:tcPr>
            <w:tcW w:w="506" w:type="pct"/>
            <w:vMerge w:val="continue"/>
            <w:tcBorders>
              <w:tl2br w:val="nil"/>
              <w:tr2bl w:val="nil"/>
            </w:tcBorders>
            <w:vAlign w:val="center"/>
          </w:tcPr>
          <w:p w14:paraId="1E4085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p>
        </w:tc>
      </w:tr>
      <w:bookmarkEnd w:id="347"/>
      <w:bookmarkEnd w:id="348"/>
      <w:bookmarkEnd w:id="349"/>
    </w:tbl>
    <w:p w14:paraId="48CFD767">
      <w:pPr>
        <w:bidi w:val="0"/>
        <w:rPr>
          <w:rFonts w:hint="eastAsia"/>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lang w:val="en-US" w:eastAsia="zh-CN"/>
        </w:rPr>
        <w:t>项目安全阀检验情况见附件18.安全阀校验记录。</w:t>
      </w:r>
    </w:p>
    <w:p w14:paraId="35330A25">
      <w:pPr>
        <w:pStyle w:val="3"/>
        <w:keepNext w:val="0"/>
        <w:keepLines w:val="0"/>
        <w:pageBreakBefore w:val="0"/>
        <w:widowControl w:val="0"/>
        <w:kinsoku/>
        <w:bidi w:val="0"/>
        <w:rPr>
          <w:rFonts w:hint="eastAsia"/>
          <w:lang w:val="en-US" w:eastAsia="zh-CN"/>
        </w:rPr>
      </w:pPr>
      <w:bookmarkStart w:id="371" w:name="_Toc72"/>
      <w:r>
        <w:rPr>
          <w:rFonts w:hint="eastAsia"/>
          <w:lang w:val="en-US" w:eastAsia="zh-CN"/>
        </w:rPr>
        <w:t>公用工程和辅助设施</w:t>
      </w:r>
      <w:bookmarkEnd w:id="363"/>
      <w:bookmarkEnd w:id="364"/>
      <w:bookmarkEnd w:id="365"/>
      <w:bookmarkEnd w:id="366"/>
      <w:bookmarkEnd w:id="367"/>
      <w:bookmarkEnd w:id="368"/>
      <w:bookmarkEnd w:id="369"/>
      <w:bookmarkEnd w:id="371"/>
    </w:p>
    <w:p w14:paraId="18920C6A">
      <w:pPr>
        <w:pStyle w:val="4"/>
        <w:keepNext w:val="0"/>
        <w:keepLines w:val="0"/>
        <w:pageBreakBefore w:val="0"/>
        <w:widowControl w:val="0"/>
        <w:tabs>
          <w:tab w:val="left" w:pos="2804"/>
        </w:tabs>
        <w:kinsoku/>
        <w:bidi w:val="0"/>
        <w:rPr>
          <w:lang w:val="en-US" w:eastAsia="zh-CN"/>
        </w:rPr>
      </w:pPr>
      <w:bookmarkStart w:id="372" w:name="_Toc55567372"/>
      <w:bookmarkStart w:id="373" w:name="_Toc19177047"/>
      <w:bookmarkStart w:id="374" w:name="_Toc21430"/>
      <w:bookmarkStart w:id="375" w:name="_Toc55033312"/>
      <w:bookmarkStart w:id="376" w:name="_Toc16508"/>
      <w:bookmarkStart w:id="377" w:name="_Toc22358"/>
      <w:r>
        <w:rPr>
          <w:rFonts w:hint="eastAsia"/>
          <w:lang w:val="en-US" w:eastAsia="zh-CN"/>
        </w:rPr>
        <w:t>供配电</w:t>
      </w:r>
      <w:bookmarkEnd w:id="372"/>
      <w:bookmarkEnd w:id="373"/>
      <w:bookmarkEnd w:id="374"/>
      <w:bookmarkEnd w:id="375"/>
      <w:bookmarkEnd w:id="376"/>
      <w:r>
        <w:rPr>
          <w:rFonts w:hint="eastAsia"/>
          <w:lang w:val="en-US" w:eastAsia="zh-CN"/>
        </w:rPr>
        <w:t>系统</w:t>
      </w:r>
      <w:bookmarkEnd w:id="377"/>
      <w:r>
        <w:rPr>
          <w:rFonts w:hint="eastAsia"/>
          <w:lang w:val="en-US" w:eastAsia="zh-CN"/>
        </w:rPr>
        <w:tab/>
      </w:r>
    </w:p>
    <w:p w14:paraId="32C62A9B">
      <w:pPr>
        <w:keepNext w:val="0"/>
        <w:keepLines w:val="0"/>
        <w:pageBreakBefore w:val="0"/>
        <w:widowControl w:val="0"/>
        <w:numPr>
          <w:ilvl w:val="0"/>
          <w:numId w:val="24"/>
        </w:numPr>
        <w:kinsoku/>
        <w:wordWrap/>
        <w:overflowPunct/>
        <w:topLinePunct w:val="0"/>
        <w:autoSpaceDE/>
        <w:autoSpaceDN/>
        <w:bidi w:val="0"/>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电源、电压</w:t>
      </w:r>
    </w:p>
    <w:p w14:paraId="5A5F94D0">
      <w:pPr>
        <w:keepNext w:val="0"/>
        <w:keepLines w:val="0"/>
        <w:pageBreakBefore w:val="0"/>
        <w:widowControl w:val="0"/>
        <w:kinsoku/>
        <w:wordWrap/>
        <w:overflowPunct/>
        <w:topLinePunct w:val="0"/>
        <w:autoSpaceDE/>
        <w:autoSpaceDN/>
        <w:bidi w:val="0"/>
        <w:snapToGrid/>
        <w:textAlignment w:val="auto"/>
        <w:rPr>
          <w:rFonts w:hint="eastAsia" w:ascii="宋体" w:hAnsi="宋体" w:eastAsia="宋体" w:cs="宋体"/>
          <w:lang w:val="en-US" w:eastAsia="zh-CN"/>
        </w:rPr>
      </w:pPr>
      <w:r>
        <w:rPr>
          <w:rFonts w:hint="eastAsia" w:ascii="宋体" w:hAnsi="宋体" w:eastAsia="宋体" w:cs="宋体"/>
          <w:lang w:val="en-US" w:eastAsia="zh-CN"/>
        </w:rPr>
        <w:t>本项目采用双回电源线路供电。</w:t>
      </w:r>
    </w:p>
    <w:p w14:paraId="070DB25B">
      <w:pPr>
        <w:keepNext w:val="0"/>
        <w:keepLines w:val="0"/>
        <w:pageBreakBefore w:val="0"/>
        <w:widowControl w:val="0"/>
        <w:kinsoku/>
        <w:wordWrap/>
        <w:overflowPunct/>
        <w:topLinePunct w:val="0"/>
        <w:autoSpaceDE/>
        <w:autoSpaceDN/>
        <w:bidi w:val="0"/>
        <w:snapToGrid/>
        <w:textAlignment w:val="auto"/>
        <w:rPr>
          <w:rFonts w:hint="eastAsia" w:ascii="宋体" w:hAnsi="宋体" w:eastAsia="宋体" w:cs="宋体"/>
          <w:lang w:val="en-US" w:eastAsia="zh-CN"/>
        </w:rPr>
      </w:pPr>
      <w:r>
        <w:rPr>
          <w:rFonts w:hint="eastAsia" w:ascii="宋体" w:hAnsi="宋体" w:eastAsia="宋体" w:cs="宋体"/>
          <w:lang w:val="en-US" w:eastAsia="zh-CN"/>
        </w:rPr>
        <w:t>本项目建有自用110kV变电站，经降压至35kV电压供单斜</w:t>
      </w:r>
      <w:r>
        <w:rPr>
          <w:rFonts w:hint="eastAsia" w:ascii="宋体" w:hAnsi="宋体" w:eastAsia="宋体" w:cs="宋体"/>
        </w:rPr>
        <w:t>电熔氧化锆</w:t>
      </w:r>
      <w:r>
        <w:rPr>
          <w:rFonts w:hint="eastAsia" w:ascii="宋体" w:hAnsi="宋体" w:eastAsia="宋体" w:cs="宋体"/>
          <w:lang w:val="en-US" w:eastAsia="zh-CN"/>
        </w:rPr>
        <w:t>工艺生产使用。</w:t>
      </w:r>
    </w:p>
    <w:p w14:paraId="2CEE0DE4">
      <w:pPr>
        <w:keepNext w:val="0"/>
        <w:keepLines w:val="0"/>
        <w:pageBreakBefore w:val="0"/>
        <w:widowControl w:val="0"/>
        <w:kinsoku/>
        <w:wordWrap/>
        <w:overflowPunct/>
        <w:topLinePunct w:val="0"/>
        <w:autoSpaceDE/>
        <w:autoSpaceDN/>
        <w:bidi w:val="0"/>
        <w:snapToGrid/>
        <w:textAlignment w:val="auto"/>
        <w:rPr>
          <w:rFonts w:hint="eastAsia" w:ascii="宋体" w:hAnsi="宋体" w:eastAsia="宋体" w:cs="宋体"/>
          <w:lang w:val="en-US" w:eastAsia="zh-CN"/>
        </w:rPr>
      </w:pPr>
      <w:r>
        <w:rPr>
          <w:rFonts w:hint="eastAsia" w:ascii="宋体" w:hAnsi="宋体" w:eastAsia="宋体" w:cs="宋体"/>
          <w:lang w:val="en-US" w:eastAsia="zh-CN"/>
        </w:rPr>
        <w:t>由当地羊街村委会引入的10kV供电线路为厂区保安电源，经320kVA杆上变压器降压后，</w:t>
      </w:r>
      <w:r>
        <w:rPr>
          <w:rFonts w:hint="eastAsia" w:ascii="宋体" w:hAnsi="宋体" w:eastAsia="宋体" w:cs="宋体"/>
          <w:szCs w:val="28"/>
        </w:rPr>
        <w:t>接至车间配电柜，通过架空电缆主干线和电缆桥架向生产车间控制柜供电</w:t>
      </w:r>
      <w:r>
        <w:rPr>
          <w:rFonts w:hint="eastAsia" w:ascii="宋体" w:hAnsi="宋体" w:eastAsia="宋体" w:cs="宋体"/>
          <w:lang w:val="en-US" w:eastAsia="zh-CN"/>
        </w:rPr>
        <w:t>。</w:t>
      </w:r>
    </w:p>
    <w:p w14:paraId="5EC8DC32">
      <w:pPr>
        <w:keepNext w:val="0"/>
        <w:keepLines w:val="0"/>
        <w:pageBreakBefore w:val="0"/>
        <w:widowControl w:val="0"/>
        <w:kinsoku/>
        <w:wordWrap/>
        <w:overflowPunct/>
        <w:topLinePunct w:val="0"/>
        <w:autoSpaceDE/>
        <w:autoSpaceDN/>
        <w:bidi w:val="0"/>
        <w:snapToGrid/>
        <w:textAlignment w:val="auto"/>
        <w:rPr>
          <w:rFonts w:hint="eastAsia" w:ascii="宋体" w:hAnsi="宋体" w:eastAsia="宋体" w:cs="宋体"/>
          <w:lang w:val="en-US" w:eastAsia="zh-CN"/>
        </w:rPr>
      </w:pPr>
      <w:r>
        <w:rPr>
          <w:rFonts w:hint="eastAsia" w:ascii="宋体" w:hAnsi="宋体" w:eastAsia="宋体" w:cs="宋体"/>
        </w:rPr>
        <w:t>生产区低压配电采用放射式供电方式，沿架空线路电缆</w:t>
      </w:r>
      <w:r>
        <w:rPr>
          <w:rFonts w:hint="eastAsia" w:ascii="宋体" w:hAnsi="宋体" w:eastAsia="宋体" w:cs="宋体"/>
          <w:lang w:eastAsia="zh-CN"/>
        </w:rPr>
        <w:t>桥架</w:t>
      </w:r>
      <w:r>
        <w:rPr>
          <w:rFonts w:hint="eastAsia" w:ascii="宋体" w:hAnsi="宋体" w:eastAsia="宋体" w:cs="宋体"/>
        </w:rPr>
        <w:t>进行敷设，至设备段穿钢管埋地敷设。</w:t>
      </w:r>
    </w:p>
    <w:p w14:paraId="05CD0C22">
      <w:pPr>
        <w:keepNext w:val="0"/>
        <w:keepLines w:val="0"/>
        <w:pageBreakBefore w:val="0"/>
        <w:widowControl w:val="0"/>
        <w:numPr>
          <w:ilvl w:val="0"/>
          <w:numId w:val="24"/>
        </w:numPr>
        <w:kinsoku/>
        <w:wordWrap/>
        <w:overflowPunct/>
        <w:topLinePunct w:val="0"/>
        <w:autoSpaceDE/>
        <w:autoSpaceDN/>
        <w:bidi w:val="0"/>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用电负荷分级</w:t>
      </w:r>
    </w:p>
    <w:p w14:paraId="1D961362">
      <w:pPr>
        <w:keepNext w:val="0"/>
        <w:keepLines w:val="0"/>
        <w:pageBreakBefore w:val="0"/>
        <w:widowControl w:val="0"/>
        <w:kinsoku/>
        <w:wordWrap/>
        <w:overflowPunct/>
        <w:topLinePunct w:val="0"/>
        <w:autoSpaceDE/>
        <w:autoSpaceDN/>
        <w:bidi w:val="0"/>
        <w:snapToGrid/>
        <w:textAlignment w:val="auto"/>
        <w:rPr>
          <w:rFonts w:hint="eastAsia" w:ascii="宋体" w:hAnsi="宋体" w:eastAsia="宋体" w:cs="宋体"/>
          <w:lang w:val="en-US" w:eastAsia="zh-CN"/>
        </w:rPr>
      </w:pPr>
      <w:r>
        <w:rPr>
          <w:rFonts w:hint="eastAsia" w:ascii="宋体" w:hAnsi="宋体" w:eastAsia="宋体" w:cs="宋体"/>
          <w:lang w:val="en-US" w:eastAsia="zh-CN"/>
        </w:rPr>
        <w:t>本工程用电设备装机总容量29655kW。</w:t>
      </w:r>
    </w:p>
    <w:p w14:paraId="5734BE38">
      <w:pPr>
        <w:keepNext w:val="0"/>
        <w:keepLines w:val="0"/>
        <w:pageBreakBefore w:val="0"/>
        <w:widowControl w:val="0"/>
        <w:kinsoku/>
        <w:wordWrap/>
        <w:overflowPunct/>
        <w:topLinePunct w:val="0"/>
        <w:autoSpaceDE/>
        <w:autoSpaceDN/>
        <w:bidi w:val="0"/>
        <w:snapToGrid/>
        <w:textAlignment w:val="auto"/>
        <w:rPr>
          <w:rFonts w:hint="eastAsia" w:ascii="宋体" w:hAnsi="宋体" w:eastAsia="宋体" w:cs="宋体"/>
          <w:lang w:val="en-US" w:eastAsia="zh-CN"/>
        </w:rPr>
      </w:pPr>
      <w:r>
        <w:rPr>
          <w:rFonts w:hint="eastAsia" w:ascii="宋体" w:hAnsi="宋体" w:eastAsia="宋体" w:cs="宋体"/>
          <w:lang w:val="en-US" w:eastAsia="zh-CN"/>
        </w:rPr>
        <w:t>本工程的用电负荷除电弧炉、生产循环水、消防、应急照明、报警系统、自控仪表消防为二级负荷外，其他生产和辅助设施的用电、照明等均为三级负荷。</w:t>
      </w:r>
    </w:p>
    <w:p w14:paraId="4B1D7C32">
      <w:pPr>
        <w:keepNext w:val="0"/>
        <w:keepLines w:val="0"/>
        <w:pageBreakBefore w:val="0"/>
        <w:widowControl w:val="0"/>
        <w:numPr>
          <w:ilvl w:val="0"/>
          <w:numId w:val="24"/>
        </w:numPr>
        <w:kinsoku/>
        <w:wordWrap/>
        <w:overflowPunct/>
        <w:topLinePunct w:val="0"/>
        <w:autoSpaceDE/>
        <w:autoSpaceDN/>
        <w:bidi w:val="0"/>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照明系统</w:t>
      </w:r>
    </w:p>
    <w:p w14:paraId="752D9449">
      <w:pPr>
        <w:keepNext w:val="0"/>
        <w:keepLines w:val="0"/>
        <w:pageBreakBefore w:val="0"/>
        <w:widowControl w:val="0"/>
        <w:numPr>
          <w:ilvl w:val="0"/>
          <w:numId w:val="25"/>
        </w:numPr>
        <w:tabs>
          <w:tab w:val="left" w:pos="420"/>
        </w:tabs>
        <w:kinsoku/>
        <w:wordWrap/>
        <w:overflowPunct/>
        <w:topLinePunct w:val="0"/>
        <w:autoSpaceDE/>
        <w:autoSpaceDN/>
        <w:bidi w:val="0"/>
        <w:adjustRightInd/>
        <w:snapToGrid/>
        <w:ind w:left="0" w:firstLine="560"/>
        <w:textAlignment w:val="auto"/>
        <w:outlineLvl w:val="9"/>
        <w:rPr>
          <w:rFonts w:hint="eastAsia" w:ascii="宋体" w:hAnsi="宋体" w:eastAsia="宋体" w:cs="宋体"/>
          <w:color w:val="000000"/>
          <w:kern w:val="0"/>
          <w:szCs w:val="28"/>
          <w:lang w:val="en-US" w:eastAsia="zh-CN"/>
        </w:rPr>
      </w:pPr>
      <w:r>
        <w:rPr>
          <w:rFonts w:hint="eastAsia" w:ascii="宋体" w:hAnsi="宋体" w:eastAsia="宋体" w:cs="宋体"/>
          <w:color w:val="000000"/>
          <w:kern w:val="0"/>
          <w:szCs w:val="28"/>
          <w:lang w:val="en-US" w:eastAsia="zh-CN"/>
        </w:rPr>
        <w:t>本项目照明包括一般照明和应急照明。</w:t>
      </w:r>
    </w:p>
    <w:p w14:paraId="676FAF3E">
      <w:pPr>
        <w:keepNext w:val="0"/>
        <w:keepLines w:val="0"/>
        <w:pageBreakBefore w:val="0"/>
        <w:widowControl w:val="0"/>
        <w:numPr>
          <w:ilvl w:val="0"/>
          <w:numId w:val="25"/>
        </w:numPr>
        <w:tabs>
          <w:tab w:val="left" w:pos="420"/>
        </w:tabs>
        <w:kinsoku/>
        <w:wordWrap/>
        <w:overflowPunct/>
        <w:topLinePunct w:val="0"/>
        <w:autoSpaceDE/>
        <w:autoSpaceDN/>
        <w:bidi w:val="0"/>
        <w:adjustRightInd/>
        <w:snapToGrid/>
        <w:ind w:left="0" w:firstLine="560"/>
        <w:textAlignment w:val="auto"/>
        <w:outlineLvl w:val="9"/>
        <w:rPr>
          <w:rFonts w:hint="eastAsia" w:ascii="宋体" w:hAnsi="宋体" w:eastAsia="宋体" w:cs="宋体"/>
          <w:color w:val="000000"/>
          <w:kern w:val="0"/>
          <w:szCs w:val="28"/>
          <w:lang w:val="en-US" w:eastAsia="zh-CN"/>
        </w:rPr>
      </w:pPr>
      <w:r>
        <w:rPr>
          <w:rFonts w:hint="eastAsia" w:ascii="宋体" w:hAnsi="宋体" w:eastAsia="宋体" w:cs="宋体"/>
          <w:color w:val="000000"/>
          <w:kern w:val="0"/>
          <w:szCs w:val="28"/>
          <w:lang w:val="en-US" w:eastAsia="zh-CN"/>
        </w:rPr>
        <w:t>设计</w:t>
      </w:r>
      <w:r>
        <w:rPr>
          <w:rFonts w:hint="eastAsia" w:ascii="宋体" w:hAnsi="宋体" w:eastAsia="宋体" w:cs="宋体"/>
          <w:color w:val="000000"/>
          <w:kern w:val="0"/>
          <w:szCs w:val="28"/>
        </w:rPr>
        <w:t>生产厂区主要工区照度250Lx，其它为100～200Lx，在主要生产设备及通道设应急照明。车间照明灯具选用LED节能灯，生活、办公等选用日光灯</w:t>
      </w:r>
      <w:r>
        <w:rPr>
          <w:rFonts w:hint="eastAsia" w:ascii="宋体" w:hAnsi="宋体" w:eastAsia="宋体" w:cs="宋体"/>
          <w:color w:val="000000"/>
          <w:kern w:val="0"/>
          <w:szCs w:val="28"/>
          <w:lang w:val="en-US" w:eastAsia="zh-CN"/>
        </w:rPr>
        <w:t>。</w:t>
      </w:r>
    </w:p>
    <w:p w14:paraId="35B08774">
      <w:pPr>
        <w:keepNext w:val="0"/>
        <w:keepLines w:val="0"/>
        <w:pageBreakBefore w:val="0"/>
        <w:widowControl w:val="0"/>
        <w:numPr>
          <w:ilvl w:val="0"/>
          <w:numId w:val="24"/>
        </w:numPr>
        <w:kinsoku/>
        <w:wordWrap/>
        <w:overflowPunct/>
        <w:topLinePunct w:val="0"/>
        <w:autoSpaceDE/>
        <w:autoSpaceDN/>
        <w:bidi w:val="0"/>
        <w:snapToGrid/>
        <w:ind w:left="0" w:leftChars="0" w:firstLine="560" w:firstLineChars="200"/>
        <w:textAlignment w:val="auto"/>
        <w:rPr>
          <w:rFonts w:hint="eastAsia" w:ascii="宋体" w:hAnsi="宋体" w:eastAsia="宋体" w:cs="宋体"/>
          <w:lang w:val="en-US" w:eastAsia="zh-CN"/>
        </w:rPr>
      </w:pPr>
      <w:bookmarkStart w:id="378" w:name="_Toc2634"/>
      <w:bookmarkStart w:id="379" w:name="_Toc55567374"/>
      <w:bookmarkStart w:id="380" w:name="_Toc55033314"/>
      <w:bookmarkStart w:id="381" w:name="_Toc19177049"/>
      <w:bookmarkStart w:id="382" w:name="_Toc28379"/>
      <w:bookmarkStart w:id="383" w:name="_Toc1716"/>
      <w:bookmarkStart w:id="384" w:name="_Toc1207"/>
      <w:bookmarkStart w:id="385" w:name="_Toc4027"/>
      <w:bookmarkStart w:id="386" w:name="_Toc24333"/>
      <w:bookmarkStart w:id="387" w:name="_Toc55567379"/>
      <w:r>
        <w:rPr>
          <w:rFonts w:hint="eastAsia" w:ascii="宋体" w:hAnsi="宋体" w:eastAsia="宋体" w:cs="宋体"/>
          <w:lang w:val="en-US" w:eastAsia="zh-CN"/>
        </w:rPr>
        <w:t>防雷接地系统</w:t>
      </w:r>
    </w:p>
    <w:p w14:paraId="4D222255">
      <w:pPr>
        <w:keepNext w:val="0"/>
        <w:keepLines w:val="0"/>
        <w:pageBreakBefore w:val="0"/>
        <w:widowControl w:val="0"/>
        <w:kinsoku/>
        <w:wordWrap/>
        <w:overflowPunct/>
        <w:topLinePunct w:val="0"/>
        <w:autoSpaceDE/>
        <w:autoSpaceDN/>
        <w:bidi w:val="0"/>
        <w:snapToGrid/>
        <w:ind w:firstLine="560"/>
        <w:textAlignment w:val="auto"/>
        <w:rPr>
          <w:rFonts w:hint="eastAsia" w:ascii="宋体" w:hAnsi="宋体" w:eastAsia="宋体" w:cs="宋体"/>
        </w:rPr>
      </w:pPr>
      <w:r>
        <w:rPr>
          <w:rFonts w:hint="eastAsia" w:ascii="宋体" w:hAnsi="宋体" w:eastAsia="宋体" w:cs="宋体"/>
          <w:bCs/>
          <w:color w:val="000000"/>
          <w:kern w:val="0"/>
          <w:szCs w:val="28"/>
        </w:rPr>
        <w:t>本项目属第三类防雷建筑物，防雷装置按《建筑物防雷设计规范》（GB50057-2010）执行</w:t>
      </w:r>
      <w:r>
        <w:rPr>
          <w:rFonts w:hint="eastAsia" w:ascii="宋体" w:hAnsi="宋体" w:eastAsia="宋体" w:cs="宋体"/>
          <w:bCs/>
          <w:color w:val="000000"/>
          <w:kern w:val="0"/>
          <w:szCs w:val="28"/>
          <w:lang w:eastAsia="zh-CN"/>
        </w:rPr>
        <w:t>，</w:t>
      </w:r>
      <w:r>
        <w:rPr>
          <w:rFonts w:hint="eastAsia" w:ascii="宋体" w:hAnsi="宋体" w:eastAsia="宋体" w:cs="宋体"/>
        </w:rPr>
        <w:t>设置</w:t>
      </w:r>
      <w:r>
        <w:rPr>
          <w:rFonts w:hint="eastAsia" w:ascii="宋体" w:hAnsi="宋体" w:eastAsia="宋体" w:cs="宋体"/>
          <w:lang w:val="en-US" w:eastAsia="zh-CN"/>
        </w:rPr>
        <w:t>了</w:t>
      </w:r>
      <w:r>
        <w:rPr>
          <w:rFonts w:hint="eastAsia" w:ascii="宋体" w:hAnsi="宋体" w:eastAsia="宋体" w:cs="宋体"/>
        </w:rPr>
        <w:t>防直击雷和雷电波浸入的措施。</w:t>
      </w:r>
    </w:p>
    <w:p w14:paraId="1EF33D5C">
      <w:pPr>
        <w:keepNext w:val="0"/>
        <w:keepLines w:val="0"/>
        <w:pageBreakBefore w:val="0"/>
        <w:widowControl w:val="0"/>
        <w:kinsoku/>
        <w:wordWrap/>
        <w:overflowPunct/>
        <w:topLinePunct w:val="0"/>
        <w:autoSpaceDE/>
        <w:autoSpaceDN/>
        <w:bidi w:val="0"/>
        <w:snapToGrid/>
        <w:ind w:firstLine="560"/>
        <w:textAlignment w:val="auto"/>
        <w:rPr>
          <w:rFonts w:hint="eastAsia" w:ascii="宋体" w:hAnsi="宋体" w:eastAsia="宋体" w:cs="宋体"/>
          <w:bCs/>
          <w:color w:val="000000"/>
          <w:kern w:val="0"/>
          <w:szCs w:val="28"/>
        </w:rPr>
      </w:pPr>
      <w:r>
        <w:rPr>
          <w:rFonts w:hint="eastAsia" w:ascii="宋体" w:hAnsi="宋体" w:eastAsia="宋体" w:cs="宋体"/>
          <w:szCs w:val="28"/>
        </w:rPr>
        <w:t>利用建筑物结构钢筋</w:t>
      </w:r>
      <w:r>
        <w:rPr>
          <w:rFonts w:hint="eastAsia" w:ascii="宋体" w:hAnsi="宋体" w:eastAsia="宋体" w:cs="宋体"/>
          <w:szCs w:val="28"/>
          <w:lang w:eastAsia="zh-CN"/>
        </w:rPr>
        <w:t>做</w:t>
      </w:r>
      <w:r>
        <w:rPr>
          <w:rFonts w:hint="eastAsia" w:ascii="宋体" w:hAnsi="宋体" w:eastAsia="宋体" w:cs="宋体"/>
          <w:szCs w:val="28"/>
        </w:rPr>
        <w:t>防雷接地装置，利用柱子主钢筋</w:t>
      </w:r>
      <w:r>
        <w:rPr>
          <w:rFonts w:hint="eastAsia" w:ascii="宋体" w:hAnsi="宋体" w:eastAsia="宋体" w:cs="宋体"/>
          <w:szCs w:val="28"/>
          <w:lang w:eastAsia="zh-CN"/>
        </w:rPr>
        <w:t>做</w:t>
      </w:r>
      <w:r>
        <w:rPr>
          <w:rFonts w:hint="eastAsia" w:ascii="宋体" w:hAnsi="宋体" w:eastAsia="宋体" w:cs="宋体"/>
          <w:szCs w:val="28"/>
        </w:rPr>
        <w:t>防雷引下线，屋面及女儿墙顶采用镀锌圆钢作避雷带，基础主钢筋作接地装置，柱子主钢筋与基础主钢筋焊接成电气通路。屋面采用热镀锌圆钢（Ф12）设置不大于20m×20m的避雷网，避雷网与作引下线的钢筋焊接连通。</w:t>
      </w:r>
    </w:p>
    <w:p w14:paraId="0F0745DE">
      <w:pPr>
        <w:keepNext w:val="0"/>
        <w:keepLines w:val="0"/>
        <w:pageBreakBefore w:val="0"/>
        <w:widowControl w:val="0"/>
        <w:suppressLineNumbers w:val="0"/>
        <w:kinsoku/>
        <w:wordWrap/>
        <w:overflowPunct/>
        <w:topLinePunct w:val="0"/>
        <w:autoSpaceDE/>
        <w:autoSpaceDN/>
        <w:bidi w:val="0"/>
        <w:snapToGrid/>
        <w:jc w:val="left"/>
        <w:textAlignment w:val="auto"/>
        <w:rPr>
          <w:rFonts w:hint="eastAsia" w:ascii="宋体" w:hAnsi="宋体" w:eastAsia="宋体" w:cs="宋体"/>
          <w:szCs w:val="28"/>
        </w:rPr>
      </w:pPr>
      <w:r>
        <w:rPr>
          <w:rFonts w:hint="eastAsia" w:ascii="宋体" w:hAnsi="宋体" w:eastAsia="宋体" w:cs="宋体"/>
          <w:szCs w:val="28"/>
        </w:rPr>
        <w:t>10kV系统采用中性点不接地方式。</w:t>
      </w:r>
    </w:p>
    <w:p w14:paraId="2E10F2E4">
      <w:pPr>
        <w:keepNext w:val="0"/>
        <w:keepLines w:val="0"/>
        <w:pageBreakBefore w:val="0"/>
        <w:widowControl w:val="0"/>
        <w:suppressLineNumbers w:val="0"/>
        <w:kinsoku/>
        <w:wordWrap/>
        <w:overflowPunct/>
        <w:topLinePunct w:val="0"/>
        <w:autoSpaceDE/>
        <w:autoSpaceDN/>
        <w:bidi w:val="0"/>
        <w:snapToGrid/>
        <w:jc w:val="left"/>
        <w:textAlignment w:val="auto"/>
        <w:rPr>
          <w:rFonts w:hint="eastAsia" w:ascii="宋体" w:hAnsi="宋体" w:eastAsia="宋体" w:cs="宋体"/>
          <w:szCs w:val="28"/>
        </w:rPr>
      </w:pPr>
      <w:r>
        <w:rPr>
          <w:rFonts w:hint="eastAsia" w:ascii="宋体" w:hAnsi="宋体" w:eastAsia="宋体" w:cs="宋体"/>
          <w:szCs w:val="28"/>
        </w:rPr>
        <w:t>该项目采用TN-S配电接地保护系统。</w:t>
      </w:r>
    </w:p>
    <w:p w14:paraId="3420FBFF">
      <w:pPr>
        <w:keepNext w:val="0"/>
        <w:keepLines w:val="0"/>
        <w:pageBreakBefore w:val="0"/>
        <w:widowControl w:val="0"/>
        <w:kinsoku/>
        <w:wordWrap/>
        <w:overflowPunct/>
        <w:topLinePunct w:val="0"/>
        <w:autoSpaceDE/>
        <w:autoSpaceDN/>
        <w:bidi w:val="0"/>
        <w:snapToGrid/>
        <w:ind w:firstLine="560"/>
        <w:textAlignment w:val="auto"/>
        <w:rPr>
          <w:rFonts w:hint="eastAsia" w:ascii="宋体" w:hAnsi="宋体" w:eastAsia="宋体" w:cs="宋体"/>
        </w:rPr>
      </w:pPr>
      <w:r>
        <w:rPr>
          <w:rFonts w:hint="eastAsia" w:ascii="宋体" w:hAnsi="宋体" w:eastAsia="宋体" w:cs="宋体"/>
          <w:szCs w:val="28"/>
        </w:rPr>
        <w:t>防直击雷、防雷电波入侵、电气设备保护接地、弱电系统的接地等共用接地装置，接地电阻小于1Ω。</w:t>
      </w:r>
    </w:p>
    <w:p w14:paraId="3300A962">
      <w:pPr>
        <w:keepNext w:val="0"/>
        <w:keepLines w:val="0"/>
        <w:pageBreakBefore w:val="0"/>
        <w:widowControl w:val="0"/>
        <w:kinsoku/>
        <w:wordWrap/>
        <w:overflowPunct/>
        <w:topLinePunct w:val="0"/>
        <w:autoSpaceDE/>
        <w:autoSpaceDN/>
        <w:bidi w:val="0"/>
        <w:snapToGrid/>
        <w:textAlignment w:val="auto"/>
        <w:rPr>
          <w:rFonts w:hint="eastAsia" w:ascii="宋体" w:hAnsi="宋体" w:eastAsia="宋体" w:cs="宋体"/>
          <w:lang w:val="en-US" w:eastAsia="zh-CN"/>
        </w:rPr>
      </w:pPr>
      <w:r>
        <w:rPr>
          <w:rFonts w:hint="eastAsia" w:ascii="宋体" w:hAnsi="宋体" w:eastAsia="宋体" w:cs="宋体"/>
        </w:rPr>
        <w:t>本项目</w:t>
      </w:r>
      <w:r>
        <w:rPr>
          <w:rFonts w:hint="eastAsia" w:ascii="宋体" w:hAnsi="宋体" w:eastAsia="宋体" w:cs="宋体"/>
          <w:lang w:val="en-US" w:eastAsia="zh-CN"/>
        </w:rPr>
        <w:t>由</w:t>
      </w:r>
      <w:r>
        <w:rPr>
          <w:rFonts w:hint="eastAsia" w:ascii="宋体" w:hAnsi="宋体" w:eastAsia="宋体" w:cs="宋体"/>
          <w:lang w:eastAsia="zh-CN"/>
        </w:rPr>
        <w:t>云南省气象灾害防御技术中心</w:t>
      </w:r>
      <w:r>
        <w:rPr>
          <w:rFonts w:hint="eastAsia" w:ascii="宋体" w:hAnsi="宋体" w:eastAsia="宋体" w:cs="宋体"/>
          <w:lang w:val="en-US" w:eastAsia="zh-CN"/>
        </w:rPr>
        <w:t>于2024年7月18日</w:t>
      </w:r>
      <w:r>
        <w:rPr>
          <w:rFonts w:hint="eastAsia" w:ascii="宋体" w:hAnsi="宋体" w:eastAsia="宋体" w:cs="宋体"/>
        </w:rPr>
        <w:t>进行了</w:t>
      </w:r>
      <w:r>
        <w:rPr>
          <w:rFonts w:hint="eastAsia" w:ascii="宋体" w:hAnsi="宋体" w:eastAsia="宋体" w:cs="宋体"/>
          <w:lang w:val="en-US" w:eastAsia="zh-CN"/>
        </w:rPr>
        <w:t>成品仓库、生产车间、冷却水塔、除尘设施设备、高低压配电室、110kV变电站的</w:t>
      </w:r>
      <w:r>
        <w:rPr>
          <w:rFonts w:hint="eastAsia" w:ascii="宋体" w:hAnsi="宋体" w:eastAsia="宋体" w:cs="宋体"/>
        </w:rPr>
        <w:t>防雷</w:t>
      </w:r>
      <w:r>
        <w:rPr>
          <w:rFonts w:hint="eastAsia" w:ascii="宋体" w:hAnsi="宋体" w:eastAsia="宋体" w:cs="宋体"/>
          <w:lang w:val="en-US" w:eastAsia="zh-CN"/>
        </w:rPr>
        <w:t>接地电阻</w:t>
      </w:r>
      <w:r>
        <w:rPr>
          <w:rFonts w:hint="eastAsia" w:ascii="宋体" w:hAnsi="宋体" w:eastAsia="宋体" w:cs="宋体"/>
        </w:rPr>
        <w:t>检测，并出具了防雷检测报告。</w:t>
      </w:r>
      <w:r>
        <w:rPr>
          <w:rFonts w:hint="eastAsia" w:ascii="宋体" w:hAnsi="宋体" w:eastAsia="宋体" w:cs="宋体"/>
          <w:lang w:val="en-US" w:eastAsia="zh-CN"/>
        </w:rPr>
        <w:t>检测结果为合格。</w:t>
      </w:r>
    </w:p>
    <w:p w14:paraId="373A515F">
      <w:pPr>
        <w:pStyle w:val="4"/>
        <w:keepNext w:val="0"/>
        <w:keepLines w:val="0"/>
        <w:pageBreakBefore w:val="0"/>
        <w:widowControl w:val="0"/>
        <w:kinsoku/>
        <w:bidi w:val="0"/>
        <w:rPr>
          <w:lang w:val="en-US" w:eastAsia="zh-CN"/>
        </w:rPr>
      </w:pPr>
      <w:bookmarkStart w:id="388" w:name="_Toc9111"/>
      <w:r>
        <w:rPr>
          <w:rFonts w:hint="eastAsia"/>
          <w:lang w:val="en-US" w:eastAsia="zh-CN"/>
        </w:rPr>
        <w:t>给排水</w:t>
      </w:r>
      <w:bookmarkEnd w:id="378"/>
      <w:bookmarkEnd w:id="379"/>
      <w:bookmarkEnd w:id="380"/>
      <w:bookmarkEnd w:id="381"/>
      <w:bookmarkEnd w:id="382"/>
      <w:r>
        <w:rPr>
          <w:rFonts w:hint="eastAsia"/>
          <w:lang w:val="en-US" w:eastAsia="zh-CN"/>
        </w:rPr>
        <w:t>系统</w:t>
      </w:r>
      <w:bookmarkEnd w:id="388"/>
    </w:p>
    <w:p w14:paraId="1656AC9A">
      <w:pPr>
        <w:keepNext w:val="0"/>
        <w:keepLines w:val="0"/>
        <w:pageBreakBefore w:val="0"/>
        <w:widowControl w:val="0"/>
        <w:numPr>
          <w:ilvl w:val="0"/>
          <w:numId w:val="26"/>
        </w:numPr>
        <w:kinsoku/>
        <w:wordWrap/>
        <w:overflowPunct/>
        <w:topLinePunct w:val="0"/>
        <w:autoSpaceDE/>
        <w:autoSpaceDN/>
        <w:bidi w:val="0"/>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用水量</w:t>
      </w:r>
    </w:p>
    <w:p w14:paraId="20A4B810">
      <w:pPr>
        <w:keepNext w:val="0"/>
        <w:keepLines w:val="0"/>
        <w:pageBreakBefore w:val="0"/>
        <w:widowControl w:val="0"/>
        <w:kinsoku/>
        <w:wordWrap/>
        <w:overflowPunct/>
        <w:topLinePunct w:val="0"/>
        <w:autoSpaceDE/>
        <w:autoSpaceDN/>
        <w:bidi w:val="0"/>
        <w:snapToGrid/>
        <w:textAlignment w:val="auto"/>
        <w:rPr>
          <w:rFonts w:hint="eastAsia" w:ascii="宋体" w:hAnsi="宋体" w:eastAsia="宋体" w:cs="宋体"/>
          <w:lang w:val="en-US" w:eastAsia="zh-CN"/>
        </w:rPr>
      </w:pPr>
      <w:r>
        <w:rPr>
          <w:rFonts w:hint="eastAsia" w:ascii="宋体" w:hAnsi="宋体" w:eastAsia="宋体" w:cs="宋体"/>
          <w:lang w:val="en-US" w:eastAsia="zh-CN"/>
        </w:rPr>
        <w:t>本项目用量约为</w:t>
      </w:r>
      <w:r>
        <w:rPr>
          <w:rFonts w:hint="eastAsia" w:ascii="宋体" w:hAnsi="宋体" w:eastAsia="宋体" w:cs="宋体"/>
        </w:rPr>
        <w:t>1804m³/d</w:t>
      </w:r>
      <w:r>
        <w:rPr>
          <w:rFonts w:hint="eastAsia" w:ascii="宋体" w:hAnsi="宋体" w:eastAsia="宋体" w:cs="宋体"/>
          <w:lang w:val="en-US" w:eastAsia="zh-CN"/>
        </w:rPr>
        <w:t>，给水系统采用生产、生活、消防合用的给水系统。</w:t>
      </w:r>
    </w:p>
    <w:p w14:paraId="79E108E4">
      <w:pPr>
        <w:keepNext w:val="0"/>
        <w:keepLines w:val="0"/>
        <w:pageBreakBefore w:val="0"/>
        <w:widowControl w:val="0"/>
        <w:numPr>
          <w:ilvl w:val="0"/>
          <w:numId w:val="26"/>
        </w:numPr>
        <w:kinsoku/>
        <w:wordWrap/>
        <w:overflowPunct/>
        <w:topLinePunct w:val="0"/>
        <w:autoSpaceDE/>
        <w:autoSpaceDN/>
        <w:bidi w:val="0"/>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给水系统</w:t>
      </w:r>
    </w:p>
    <w:p w14:paraId="15241729">
      <w:pPr>
        <w:keepNext w:val="0"/>
        <w:keepLines w:val="0"/>
        <w:pageBreakBefore w:val="0"/>
        <w:widowControl w:val="0"/>
        <w:numPr>
          <w:ilvl w:val="0"/>
          <w:numId w:val="27"/>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给水水源</w:t>
      </w:r>
    </w:p>
    <w:p w14:paraId="553F251E">
      <w:pPr>
        <w:keepNext w:val="0"/>
        <w:keepLines w:val="0"/>
        <w:pageBreakBefore w:val="0"/>
        <w:widowControl w:val="0"/>
        <w:kinsoku/>
        <w:wordWrap/>
        <w:overflowPunct/>
        <w:topLinePunct w:val="0"/>
        <w:autoSpaceDE/>
        <w:autoSpaceDN/>
        <w:bidi w:val="0"/>
        <w:snapToGrid/>
        <w:textAlignment w:val="auto"/>
        <w:rPr>
          <w:rFonts w:hint="eastAsia" w:ascii="宋体" w:hAnsi="宋体" w:eastAsia="宋体" w:cs="宋体"/>
          <w:lang w:val="en-US" w:eastAsia="zh-CN"/>
        </w:rPr>
      </w:pPr>
      <w:r>
        <w:rPr>
          <w:rFonts w:hint="eastAsia" w:ascii="宋体" w:hAnsi="宋体" w:eastAsia="宋体" w:cs="宋体"/>
          <w:lang w:val="en-US" w:eastAsia="zh-CN"/>
        </w:rPr>
        <w:t>本项目用水由沙龙水库和张大庆水库及羊街村委会供水管网供应，采用生产、消防合一的给水系统，供水管网采用埋地环状铺设。</w:t>
      </w:r>
    </w:p>
    <w:p w14:paraId="6FDDECE6">
      <w:pPr>
        <w:keepNext w:val="0"/>
        <w:keepLines w:val="0"/>
        <w:pageBreakBefore w:val="0"/>
        <w:widowControl w:val="0"/>
        <w:numPr>
          <w:ilvl w:val="0"/>
          <w:numId w:val="27"/>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循环水</w:t>
      </w:r>
    </w:p>
    <w:p w14:paraId="0667509F">
      <w:pPr>
        <w:keepNext w:val="0"/>
        <w:keepLines w:val="0"/>
        <w:pageBreakBefore w:val="0"/>
        <w:widowControl w:val="0"/>
        <w:kinsoku/>
        <w:wordWrap/>
        <w:overflowPunct/>
        <w:topLinePunct w:val="0"/>
        <w:autoSpaceDE/>
        <w:autoSpaceDN/>
        <w:bidi w:val="0"/>
        <w:snapToGrid/>
        <w:ind w:firstLine="560" w:firstLineChars="200"/>
        <w:textAlignment w:val="auto"/>
        <w:rPr>
          <w:rFonts w:hint="eastAsia" w:ascii="宋体" w:hAnsi="宋体" w:eastAsia="宋体" w:cs="宋体"/>
          <w:color w:val="00B0F0"/>
        </w:rPr>
      </w:pPr>
      <w:r>
        <w:rPr>
          <w:rFonts w:hint="eastAsia" w:ascii="宋体" w:hAnsi="宋体" w:eastAsia="宋体" w:cs="宋体"/>
          <w:lang w:val="en-US" w:eastAsia="zh-CN"/>
        </w:rPr>
        <w:t>本项目</w:t>
      </w:r>
      <w:r>
        <w:rPr>
          <w:rFonts w:hint="eastAsia" w:ascii="宋体" w:hAnsi="宋体" w:eastAsia="宋体" w:cs="宋体"/>
        </w:rPr>
        <w:t>设置循环水站，设</w:t>
      </w:r>
      <w:r>
        <w:rPr>
          <w:rFonts w:hint="eastAsia" w:ascii="宋体" w:hAnsi="宋体" w:eastAsia="宋体" w:cs="宋体"/>
          <w:lang w:val="en-US" w:eastAsia="zh-CN"/>
        </w:rPr>
        <w:t>有</w:t>
      </w:r>
      <w:r>
        <w:rPr>
          <w:rFonts w:hint="eastAsia" w:ascii="宋体" w:hAnsi="宋体" w:eastAsia="宋体" w:cs="宋体"/>
        </w:rPr>
        <w:t>玻璃钢冷却塔</w:t>
      </w:r>
      <w:r>
        <w:rPr>
          <w:rFonts w:hint="eastAsia" w:ascii="宋体" w:hAnsi="宋体" w:eastAsia="宋体" w:cs="宋体"/>
          <w:lang w:eastAsia="zh-CN"/>
        </w:rPr>
        <w:t>（</w:t>
      </w:r>
      <w:r>
        <w:rPr>
          <w:rFonts w:hint="eastAsia" w:ascii="宋体" w:hAnsi="宋体" w:eastAsia="宋体" w:cs="宋体"/>
        </w:rPr>
        <w:t>800m³/h</w:t>
      </w:r>
      <w:r>
        <w:rPr>
          <w:rFonts w:hint="eastAsia" w:ascii="宋体" w:hAnsi="宋体" w:eastAsia="宋体" w:cs="宋体"/>
          <w:lang w:eastAsia="zh-CN"/>
        </w:rPr>
        <w:t>）</w:t>
      </w:r>
      <w:r>
        <w:rPr>
          <w:rFonts w:hint="eastAsia" w:ascii="宋体" w:hAnsi="宋体" w:eastAsia="宋体" w:cs="宋体"/>
          <w:lang w:val="en-US" w:eastAsia="zh-CN"/>
        </w:rPr>
        <w:t>1座</w:t>
      </w:r>
      <w:r>
        <w:rPr>
          <w:rFonts w:hint="eastAsia" w:ascii="宋体" w:hAnsi="宋体" w:eastAsia="宋体" w:cs="宋体"/>
        </w:rPr>
        <w:t>，循环水泵6台（Q=810m³/h ，H=33m ，N=90kW），4开2 备，用于生产过程中的电弧炉、浸没式冷却机</w:t>
      </w:r>
      <w:r>
        <w:rPr>
          <w:rFonts w:hint="eastAsia" w:ascii="宋体" w:hAnsi="宋体" w:eastAsia="宋体" w:cs="宋体"/>
          <w:lang w:eastAsia="zh-CN"/>
        </w:rPr>
        <w:t>、</w:t>
      </w:r>
      <w:r>
        <w:rPr>
          <w:rFonts w:hint="eastAsia" w:ascii="宋体" w:hAnsi="宋体" w:eastAsia="宋体" w:cs="宋体"/>
        </w:rPr>
        <w:t>空压机等</w:t>
      </w:r>
      <w:r>
        <w:rPr>
          <w:rFonts w:hint="eastAsia" w:ascii="宋体" w:hAnsi="宋体" w:eastAsia="宋体" w:cs="宋体"/>
          <w:lang w:val="en-US" w:eastAsia="zh-CN"/>
        </w:rPr>
        <w:t>设备</w:t>
      </w:r>
      <w:r>
        <w:rPr>
          <w:rFonts w:hint="eastAsia" w:ascii="宋体" w:hAnsi="宋体" w:eastAsia="宋体" w:cs="宋体"/>
        </w:rPr>
        <w:t>的冷却水。循环水站的输送泵通过变频调节和管道阀门的控制，分别向各生产装置提供循环水。</w:t>
      </w:r>
    </w:p>
    <w:p w14:paraId="21F77125">
      <w:pPr>
        <w:keepNext w:val="0"/>
        <w:keepLines w:val="0"/>
        <w:pageBreakBefore w:val="0"/>
        <w:widowControl w:val="0"/>
        <w:numPr>
          <w:ilvl w:val="0"/>
          <w:numId w:val="26"/>
        </w:numPr>
        <w:kinsoku/>
        <w:wordWrap/>
        <w:overflowPunct/>
        <w:topLinePunct w:val="0"/>
        <w:autoSpaceDE/>
        <w:autoSpaceDN/>
        <w:bidi w:val="0"/>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排水系统</w:t>
      </w:r>
    </w:p>
    <w:p w14:paraId="1472E1BB">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lang w:val="en-US" w:eastAsia="zh-CN"/>
        </w:rPr>
      </w:pPr>
      <w:r>
        <w:rPr>
          <w:rFonts w:hint="eastAsia" w:ascii="宋体" w:hAnsi="宋体" w:eastAsia="宋体" w:cs="宋体"/>
          <w:lang w:val="en-US" w:eastAsia="zh-CN"/>
        </w:rPr>
        <w:t>本项目</w:t>
      </w:r>
      <w:r>
        <w:rPr>
          <w:rFonts w:hint="eastAsia" w:ascii="宋体" w:hAnsi="宋体" w:eastAsia="宋体" w:cs="宋体"/>
        </w:rPr>
        <w:t>厂区采用雨、污分流制排水方式。</w:t>
      </w:r>
    </w:p>
    <w:p w14:paraId="0A288D84">
      <w:pPr>
        <w:keepNext w:val="0"/>
        <w:keepLines w:val="0"/>
        <w:pageBreakBefore w:val="0"/>
        <w:widowControl w:val="0"/>
        <w:numPr>
          <w:ilvl w:val="0"/>
          <w:numId w:val="28"/>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生产废水：厂区生产废水经循环水池冷却塔冷却后循环使用，不外排。</w:t>
      </w:r>
    </w:p>
    <w:p w14:paraId="4401739F">
      <w:pPr>
        <w:keepNext w:val="0"/>
        <w:keepLines w:val="0"/>
        <w:pageBreakBefore w:val="0"/>
        <w:widowControl w:val="0"/>
        <w:numPr>
          <w:ilvl w:val="0"/>
          <w:numId w:val="28"/>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rPr>
        <w:t>初期雨水：</w:t>
      </w:r>
      <w:r>
        <w:rPr>
          <w:rFonts w:hint="eastAsia" w:ascii="宋体" w:hAnsi="宋体" w:eastAsia="宋体" w:cs="宋体"/>
          <w:lang w:val="en-US" w:eastAsia="zh-CN"/>
        </w:rPr>
        <w:t>厂区</w:t>
      </w:r>
      <w:r>
        <w:rPr>
          <w:rFonts w:hint="eastAsia" w:ascii="宋体" w:hAnsi="宋体" w:eastAsia="宋体" w:cs="宋体"/>
        </w:rPr>
        <w:t>设</w:t>
      </w:r>
      <w:r>
        <w:rPr>
          <w:rFonts w:hint="eastAsia" w:ascii="宋体" w:hAnsi="宋体" w:eastAsia="宋体" w:cs="宋体"/>
          <w:lang w:val="en-US" w:eastAsia="zh-CN"/>
        </w:rPr>
        <w:t>置1座</w:t>
      </w:r>
      <w:r>
        <w:rPr>
          <w:rFonts w:hint="eastAsia" w:ascii="宋体" w:hAnsi="宋体" w:eastAsia="宋体" w:cs="宋体"/>
        </w:rPr>
        <w:t>785m³的初期雨水收集池，收集</w:t>
      </w:r>
      <w:r>
        <w:rPr>
          <w:rFonts w:hint="eastAsia" w:ascii="宋体" w:hAnsi="宋体" w:eastAsia="宋体" w:cs="宋体"/>
          <w:lang w:val="en-US" w:eastAsia="zh-CN"/>
        </w:rPr>
        <w:t>雨水后</w:t>
      </w:r>
      <w:r>
        <w:rPr>
          <w:rFonts w:hint="eastAsia" w:ascii="宋体" w:hAnsi="宋体" w:eastAsia="宋体" w:cs="宋体"/>
        </w:rPr>
        <w:t>用于厂区绿化</w:t>
      </w:r>
      <w:r>
        <w:rPr>
          <w:rFonts w:hint="eastAsia" w:ascii="宋体" w:hAnsi="宋体" w:eastAsia="宋体" w:cs="宋体"/>
          <w:lang w:eastAsia="zh-CN"/>
        </w:rPr>
        <w:t>，</w:t>
      </w:r>
      <w:r>
        <w:rPr>
          <w:rFonts w:hint="eastAsia" w:ascii="宋体" w:hAnsi="宋体" w:eastAsia="宋体" w:cs="宋体"/>
        </w:rPr>
        <w:t>不外排。</w:t>
      </w:r>
    </w:p>
    <w:p w14:paraId="453E174E">
      <w:pPr>
        <w:keepNext w:val="0"/>
        <w:keepLines w:val="0"/>
        <w:pageBreakBefore w:val="0"/>
        <w:widowControl w:val="0"/>
        <w:numPr>
          <w:ilvl w:val="0"/>
          <w:numId w:val="28"/>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rPr>
        <w:t>生活废水：生活污水经</w:t>
      </w:r>
      <w:r>
        <w:rPr>
          <w:rFonts w:hint="eastAsia" w:ascii="宋体" w:hAnsi="宋体" w:eastAsia="宋体" w:cs="宋体"/>
          <w:lang w:val="en-US" w:eastAsia="zh-CN"/>
        </w:rPr>
        <w:t>埋地玻璃钢</w:t>
      </w:r>
      <w:r>
        <w:rPr>
          <w:rFonts w:hint="eastAsia" w:ascii="宋体" w:hAnsi="宋体" w:eastAsia="宋体" w:cs="宋体"/>
        </w:rPr>
        <w:t>化粪池</w:t>
      </w:r>
      <w:r>
        <w:rPr>
          <w:rFonts w:hint="eastAsia" w:ascii="宋体" w:hAnsi="宋体" w:eastAsia="宋体" w:cs="宋体"/>
          <w:lang w:eastAsia="zh-CN"/>
        </w:rPr>
        <w:t>（</w:t>
      </w:r>
      <w:r>
        <w:rPr>
          <w:rFonts w:hint="eastAsia" w:ascii="宋体" w:hAnsi="宋体" w:eastAsia="宋体" w:cs="宋体"/>
        </w:rPr>
        <w:t>50m³</w:t>
      </w:r>
      <w:r>
        <w:rPr>
          <w:rFonts w:hint="eastAsia" w:ascii="宋体" w:hAnsi="宋体" w:eastAsia="宋体" w:cs="宋体"/>
          <w:lang w:eastAsia="zh-CN"/>
        </w:rPr>
        <w:t>）</w:t>
      </w:r>
      <w:r>
        <w:rPr>
          <w:rFonts w:hint="eastAsia" w:ascii="宋体" w:hAnsi="宋体" w:eastAsia="宋体" w:cs="宋体"/>
        </w:rPr>
        <w:t>预处理后</w:t>
      </w:r>
      <w:r>
        <w:rPr>
          <w:rFonts w:hint="eastAsia" w:ascii="宋体" w:hAnsi="宋体" w:eastAsia="宋体" w:cs="宋体"/>
          <w:lang w:val="en-US" w:eastAsia="zh-CN"/>
        </w:rPr>
        <w:t>由管网引入</w:t>
      </w:r>
      <w:r>
        <w:rPr>
          <w:rFonts w:hint="eastAsia" w:ascii="宋体" w:hAnsi="宋体" w:eastAsia="宋体" w:cs="宋体"/>
        </w:rPr>
        <w:t>园区污水处理</w:t>
      </w:r>
      <w:r>
        <w:rPr>
          <w:rFonts w:hint="eastAsia" w:ascii="宋体" w:hAnsi="宋体" w:eastAsia="宋体" w:cs="宋体"/>
          <w:lang w:val="en-US" w:eastAsia="zh-CN"/>
        </w:rPr>
        <w:t>厂处置</w:t>
      </w:r>
      <w:r>
        <w:rPr>
          <w:rFonts w:hint="eastAsia" w:ascii="宋体" w:hAnsi="宋体" w:eastAsia="宋体" w:cs="宋体"/>
          <w:lang w:eastAsia="zh-CN"/>
        </w:rPr>
        <w:t>。</w:t>
      </w:r>
    </w:p>
    <w:bookmarkEnd w:id="383"/>
    <w:bookmarkEnd w:id="384"/>
    <w:p w14:paraId="2A936D92">
      <w:pPr>
        <w:pStyle w:val="4"/>
        <w:keepNext w:val="0"/>
        <w:keepLines w:val="0"/>
        <w:pageBreakBefore w:val="0"/>
        <w:widowControl w:val="0"/>
        <w:kinsoku/>
        <w:bidi w:val="0"/>
        <w:rPr>
          <w:rFonts w:hint="eastAsia"/>
          <w:lang w:val="en-US" w:eastAsia="zh-CN"/>
        </w:rPr>
      </w:pPr>
      <w:bookmarkStart w:id="389" w:name="_Toc26689"/>
      <w:r>
        <w:rPr>
          <w:rFonts w:hint="eastAsia"/>
          <w:lang w:val="en-US" w:eastAsia="zh-CN"/>
        </w:rPr>
        <w:t>消防</w:t>
      </w:r>
      <w:bookmarkEnd w:id="385"/>
      <w:bookmarkEnd w:id="386"/>
      <w:r>
        <w:rPr>
          <w:rFonts w:hint="eastAsia"/>
          <w:lang w:val="en-US" w:eastAsia="zh-CN"/>
        </w:rPr>
        <w:t>系统</w:t>
      </w:r>
      <w:bookmarkEnd w:id="389"/>
    </w:p>
    <w:p w14:paraId="7DD9C75A">
      <w:pPr>
        <w:keepNext w:val="0"/>
        <w:keepLines w:val="0"/>
        <w:pageBreakBefore w:val="0"/>
        <w:widowControl w:val="0"/>
        <w:kinsoku/>
        <w:wordWrap/>
        <w:overflowPunct/>
        <w:topLinePunct w:val="0"/>
        <w:autoSpaceDN/>
        <w:bidi w:val="0"/>
        <w:snapToGrid/>
        <w:textAlignment w:val="auto"/>
        <w:rPr>
          <w:rFonts w:hint="eastAsia" w:ascii="宋体" w:hAnsi="宋体" w:eastAsia="宋体" w:cs="宋体"/>
        </w:rPr>
      </w:pPr>
      <w:bookmarkStart w:id="390" w:name="_Toc11980"/>
      <w:bookmarkStart w:id="391" w:name="_Toc4281"/>
      <w:r>
        <w:rPr>
          <w:rFonts w:hint="eastAsia" w:ascii="宋体" w:hAnsi="宋体" w:eastAsia="宋体" w:cs="宋体"/>
          <w:lang w:val="en-US" w:eastAsia="zh-CN"/>
        </w:rPr>
        <w:t>根据设计，</w:t>
      </w:r>
      <w:r>
        <w:rPr>
          <w:rFonts w:hint="eastAsia" w:ascii="宋体" w:hAnsi="宋体" w:eastAsia="宋体" w:cs="宋体"/>
        </w:rPr>
        <w:t>本项目</w:t>
      </w:r>
      <w:r>
        <w:rPr>
          <w:rFonts w:hint="eastAsia" w:ascii="宋体" w:hAnsi="宋体" w:eastAsia="宋体" w:cs="宋体"/>
          <w:lang w:val="en-US" w:eastAsia="zh-CN"/>
        </w:rPr>
        <w:t>1#</w:t>
      </w:r>
      <w:r>
        <w:rPr>
          <w:rFonts w:hint="eastAsia" w:ascii="宋体" w:hAnsi="宋体" w:eastAsia="宋体" w:cs="宋体"/>
        </w:rPr>
        <w:t>联合生产车间火灾危险等级为丁类，</w:t>
      </w:r>
      <w:r>
        <w:rPr>
          <w:rFonts w:hint="eastAsia" w:ascii="宋体" w:hAnsi="宋体" w:eastAsia="宋体" w:cs="宋体"/>
          <w:lang w:val="en-US" w:eastAsia="zh-CN"/>
        </w:rPr>
        <w:t>1#成品</w:t>
      </w:r>
      <w:r>
        <w:rPr>
          <w:rFonts w:hint="eastAsia" w:ascii="宋体" w:hAnsi="宋体" w:eastAsia="宋体" w:cs="宋体"/>
        </w:rPr>
        <w:t>仓库</w:t>
      </w:r>
      <w:r>
        <w:rPr>
          <w:rFonts w:hint="eastAsia" w:ascii="宋体" w:hAnsi="宋体" w:eastAsia="宋体" w:cs="宋体"/>
          <w:lang w:val="en-US" w:eastAsia="zh-CN"/>
        </w:rPr>
        <w:t>和空压机站</w:t>
      </w:r>
      <w:r>
        <w:rPr>
          <w:rFonts w:hint="eastAsia" w:ascii="宋体" w:hAnsi="宋体" w:eastAsia="宋体" w:cs="宋体"/>
        </w:rPr>
        <w:t>火灾危险等级为戊类，</w:t>
      </w:r>
      <w:r>
        <w:rPr>
          <w:rFonts w:hint="eastAsia" w:ascii="宋体" w:hAnsi="宋体" w:eastAsia="宋体" w:cs="宋体"/>
          <w:lang w:val="en-US" w:eastAsia="zh-CN"/>
        </w:rPr>
        <w:t>110kV</w:t>
      </w:r>
      <w:r>
        <w:rPr>
          <w:rFonts w:hint="eastAsia" w:ascii="宋体" w:hAnsi="宋体" w:eastAsia="宋体" w:cs="宋体"/>
        </w:rPr>
        <w:t>变电站火灾危险等级</w:t>
      </w:r>
      <w:r>
        <w:rPr>
          <w:rFonts w:hint="eastAsia" w:ascii="宋体" w:hAnsi="宋体" w:eastAsia="宋体" w:cs="宋体"/>
          <w:lang w:val="en-US" w:eastAsia="zh-CN"/>
        </w:rPr>
        <w:t>为丙</w:t>
      </w:r>
      <w:r>
        <w:rPr>
          <w:rFonts w:hint="eastAsia" w:ascii="宋体" w:hAnsi="宋体" w:eastAsia="宋体" w:cs="宋体"/>
        </w:rPr>
        <w:t>类。各建筑物的耐火等级均为二级。在</w:t>
      </w:r>
      <w:r>
        <w:rPr>
          <w:rFonts w:hint="eastAsia" w:ascii="宋体" w:hAnsi="宋体" w:eastAsia="宋体" w:cs="宋体"/>
          <w:lang w:val="en-US" w:eastAsia="zh-CN"/>
        </w:rPr>
        <w:t>厂区内各生产车间周围设置有</w:t>
      </w:r>
      <w:r>
        <w:rPr>
          <w:rFonts w:hint="eastAsia" w:ascii="宋体" w:hAnsi="宋体" w:eastAsia="宋体" w:cs="宋体"/>
        </w:rPr>
        <w:t>环形消防通道</w:t>
      </w:r>
      <w:r>
        <w:rPr>
          <w:rFonts w:hint="eastAsia" w:ascii="宋体" w:hAnsi="宋体" w:eastAsia="宋体" w:cs="宋体"/>
          <w:lang w:eastAsia="zh-CN"/>
        </w:rPr>
        <w:t>，</w:t>
      </w:r>
      <w:r>
        <w:rPr>
          <w:rFonts w:hint="eastAsia" w:ascii="宋体" w:hAnsi="宋体" w:eastAsia="宋体" w:cs="宋体"/>
        </w:rPr>
        <w:t>内部</w:t>
      </w:r>
      <w:r>
        <w:rPr>
          <w:rFonts w:hint="eastAsia" w:ascii="宋体" w:hAnsi="宋体" w:eastAsia="宋体" w:cs="宋体"/>
          <w:lang w:val="en-US" w:eastAsia="zh-CN"/>
        </w:rPr>
        <w:t>最小</w:t>
      </w:r>
      <w:r>
        <w:rPr>
          <w:rFonts w:hint="eastAsia" w:ascii="宋体" w:hAnsi="宋体" w:eastAsia="宋体" w:cs="宋体"/>
        </w:rPr>
        <w:t>消防车道净宽6.0</w:t>
      </w:r>
      <w:r>
        <w:rPr>
          <w:rFonts w:hint="eastAsia" w:ascii="宋体" w:hAnsi="宋体" w:eastAsia="宋体" w:cs="宋体"/>
          <w:lang w:val="en-US" w:eastAsia="zh-CN"/>
        </w:rPr>
        <w:t>m</w:t>
      </w:r>
      <w:r>
        <w:rPr>
          <w:rFonts w:hint="eastAsia" w:ascii="宋体" w:hAnsi="宋体" w:eastAsia="宋体" w:cs="宋体"/>
        </w:rPr>
        <w:t>，</w:t>
      </w:r>
      <w:r>
        <w:rPr>
          <w:rFonts w:hint="eastAsia" w:ascii="宋体" w:hAnsi="宋体" w:eastAsia="宋体" w:cs="宋体"/>
          <w:lang w:val="en-US" w:eastAsia="zh-CN"/>
        </w:rPr>
        <w:t>路面</w:t>
      </w:r>
      <w:r>
        <w:rPr>
          <w:rFonts w:hint="eastAsia" w:ascii="宋体" w:hAnsi="宋体" w:eastAsia="宋体" w:cs="宋体"/>
        </w:rPr>
        <w:t>均进行硬化处理</w:t>
      </w:r>
      <w:r>
        <w:rPr>
          <w:rFonts w:hint="eastAsia" w:ascii="宋体" w:hAnsi="宋体" w:eastAsia="宋体" w:cs="宋体"/>
          <w:lang w:eastAsia="zh-CN"/>
        </w:rPr>
        <w:t>，</w:t>
      </w:r>
      <w:r>
        <w:rPr>
          <w:rFonts w:hint="eastAsia" w:ascii="宋体" w:hAnsi="宋体" w:eastAsia="宋体" w:cs="宋体"/>
        </w:rPr>
        <w:t>建筑布置和间距满足相关规范要求。</w:t>
      </w:r>
    </w:p>
    <w:p w14:paraId="43F2A857">
      <w:pPr>
        <w:keepNext w:val="0"/>
        <w:keepLines w:val="0"/>
        <w:pageBreakBefore w:val="0"/>
        <w:widowControl w:val="0"/>
        <w:numPr>
          <w:ilvl w:val="0"/>
          <w:numId w:val="29"/>
        </w:numPr>
        <w:kinsoku/>
        <w:wordWrap/>
        <w:overflowPunct/>
        <w:topLinePunct w:val="0"/>
        <w:autoSpaceDE w:val="0"/>
        <w:autoSpaceDN/>
        <w:bidi w:val="0"/>
        <w:snapToGrid/>
        <w:ind w:left="0" w:leftChars="0" w:firstLine="560" w:firstLineChars="200"/>
        <w:textAlignment w:val="auto"/>
        <w:rPr>
          <w:rFonts w:hint="eastAsia" w:ascii="宋体" w:hAnsi="宋体" w:eastAsia="宋体" w:cs="宋体"/>
          <w:color w:val="000000"/>
          <w:szCs w:val="28"/>
        </w:rPr>
      </w:pPr>
      <w:r>
        <w:rPr>
          <w:rFonts w:hint="eastAsia" w:ascii="宋体" w:hAnsi="宋体" w:eastAsia="宋体" w:cs="宋体"/>
          <w:color w:val="000000"/>
          <w:szCs w:val="28"/>
        </w:rPr>
        <w:t>消防给水系统</w:t>
      </w:r>
    </w:p>
    <w:p w14:paraId="3BAF8FE1">
      <w:pPr>
        <w:pStyle w:val="31"/>
        <w:keepNext w:val="0"/>
        <w:keepLines w:val="0"/>
        <w:pageBreakBefore w:val="0"/>
        <w:widowControl w:val="0"/>
        <w:numPr>
          <w:ilvl w:val="0"/>
          <w:numId w:val="3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000000"/>
          <w:szCs w:val="28"/>
        </w:rPr>
      </w:pPr>
      <w:r>
        <w:rPr>
          <w:rFonts w:hint="eastAsia" w:ascii="宋体" w:hAnsi="宋体" w:eastAsia="宋体" w:cs="宋体"/>
          <w:color w:val="000000"/>
          <w:szCs w:val="28"/>
        </w:rPr>
        <w:t>根据工厂基地面积约≤100 公顷，附有居住区人数≤1.5 万人，按照《</w:t>
      </w:r>
      <w:r>
        <w:rPr>
          <w:rFonts w:hint="eastAsia" w:ascii="宋体" w:hAnsi="宋体" w:eastAsia="宋体" w:cs="宋体"/>
          <w:color w:val="000000"/>
          <w:szCs w:val="28"/>
          <w:lang w:eastAsia="zh-CN"/>
        </w:rPr>
        <w:t>消防给水及消火栓系统技术规范</w:t>
      </w:r>
      <w:r>
        <w:rPr>
          <w:rFonts w:hint="eastAsia" w:ascii="宋体" w:hAnsi="宋体" w:eastAsia="宋体" w:cs="宋体"/>
          <w:color w:val="000000"/>
          <w:szCs w:val="28"/>
        </w:rPr>
        <w:t>》（GB50974-2014）第3.</w:t>
      </w:r>
      <w:r>
        <w:rPr>
          <w:rFonts w:hint="eastAsia" w:ascii="宋体" w:hAnsi="宋体" w:eastAsia="宋体" w:cs="宋体"/>
          <w:color w:val="000000"/>
          <w:szCs w:val="28"/>
          <w:lang w:val="en-US" w:eastAsia="zh-CN"/>
        </w:rPr>
        <w:t>1</w:t>
      </w:r>
      <w:r>
        <w:rPr>
          <w:rFonts w:hint="eastAsia" w:ascii="宋体" w:hAnsi="宋体" w:eastAsia="宋体" w:cs="宋体"/>
          <w:color w:val="000000"/>
          <w:szCs w:val="28"/>
        </w:rPr>
        <w:t>.</w:t>
      </w:r>
      <w:r>
        <w:rPr>
          <w:rFonts w:hint="eastAsia" w:ascii="宋体" w:hAnsi="宋体" w:eastAsia="宋体" w:cs="宋体"/>
          <w:color w:val="000000"/>
          <w:szCs w:val="28"/>
          <w:lang w:val="en-US" w:eastAsia="zh-CN"/>
        </w:rPr>
        <w:t>1</w:t>
      </w:r>
      <w:r>
        <w:rPr>
          <w:rFonts w:hint="eastAsia" w:ascii="宋体" w:hAnsi="宋体" w:eastAsia="宋体" w:cs="宋体"/>
          <w:color w:val="000000"/>
          <w:szCs w:val="28"/>
        </w:rPr>
        <w:t>条规定，全厂同时火灾次数为一次。</w:t>
      </w:r>
    </w:p>
    <w:p w14:paraId="208C69B4">
      <w:pPr>
        <w:pStyle w:val="31"/>
        <w:keepNext w:val="0"/>
        <w:keepLines w:val="0"/>
        <w:pageBreakBefore w:val="0"/>
        <w:widowControl w:val="0"/>
        <w:numPr>
          <w:ilvl w:val="0"/>
          <w:numId w:val="3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000000"/>
          <w:szCs w:val="28"/>
        </w:rPr>
      </w:pPr>
      <w:r>
        <w:rPr>
          <w:rFonts w:hint="eastAsia" w:ascii="宋体" w:hAnsi="宋体" w:eastAsia="宋体" w:cs="宋体"/>
          <w:color w:val="auto"/>
          <w:lang w:val="en-US" w:eastAsia="zh-CN"/>
        </w:rPr>
        <w:t>本项目一期工程建设有生产消防合用水池（288m</w:t>
      </w:r>
      <w:r>
        <w:rPr>
          <w:rFonts w:hint="eastAsia" w:ascii="宋体" w:hAnsi="宋体" w:eastAsia="宋体" w:cs="宋体"/>
          <w:color w:val="auto"/>
          <w:vertAlign w:val="superscript"/>
          <w:lang w:val="en-US" w:eastAsia="zh-CN"/>
        </w:rPr>
        <w:t>3</w:t>
      </w:r>
      <w:r>
        <w:rPr>
          <w:rFonts w:hint="eastAsia" w:ascii="宋体" w:hAnsi="宋体" w:eastAsia="宋体" w:cs="宋体"/>
          <w:color w:val="auto"/>
          <w:lang w:val="en-US" w:eastAsia="zh-CN"/>
        </w:rPr>
        <w:t>），集中控制室楼顶高位消防水箱（18m</w:t>
      </w:r>
      <w:r>
        <w:rPr>
          <w:rFonts w:hint="eastAsia" w:ascii="宋体" w:hAnsi="宋体" w:eastAsia="宋体" w:cs="宋体"/>
          <w:color w:val="auto"/>
          <w:vertAlign w:val="superscript"/>
          <w:lang w:val="en-US" w:eastAsia="zh-CN"/>
        </w:rPr>
        <w:t>3</w:t>
      </w:r>
      <w:r>
        <w:rPr>
          <w:rFonts w:hint="eastAsia" w:ascii="宋体" w:hAnsi="宋体" w:eastAsia="宋体" w:cs="宋体"/>
          <w:color w:val="auto"/>
          <w:lang w:val="en-US" w:eastAsia="zh-CN"/>
        </w:rPr>
        <w:t>）及增压稳压设备。本工程采用办公、消防共用的临时高压制供水系统。室外、室内消防用水由上述消防设施</w:t>
      </w:r>
      <w:r>
        <w:rPr>
          <w:rFonts w:hint="eastAsia" w:ascii="宋体" w:hAnsi="宋体" w:eastAsia="宋体" w:cs="宋体"/>
          <w:color w:val="auto"/>
          <w:szCs w:val="28"/>
        </w:rPr>
        <w:t>供给</w:t>
      </w:r>
      <w:r>
        <w:rPr>
          <w:rFonts w:hint="eastAsia" w:ascii="宋体" w:hAnsi="宋体" w:eastAsia="宋体" w:cs="宋体"/>
          <w:color w:val="auto"/>
          <w:szCs w:val="28"/>
          <w:lang w:eastAsia="zh-CN"/>
        </w:rPr>
        <w:t>，</w:t>
      </w:r>
      <w:r>
        <w:rPr>
          <w:rFonts w:hint="eastAsia" w:ascii="宋体" w:hAnsi="宋体" w:eastAsia="宋体" w:cs="宋体"/>
          <w:color w:val="auto"/>
          <w:szCs w:val="28"/>
        </w:rPr>
        <w:t>供水压力为0.3Mpa，</w:t>
      </w:r>
      <w:r>
        <w:rPr>
          <w:rFonts w:hint="eastAsia" w:ascii="宋体" w:hAnsi="宋体" w:eastAsia="宋体" w:cs="宋体"/>
          <w:color w:val="auto"/>
          <w:szCs w:val="28"/>
          <w:lang w:val="en-US" w:eastAsia="zh-CN"/>
        </w:rPr>
        <w:t>消防</w:t>
      </w:r>
      <w:r>
        <w:rPr>
          <w:rFonts w:hint="eastAsia" w:ascii="宋体" w:hAnsi="宋体" w:eastAsia="宋体" w:cs="宋体"/>
          <w:color w:val="auto"/>
          <w:szCs w:val="28"/>
        </w:rPr>
        <w:t>供水为</w:t>
      </w:r>
      <w:r>
        <w:rPr>
          <w:rFonts w:hint="eastAsia" w:ascii="宋体" w:hAnsi="宋体" w:eastAsia="宋体" w:cs="宋体"/>
          <w:color w:val="auto"/>
          <w:szCs w:val="28"/>
          <w:lang w:val="en-US" w:eastAsia="zh-CN"/>
        </w:rPr>
        <w:t>厂区自建</w:t>
      </w:r>
      <w:r>
        <w:rPr>
          <w:rFonts w:hint="eastAsia" w:ascii="宋体" w:hAnsi="宋体" w:eastAsia="宋体" w:cs="宋体"/>
          <w:color w:val="auto"/>
        </w:rPr>
        <w:t>独立</w:t>
      </w:r>
      <w:r>
        <w:rPr>
          <w:rFonts w:hint="eastAsia" w:ascii="宋体" w:hAnsi="宋体" w:eastAsia="宋体" w:cs="宋体"/>
          <w:color w:val="auto"/>
          <w:lang w:val="en-US" w:eastAsia="zh-CN"/>
        </w:rPr>
        <w:t>管网</w:t>
      </w:r>
      <w:r>
        <w:rPr>
          <w:rFonts w:hint="eastAsia" w:ascii="宋体" w:hAnsi="宋体" w:eastAsia="宋体" w:cs="宋体"/>
          <w:color w:val="auto"/>
          <w:szCs w:val="28"/>
        </w:rPr>
        <w:t>环状供水，为两路供水，</w:t>
      </w:r>
      <w:r>
        <w:rPr>
          <w:rFonts w:hint="eastAsia" w:ascii="宋体" w:hAnsi="宋体" w:eastAsia="宋体" w:cs="宋体"/>
          <w:color w:val="auto"/>
          <w:szCs w:val="28"/>
          <w:lang w:val="en-US" w:eastAsia="zh-CN"/>
        </w:rPr>
        <w:t>消防</w:t>
      </w:r>
      <w:r>
        <w:rPr>
          <w:rFonts w:hint="eastAsia" w:ascii="宋体" w:hAnsi="宋体" w:eastAsia="宋体" w:cs="宋体"/>
          <w:color w:val="auto"/>
          <w:szCs w:val="28"/>
        </w:rPr>
        <w:t>供水管管径为DN</w:t>
      </w:r>
      <w:r>
        <w:rPr>
          <w:rFonts w:hint="eastAsia" w:ascii="宋体" w:hAnsi="宋体" w:eastAsia="宋体" w:cs="宋体"/>
          <w:color w:val="auto"/>
          <w:szCs w:val="28"/>
          <w:lang w:val="en-US" w:eastAsia="zh-CN"/>
        </w:rPr>
        <w:t>2</w:t>
      </w:r>
      <w:r>
        <w:rPr>
          <w:rFonts w:hint="eastAsia" w:ascii="宋体" w:hAnsi="宋体" w:eastAsia="宋体" w:cs="宋体"/>
          <w:color w:val="auto"/>
          <w:szCs w:val="28"/>
        </w:rPr>
        <w:t>00，保证了消防用水的安全性。</w:t>
      </w:r>
      <w:r>
        <w:rPr>
          <w:rFonts w:hint="eastAsia" w:ascii="宋体" w:hAnsi="宋体" w:eastAsia="宋体" w:cs="宋体"/>
          <w:color w:val="auto"/>
          <w:szCs w:val="28"/>
          <w:lang w:val="en-US" w:eastAsia="zh-CN"/>
        </w:rPr>
        <w:t>设计消防用水量为35L/s，</w:t>
      </w:r>
      <w:r>
        <w:rPr>
          <w:rFonts w:hint="eastAsia" w:ascii="宋体" w:hAnsi="宋体" w:eastAsia="宋体" w:cs="宋体"/>
          <w:color w:val="auto"/>
          <w:szCs w:val="28"/>
        </w:rPr>
        <w:t>火灾延续时间</w:t>
      </w:r>
      <w:r>
        <w:rPr>
          <w:rFonts w:hint="eastAsia" w:ascii="宋体" w:hAnsi="宋体" w:eastAsia="宋体" w:cs="宋体"/>
          <w:color w:val="000000"/>
          <w:szCs w:val="28"/>
        </w:rPr>
        <w:t>为</w:t>
      </w:r>
      <w:r>
        <w:rPr>
          <w:rFonts w:hint="eastAsia" w:ascii="宋体" w:hAnsi="宋体" w:eastAsia="宋体" w:cs="宋体"/>
          <w:color w:val="000000"/>
          <w:szCs w:val="28"/>
          <w:lang w:val="en-US" w:eastAsia="zh-CN"/>
        </w:rPr>
        <w:t>2</w:t>
      </w:r>
      <w:r>
        <w:rPr>
          <w:rFonts w:hint="eastAsia" w:ascii="宋体" w:hAnsi="宋体" w:eastAsia="宋体" w:cs="宋体"/>
          <w:color w:val="000000"/>
          <w:szCs w:val="28"/>
        </w:rPr>
        <w:t>h</w:t>
      </w:r>
      <w:r>
        <w:rPr>
          <w:rFonts w:hint="eastAsia" w:ascii="宋体" w:hAnsi="宋体" w:eastAsia="宋体" w:cs="宋体"/>
          <w:color w:val="000000"/>
          <w:szCs w:val="28"/>
          <w:lang w:eastAsia="zh-CN"/>
        </w:rPr>
        <w:t>。</w:t>
      </w:r>
    </w:p>
    <w:p w14:paraId="3E995C14">
      <w:pPr>
        <w:pStyle w:val="31"/>
        <w:keepNext w:val="0"/>
        <w:keepLines w:val="0"/>
        <w:pageBreakBefore w:val="0"/>
        <w:widowControl w:val="0"/>
        <w:numPr>
          <w:ilvl w:val="0"/>
          <w:numId w:val="3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000000"/>
          <w:szCs w:val="28"/>
        </w:rPr>
      </w:pPr>
      <w:r>
        <w:rPr>
          <w:rFonts w:hint="eastAsia" w:ascii="宋体" w:hAnsi="宋体" w:eastAsia="宋体" w:cs="宋体"/>
          <w:color w:val="000000"/>
          <w:szCs w:val="28"/>
        </w:rPr>
        <w:t>消火栓采用小箱体口径</w:t>
      </w:r>
      <w:r>
        <w:rPr>
          <w:rFonts w:hint="eastAsia" w:ascii="宋体" w:hAnsi="宋体" w:eastAsia="宋体" w:cs="宋体"/>
          <w:color w:val="000000"/>
          <w:szCs w:val="28"/>
          <w:lang w:eastAsia="zh-CN"/>
        </w:rPr>
        <w:t>。</w:t>
      </w:r>
      <w:r>
        <w:rPr>
          <w:rFonts w:hint="eastAsia" w:ascii="宋体" w:hAnsi="宋体" w:eastAsia="宋体" w:cs="宋体"/>
          <w:color w:val="000000"/>
          <w:szCs w:val="28"/>
          <w:lang w:val="en-US" w:eastAsia="zh-CN"/>
        </w:rPr>
        <w:t>每个消火栓</w:t>
      </w:r>
      <w:r>
        <w:rPr>
          <w:rFonts w:hint="eastAsia" w:ascii="宋体" w:hAnsi="宋体" w:eastAsia="宋体" w:cs="宋体"/>
          <w:color w:val="000000"/>
          <w:szCs w:val="28"/>
        </w:rPr>
        <w:t>内配SN65消火栓一个，长25m衬胶消防水带—条，DN19水枪一支。</w:t>
      </w:r>
    </w:p>
    <w:p w14:paraId="22CE8385">
      <w:pPr>
        <w:pStyle w:val="31"/>
        <w:keepNext w:val="0"/>
        <w:keepLines w:val="0"/>
        <w:pageBreakBefore w:val="0"/>
        <w:widowControl w:val="0"/>
        <w:numPr>
          <w:ilvl w:val="0"/>
          <w:numId w:val="3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auto"/>
          <w:szCs w:val="28"/>
        </w:rPr>
      </w:pPr>
      <w:r>
        <w:rPr>
          <w:rFonts w:hint="eastAsia" w:ascii="宋体" w:hAnsi="宋体" w:eastAsia="宋体" w:cs="宋体"/>
          <w:color w:val="000000"/>
          <w:szCs w:val="28"/>
        </w:rPr>
        <w:t>室外消防给水管道在室外</w:t>
      </w:r>
      <w:r>
        <w:rPr>
          <w:rFonts w:hint="eastAsia" w:ascii="宋体" w:hAnsi="宋体" w:eastAsia="宋体" w:cs="宋体"/>
          <w:color w:val="000000"/>
          <w:szCs w:val="28"/>
          <w:lang w:eastAsia="zh-CN"/>
        </w:rPr>
        <w:t>呈</w:t>
      </w:r>
      <w:r>
        <w:rPr>
          <w:rFonts w:hint="eastAsia" w:ascii="宋体" w:hAnsi="宋体" w:eastAsia="宋体" w:cs="宋体"/>
          <w:color w:val="000000"/>
          <w:szCs w:val="28"/>
        </w:rPr>
        <w:t>环状布置，采用生</w:t>
      </w:r>
      <w:r>
        <w:rPr>
          <w:rFonts w:hint="eastAsia" w:ascii="宋体" w:hAnsi="宋体" w:eastAsia="宋体" w:cs="宋体"/>
          <w:color w:val="000000"/>
          <w:szCs w:val="28"/>
          <w:lang w:val="en-US" w:eastAsia="zh-CN"/>
        </w:rPr>
        <w:t>产</w:t>
      </w:r>
      <w:r>
        <w:rPr>
          <w:rFonts w:hint="eastAsia" w:ascii="宋体" w:hAnsi="宋体" w:eastAsia="宋体" w:cs="宋体"/>
          <w:color w:val="000000"/>
          <w:szCs w:val="28"/>
        </w:rPr>
        <w:t>、消防合用低压制供水系</w:t>
      </w:r>
      <w:r>
        <w:rPr>
          <w:rFonts w:hint="eastAsia" w:ascii="宋体" w:hAnsi="宋体" w:eastAsia="宋体" w:cs="宋体"/>
          <w:color w:val="auto"/>
          <w:szCs w:val="28"/>
        </w:rPr>
        <w:t>统，</w:t>
      </w:r>
      <w:r>
        <w:rPr>
          <w:rFonts w:hint="eastAsia" w:ascii="宋体" w:hAnsi="宋体" w:eastAsia="宋体" w:cs="宋体"/>
          <w:color w:val="auto"/>
          <w:szCs w:val="28"/>
          <w:lang w:val="en-US" w:eastAsia="zh-CN"/>
        </w:rPr>
        <w:t>羊街村委会供水管网和厂内循环水池两路直接供水</w:t>
      </w:r>
      <w:r>
        <w:rPr>
          <w:rFonts w:hint="eastAsia" w:ascii="宋体" w:hAnsi="宋体" w:eastAsia="宋体" w:cs="宋体"/>
          <w:color w:val="auto"/>
          <w:lang w:val="en-US" w:eastAsia="zh-CN"/>
        </w:rPr>
        <w:t>。</w:t>
      </w:r>
    </w:p>
    <w:p w14:paraId="60E35756">
      <w:pPr>
        <w:keepNext w:val="0"/>
        <w:keepLines w:val="0"/>
        <w:pageBreakBefore w:val="0"/>
        <w:widowControl w:val="0"/>
        <w:numPr>
          <w:ilvl w:val="0"/>
          <w:numId w:val="29"/>
        </w:numPr>
        <w:kinsoku/>
        <w:wordWrap/>
        <w:overflowPunct/>
        <w:topLinePunct w:val="0"/>
        <w:autoSpaceDE w:val="0"/>
        <w:autoSpaceDN/>
        <w:bidi w:val="0"/>
        <w:snapToGrid/>
        <w:ind w:left="0" w:leftChars="0" w:firstLine="560" w:firstLineChars="200"/>
        <w:textAlignment w:val="auto"/>
        <w:rPr>
          <w:rFonts w:hint="eastAsia" w:ascii="宋体" w:hAnsi="宋体" w:eastAsia="宋体" w:cs="宋体"/>
          <w:color w:val="000000"/>
          <w:szCs w:val="28"/>
        </w:rPr>
      </w:pPr>
      <w:r>
        <w:rPr>
          <w:rFonts w:hint="eastAsia" w:ascii="宋体" w:hAnsi="宋体" w:eastAsia="宋体" w:cs="宋体"/>
          <w:color w:val="000000"/>
          <w:szCs w:val="28"/>
        </w:rPr>
        <w:t>灭火器配置</w:t>
      </w:r>
    </w:p>
    <w:p w14:paraId="33140CE6">
      <w:pPr>
        <w:keepNext w:val="0"/>
        <w:keepLines w:val="0"/>
        <w:pageBreakBefore w:val="0"/>
        <w:widowControl w:val="0"/>
        <w:kinsoku/>
        <w:wordWrap/>
        <w:overflowPunct/>
        <w:topLinePunct w:val="0"/>
        <w:autoSpaceDE w:val="0"/>
        <w:autoSpaceDN/>
        <w:bidi w:val="0"/>
        <w:adjustRightInd/>
        <w:snapToGrid/>
        <w:ind w:firstLine="560"/>
        <w:textAlignment w:val="auto"/>
        <w:rPr>
          <w:rFonts w:hint="eastAsia" w:ascii="宋体" w:hAnsi="宋体" w:eastAsia="宋体" w:cs="宋体"/>
          <w:color w:val="000000"/>
          <w:szCs w:val="28"/>
        </w:rPr>
      </w:pPr>
      <w:r>
        <w:rPr>
          <w:rFonts w:hint="eastAsia" w:ascii="宋体" w:hAnsi="宋体" w:eastAsia="宋体" w:cs="宋体"/>
          <w:color w:val="000000"/>
          <w:szCs w:val="28"/>
        </w:rPr>
        <w:t>按照《建筑灭火器配置设计规范》（</w:t>
      </w:r>
      <w:r>
        <w:rPr>
          <w:rFonts w:hint="eastAsia" w:ascii="宋体" w:hAnsi="宋体" w:eastAsia="宋体" w:cs="宋体"/>
          <w:color w:val="000000"/>
        </w:rPr>
        <w:t>GB50140-2005</w:t>
      </w:r>
      <w:r>
        <w:rPr>
          <w:rFonts w:hint="eastAsia" w:ascii="宋体" w:hAnsi="宋体" w:eastAsia="宋体" w:cs="宋体"/>
          <w:color w:val="000000"/>
          <w:szCs w:val="28"/>
        </w:rPr>
        <w:t>）的规定，本项目的火灾种类有：A类火灾：固体火灾、E类火灾：电气火灾。各厂房均应按照《建筑灭火器配置设计规范》（</w:t>
      </w:r>
      <w:r>
        <w:rPr>
          <w:rFonts w:hint="eastAsia" w:ascii="宋体" w:hAnsi="宋体" w:eastAsia="宋体" w:cs="宋体"/>
          <w:color w:val="000000"/>
        </w:rPr>
        <w:t>GB50140-2005</w:t>
      </w:r>
      <w:r>
        <w:rPr>
          <w:rFonts w:hint="eastAsia" w:ascii="宋体" w:hAnsi="宋体" w:eastAsia="宋体" w:cs="宋体"/>
          <w:color w:val="000000"/>
          <w:szCs w:val="28"/>
        </w:rPr>
        <w:t>）的要求设置手提式干粉灭火器。</w:t>
      </w:r>
    </w:p>
    <w:p w14:paraId="24880968">
      <w:pPr>
        <w:pStyle w:val="31"/>
        <w:keepNext w:val="0"/>
        <w:keepLines w:val="0"/>
        <w:pageBreakBefore w:val="0"/>
        <w:widowControl w:val="0"/>
        <w:numPr>
          <w:ilvl w:val="0"/>
          <w:numId w:val="31"/>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000000"/>
          <w:szCs w:val="28"/>
        </w:rPr>
      </w:pPr>
      <w:r>
        <w:rPr>
          <w:rFonts w:hint="eastAsia" w:ascii="宋体" w:hAnsi="宋体" w:eastAsia="宋体" w:cs="宋体"/>
          <w:color w:val="000000"/>
          <w:szCs w:val="28"/>
        </w:rPr>
        <w:t>依据《建筑灭火器配置设计规范》(GB50140-2005)，本</w:t>
      </w:r>
      <w:r>
        <w:rPr>
          <w:rFonts w:hint="eastAsia" w:ascii="宋体" w:hAnsi="宋体" w:eastAsia="宋体" w:cs="宋体"/>
          <w:color w:val="000000"/>
          <w:szCs w:val="28"/>
          <w:lang w:val="en-US" w:eastAsia="zh-CN"/>
        </w:rPr>
        <w:t>一期</w:t>
      </w:r>
      <w:r>
        <w:rPr>
          <w:rFonts w:hint="eastAsia" w:ascii="宋体" w:hAnsi="宋体" w:eastAsia="宋体" w:cs="宋体"/>
          <w:color w:val="000000"/>
          <w:szCs w:val="28"/>
        </w:rPr>
        <w:t>工程</w:t>
      </w:r>
      <w:r>
        <w:rPr>
          <w:rFonts w:hint="eastAsia" w:ascii="宋体" w:hAnsi="宋体" w:eastAsia="宋体" w:cs="宋体"/>
          <w:color w:val="000000"/>
          <w:szCs w:val="28"/>
          <w:lang w:val="en-US" w:eastAsia="zh-CN"/>
        </w:rPr>
        <w:t>成品</w:t>
      </w:r>
      <w:r>
        <w:rPr>
          <w:rFonts w:hint="eastAsia" w:ascii="宋体" w:hAnsi="宋体" w:eastAsia="宋体" w:cs="宋体"/>
        </w:rPr>
        <w:t>仓库、联合车间</w:t>
      </w:r>
      <w:r>
        <w:rPr>
          <w:rFonts w:hint="eastAsia" w:ascii="宋体" w:hAnsi="宋体" w:eastAsia="宋体" w:cs="宋体"/>
          <w:color w:val="000000"/>
          <w:szCs w:val="28"/>
        </w:rPr>
        <w:t>为</w:t>
      </w:r>
      <w:r>
        <w:rPr>
          <w:rFonts w:hint="eastAsia" w:ascii="宋体" w:hAnsi="宋体" w:eastAsia="宋体" w:cs="宋体"/>
        </w:rPr>
        <w:t>轻危险级</w:t>
      </w:r>
      <w:r>
        <w:rPr>
          <w:rFonts w:hint="eastAsia" w:ascii="宋体" w:hAnsi="宋体" w:eastAsia="宋体" w:cs="宋体"/>
          <w:color w:val="000000"/>
          <w:szCs w:val="28"/>
        </w:rPr>
        <w:t>，单具灭火器最小配置灭火级别为</w:t>
      </w:r>
      <w:r>
        <w:rPr>
          <w:rFonts w:hint="eastAsia" w:ascii="宋体" w:hAnsi="宋体" w:eastAsia="宋体" w:cs="宋体"/>
          <w:color w:val="000000"/>
          <w:szCs w:val="28"/>
          <w:lang w:val="en-US" w:eastAsia="zh-CN"/>
        </w:rPr>
        <w:t>1</w:t>
      </w:r>
      <w:r>
        <w:rPr>
          <w:rFonts w:hint="eastAsia" w:ascii="宋体" w:hAnsi="宋体" w:eastAsia="宋体" w:cs="宋体"/>
          <w:color w:val="000000"/>
          <w:szCs w:val="28"/>
        </w:rPr>
        <w:t>A，单位灭火级别最大保护面积为</w:t>
      </w:r>
      <w:r>
        <w:rPr>
          <w:rFonts w:hint="eastAsia" w:ascii="宋体" w:hAnsi="宋体" w:eastAsia="宋体" w:cs="宋体"/>
          <w:color w:val="000000"/>
          <w:szCs w:val="28"/>
          <w:lang w:val="en-US" w:eastAsia="zh-CN"/>
        </w:rPr>
        <w:t>100</w:t>
      </w:r>
      <w:r>
        <w:rPr>
          <w:rFonts w:hint="eastAsia" w:ascii="宋体" w:hAnsi="宋体" w:eastAsia="宋体" w:cs="宋体"/>
          <w:color w:val="000000"/>
          <w:szCs w:val="28"/>
          <w:lang w:eastAsia="zh-CN"/>
        </w:rPr>
        <w:t>㎡</w:t>
      </w:r>
      <w:r>
        <w:rPr>
          <w:rFonts w:hint="eastAsia" w:ascii="宋体" w:hAnsi="宋体" w:eastAsia="宋体" w:cs="宋体"/>
          <w:color w:val="000000"/>
          <w:szCs w:val="28"/>
        </w:rPr>
        <w:t>/A，最大保护距离不应大2</w:t>
      </w:r>
      <w:r>
        <w:rPr>
          <w:rFonts w:hint="eastAsia" w:ascii="宋体" w:hAnsi="宋体" w:eastAsia="宋体" w:cs="宋体"/>
          <w:color w:val="000000"/>
          <w:szCs w:val="28"/>
          <w:lang w:val="en-US" w:eastAsia="zh-CN"/>
        </w:rPr>
        <w:t>5</w:t>
      </w:r>
      <w:r>
        <w:rPr>
          <w:rFonts w:hint="eastAsia" w:ascii="宋体" w:hAnsi="宋体" w:eastAsia="宋体" w:cs="宋体"/>
          <w:color w:val="000000"/>
          <w:szCs w:val="28"/>
        </w:rPr>
        <w:t>m，火灾种类属A类火灾。</w:t>
      </w:r>
      <w:r>
        <w:rPr>
          <w:rFonts w:hint="eastAsia" w:ascii="宋体" w:hAnsi="宋体" w:eastAsia="宋体" w:cs="宋体"/>
        </w:rPr>
        <w:t>配电室</w:t>
      </w:r>
      <w:r>
        <w:rPr>
          <w:rFonts w:hint="eastAsia" w:ascii="宋体" w:hAnsi="宋体" w:eastAsia="宋体" w:cs="宋体"/>
          <w:color w:val="000000"/>
          <w:szCs w:val="28"/>
        </w:rPr>
        <w:t>为</w:t>
      </w:r>
      <w:r>
        <w:rPr>
          <w:rFonts w:hint="eastAsia" w:ascii="宋体" w:hAnsi="宋体" w:eastAsia="宋体" w:cs="宋体"/>
        </w:rPr>
        <w:t>轻危险级</w:t>
      </w:r>
      <w:r>
        <w:rPr>
          <w:rFonts w:hint="eastAsia" w:ascii="宋体" w:hAnsi="宋体" w:eastAsia="宋体" w:cs="宋体"/>
          <w:color w:val="000000"/>
          <w:szCs w:val="28"/>
        </w:rPr>
        <w:t>，单具灭火器最小配置灭火级别为</w:t>
      </w:r>
      <w:r>
        <w:rPr>
          <w:rFonts w:hint="eastAsia" w:ascii="宋体" w:hAnsi="宋体" w:eastAsia="宋体" w:cs="宋体"/>
          <w:color w:val="000000"/>
          <w:szCs w:val="28"/>
          <w:lang w:val="en-US" w:eastAsia="zh-CN"/>
        </w:rPr>
        <w:t>1</w:t>
      </w:r>
      <w:r>
        <w:rPr>
          <w:rFonts w:hint="eastAsia" w:ascii="宋体" w:hAnsi="宋体" w:eastAsia="宋体" w:cs="宋体"/>
          <w:color w:val="000000"/>
          <w:szCs w:val="28"/>
        </w:rPr>
        <w:t>A，单位灭火级别最大保护面积为</w:t>
      </w:r>
      <w:r>
        <w:rPr>
          <w:rFonts w:hint="eastAsia" w:ascii="宋体" w:hAnsi="宋体" w:eastAsia="宋体" w:cs="宋体"/>
          <w:color w:val="000000"/>
          <w:szCs w:val="28"/>
          <w:lang w:val="en-US" w:eastAsia="zh-CN"/>
        </w:rPr>
        <w:t>100</w:t>
      </w:r>
      <w:r>
        <w:rPr>
          <w:rFonts w:hint="eastAsia" w:ascii="宋体" w:hAnsi="宋体" w:eastAsia="宋体" w:cs="宋体"/>
          <w:color w:val="000000"/>
          <w:szCs w:val="28"/>
          <w:lang w:eastAsia="zh-CN"/>
        </w:rPr>
        <w:t>㎡</w:t>
      </w:r>
      <w:r>
        <w:rPr>
          <w:rFonts w:hint="eastAsia" w:ascii="宋体" w:hAnsi="宋体" w:eastAsia="宋体" w:cs="宋体"/>
          <w:color w:val="000000"/>
          <w:szCs w:val="28"/>
        </w:rPr>
        <w:t>/A，最大保护距离不应大2</w:t>
      </w:r>
      <w:r>
        <w:rPr>
          <w:rFonts w:hint="eastAsia" w:ascii="宋体" w:hAnsi="宋体" w:eastAsia="宋体" w:cs="宋体"/>
          <w:color w:val="000000"/>
          <w:szCs w:val="28"/>
          <w:lang w:val="en-US" w:eastAsia="zh-CN"/>
        </w:rPr>
        <w:t>5</w:t>
      </w:r>
      <w:r>
        <w:rPr>
          <w:rFonts w:hint="eastAsia" w:ascii="宋体" w:hAnsi="宋体" w:eastAsia="宋体" w:cs="宋体"/>
          <w:color w:val="000000"/>
          <w:szCs w:val="28"/>
        </w:rPr>
        <w:t>m，火灾种类属</w:t>
      </w:r>
      <w:r>
        <w:rPr>
          <w:rFonts w:hint="eastAsia" w:ascii="宋体" w:hAnsi="宋体" w:eastAsia="宋体" w:cs="宋体"/>
          <w:color w:val="000000"/>
          <w:szCs w:val="28"/>
          <w:lang w:val="en-US" w:eastAsia="zh-CN"/>
        </w:rPr>
        <w:t>E</w:t>
      </w:r>
      <w:r>
        <w:rPr>
          <w:rFonts w:hint="eastAsia" w:ascii="宋体" w:hAnsi="宋体" w:eastAsia="宋体" w:cs="宋体"/>
          <w:color w:val="000000"/>
          <w:szCs w:val="28"/>
        </w:rPr>
        <w:t>类火灾。</w:t>
      </w:r>
    </w:p>
    <w:p w14:paraId="3B0315AC">
      <w:pPr>
        <w:pStyle w:val="31"/>
        <w:keepNext w:val="0"/>
        <w:keepLines w:val="0"/>
        <w:pageBreakBefore w:val="0"/>
        <w:widowControl w:val="0"/>
        <w:numPr>
          <w:ilvl w:val="0"/>
          <w:numId w:val="31"/>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000000"/>
          <w:szCs w:val="28"/>
        </w:rPr>
      </w:pPr>
      <w:r>
        <w:rPr>
          <w:rFonts w:hint="eastAsia" w:ascii="宋体" w:hAnsi="宋体" w:eastAsia="宋体" w:cs="宋体"/>
          <w:color w:val="000000"/>
          <w:szCs w:val="28"/>
        </w:rPr>
        <w:t>灭火器选用贮压式干粉灭火器，灭火剂为磷酸铵盐。灭火器设置在灭火箱内，底部离地面高度为0.2米，顶部离地面高度不应大于1.5m，灭火器箱不得上锁</w:t>
      </w:r>
      <w:r>
        <w:rPr>
          <w:rFonts w:hint="eastAsia" w:ascii="宋体" w:hAnsi="宋体" w:eastAsia="宋体" w:cs="宋体"/>
          <w:color w:val="000000"/>
          <w:szCs w:val="28"/>
          <w:lang w:eastAsia="zh-CN"/>
        </w:rPr>
        <w:t>，</w:t>
      </w:r>
      <w:r>
        <w:rPr>
          <w:rFonts w:hint="eastAsia" w:ascii="宋体" w:hAnsi="宋体" w:eastAsia="宋体" w:cs="宋体"/>
          <w:color w:val="000000"/>
          <w:szCs w:val="28"/>
        </w:rPr>
        <w:t>灭火器摆放应稳固，其铭牌应朝外。</w:t>
      </w:r>
    </w:p>
    <w:p w14:paraId="57002C44">
      <w:pPr>
        <w:pStyle w:val="31"/>
        <w:keepNext w:val="0"/>
        <w:keepLines w:val="0"/>
        <w:pageBreakBefore w:val="0"/>
        <w:widowControl w:val="0"/>
        <w:numPr>
          <w:ilvl w:val="0"/>
          <w:numId w:val="31"/>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color w:val="000000"/>
          <w:szCs w:val="28"/>
        </w:rPr>
        <w:t>在方便取用的位置</w:t>
      </w:r>
      <w:r>
        <w:rPr>
          <w:rFonts w:hint="eastAsia" w:ascii="宋体" w:hAnsi="宋体" w:eastAsia="宋体" w:cs="宋体"/>
          <w:color w:val="000000"/>
          <w:szCs w:val="28"/>
          <w:lang w:eastAsia="zh-CN"/>
        </w:rPr>
        <w:t>设置</w:t>
      </w:r>
      <w:r>
        <w:rPr>
          <w:rFonts w:hint="eastAsia" w:ascii="宋体" w:hAnsi="宋体" w:eastAsia="宋体" w:cs="宋体"/>
          <w:color w:val="000000"/>
          <w:szCs w:val="28"/>
        </w:rPr>
        <w:t>MF/ABC4的手提式干粉磷酸铵盐灭火器，每个设置点设置规格为</w:t>
      </w:r>
      <w:r>
        <w:rPr>
          <w:rFonts w:hint="eastAsia" w:ascii="宋体" w:hAnsi="宋体" w:eastAsia="宋体" w:cs="宋体"/>
          <w:color w:val="000000"/>
          <w:szCs w:val="28"/>
          <w:lang w:eastAsia="zh-CN"/>
        </w:rPr>
        <w:t>：</w:t>
      </w:r>
      <w:r>
        <w:rPr>
          <w:rFonts w:hint="eastAsia" w:ascii="宋体" w:hAnsi="宋体" w:eastAsia="宋体" w:cs="宋体"/>
          <w:color w:val="000000"/>
          <w:szCs w:val="28"/>
        </w:rPr>
        <w:t>2MF/ABC4</w:t>
      </w:r>
      <w:r>
        <w:rPr>
          <w:rFonts w:hint="eastAsia" w:ascii="宋体" w:hAnsi="宋体" w:eastAsia="宋体" w:cs="宋体"/>
          <w:color w:val="000000"/>
          <w:szCs w:val="28"/>
          <w:lang w:eastAsia="zh-CN"/>
        </w:rPr>
        <w:t>。</w:t>
      </w:r>
    </w:p>
    <w:p w14:paraId="6D230999">
      <w:pPr>
        <w:pStyle w:val="4"/>
        <w:keepNext w:val="0"/>
        <w:keepLines w:val="0"/>
        <w:pageBreakBefore w:val="0"/>
        <w:widowControl w:val="0"/>
        <w:kinsoku/>
        <w:wordWrap/>
        <w:overflowPunct/>
        <w:topLinePunct w:val="0"/>
        <w:autoSpaceDN/>
        <w:bidi w:val="0"/>
        <w:adjustRightInd/>
        <w:textAlignment w:val="auto"/>
        <w:rPr>
          <w:rFonts w:hint="eastAsia"/>
          <w:lang w:val="en-US" w:eastAsia="zh-CN"/>
        </w:rPr>
      </w:pPr>
      <w:bookmarkStart w:id="392" w:name="_Toc1261"/>
      <w:r>
        <w:rPr>
          <w:rFonts w:hint="eastAsia"/>
          <w:lang w:val="en-US" w:eastAsia="zh-CN"/>
        </w:rPr>
        <w:t>采暖通风</w:t>
      </w:r>
      <w:bookmarkEnd w:id="390"/>
      <w:bookmarkEnd w:id="391"/>
      <w:r>
        <w:rPr>
          <w:rFonts w:hint="eastAsia"/>
          <w:lang w:val="en-US" w:eastAsia="zh-CN"/>
        </w:rPr>
        <w:t>系统</w:t>
      </w:r>
      <w:bookmarkEnd w:id="392"/>
    </w:p>
    <w:p w14:paraId="2D77A163">
      <w:pPr>
        <w:keepNext w:val="0"/>
        <w:keepLines w:val="0"/>
        <w:pageBreakBefore w:val="0"/>
        <w:widowControl w:val="0"/>
        <w:numPr>
          <w:ilvl w:val="0"/>
          <w:numId w:val="32"/>
        </w:numPr>
        <w:kinsoku/>
        <w:autoSpaceDE w:val="0"/>
        <w:bidi w:val="0"/>
        <w:ind w:left="0" w:leftChars="0" w:firstLine="560" w:firstLineChars="200"/>
        <w:rPr>
          <w:rFonts w:hint="eastAsia" w:cs="Times New Roman"/>
        </w:rPr>
      </w:pPr>
      <w:r>
        <w:rPr>
          <w:rFonts w:hint="eastAsia" w:cs="Times New Roman"/>
        </w:rPr>
        <w:t>采暖</w:t>
      </w:r>
    </w:p>
    <w:p w14:paraId="617721F0">
      <w:pPr>
        <w:ind w:firstLine="560" w:firstLineChars="200"/>
        <w:rPr>
          <w:rFonts w:cs="Times New Roman"/>
        </w:rPr>
      </w:pPr>
      <w:r>
        <w:rPr>
          <w:rFonts w:hint="eastAsia" w:cs="Times New Roman"/>
          <w:lang w:val="en-US" w:eastAsia="zh-CN"/>
        </w:rPr>
        <w:t>本</w:t>
      </w:r>
      <w:r>
        <w:rPr>
          <w:rFonts w:hint="eastAsia" w:cs="Times New Roman"/>
        </w:rPr>
        <w:t>项目所在地年平均气温</w:t>
      </w:r>
      <w:r>
        <w:rPr>
          <w:rFonts w:cs="Times New Roman"/>
        </w:rPr>
        <w:t>16.1</w:t>
      </w:r>
      <w:r>
        <w:rPr>
          <w:rFonts w:hint="eastAsia" w:cs="Times New Roman"/>
        </w:rPr>
        <w:t>℃，不属于集中采暖地区。</w:t>
      </w:r>
    </w:p>
    <w:p w14:paraId="325DDF43">
      <w:pPr>
        <w:keepNext w:val="0"/>
        <w:keepLines w:val="0"/>
        <w:pageBreakBefore w:val="0"/>
        <w:widowControl w:val="0"/>
        <w:numPr>
          <w:ilvl w:val="0"/>
          <w:numId w:val="32"/>
        </w:numPr>
        <w:kinsoku/>
        <w:autoSpaceDE w:val="0"/>
        <w:bidi w:val="0"/>
        <w:ind w:left="0" w:leftChars="0" w:firstLine="560" w:firstLineChars="200"/>
        <w:rPr>
          <w:rFonts w:hint="eastAsia" w:cs="Times New Roman"/>
        </w:rPr>
      </w:pPr>
      <w:r>
        <w:rPr>
          <w:rFonts w:hint="eastAsia" w:cs="Times New Roman"/>
        </w:rPr>
        <w:t>通风</w:t>
      </w:r>
    </w:p>
    <w:p w14:paraId="77F00BC8">
      <w:pPr>
        <w:keepNext w:val="0"/>
        <w:keepLines w:val="0"/>
        <w:pageBreakBefore w:val="0"/>
        <w:widowControl w:val="0"/>
        <w:kinsoku/>
        <w:wordWrap/>
        <w:overflowPunct/>
        <w:topLinePunct w:val="0"/>
        <w:autoSpaceDN/>
        <w:bidi w:val="0"/>
        <w:adjustRightInd/>
        <w:textAlignment w:val="auto"/>
        <w:rPr>
          <w:rFonts w:hint="default" w:cs="Times New Roman"/>
          <w:lang w:val="en-US" w:eastAsia="zh-CN"/>
        </w:rPr>
      </w:pPr>
      <w:r>
        <w:rPr>
          <w:rFonts w:hint="eastAsia" w:cs="Times New Roman"/>
        </w:rPr>
        <w:t>本项目生产厂房</w:t>
      </w:r>
      <w:r>
        <w:rPr>
          <w:rFonts w:hint="eastAsia" w:cs="Times New Roman"/>
          <w:lang w:val="en-US" w:eastAsia="zh-CN"/>
        </w:rPr>
        <w:t>以</w:t>
      </w:r>
      <w:r>
        <w:rPr>
          <w:rFonts w:hint="eastAsia" w:cs="Times New Roman"/>
        </w:rPr>
        <w:t>机械通风为</w:t>
      </w:r>
      <w:r>
        <w:rPr>
          <w:rFonts w:hint="eastAsia" w:cs="Times New Roman"/>
          <w:lang w:val="en-US" w:eastAsia="zh-CN"/>
        </w:rPr>
        <w:t>主</w:t>
      </w:r>
      <w:r>
        <w:rPr>
          <w:rFonts w:hint="eastAsia" w:cs="Times New Roman"/>
        </w:rPr>
        <w:t>。</w:t>
      </w:r>
      <w:r>
        <w:rPr>
          <w:rFonts w:hint="eastAsia" w:cs="Times New Roman"/>
          <w:lang w:val="en-US" w:eastAsia="zh-CN"/>
        </w:rPr>
        <w:t>配电柜设置固定窗，以自然通风为主。</w:t>
      </w:r>
    </w:p>
    <w:p w14:paraId="2FF4C078">
      <w:pPr>
        <w:pStyle w:val="4"/>
        <w:keepNext w:val="0"/>
        <w:keepLines w:val="0"/>
        <w:pageBreakBefore w:val="0"/>
        <w:widowControl w:val="0"/>
        <w:kinsoku/>
        <w:bidi w:val="0"/>
        <w:rPr>
          <w:rFonts w:hint="eastAsia"/>
          <w:lang w:val="en-US" w:eastAsia="zh-CN"/>
        </w:rPr>
      </w:pPr>
      <w:bookmarkStart w:id="393" w:name="_Toc31262"/>
      <w:r>
        <w:rPr>
          <w:rFonts w:hint="eastAsia"/>
          <w:lang w:val="en-US" w:eastAsia="zh-CN"/>
        </w:rPr>
        <w:t>供气系统</w:t>
      </w:r>
      <w:bookmarkEnd w:id="393"/>
    </w:p>
    <w:bookmarkEnd w:id="387"/>
    <w:p w14:paraId="25A9CD7A">
      <w:pPr>
        <w:keepNext w:val="0"/>
        <w:keepLines w:val="0"/>
        <w:pageBreakBefore w:val="0"/>
        <w:widowControl w:val="0"/>
        <w:kinsoku/>
        <w:wordWrap/>
        <w:overflowPunct/>
        <w:topLinePunct w:val="0"/>
        <w:autoSpaceDE/>
        <w:autoSpaceDN/>
        <w:bidi w:val="0"/>
        <w:adjustRightInd w:val="0"/>
        <w:snapToGrid/>
        <w:ind w:firstLine="560"/>
        <w:textAlignment w:val="auto"/>
        <w:rPr>
          <w:rFonts w:hint="eastAsia" w:ascii="宋体" w:hAnsi="宋体" w:eastAsia="宋体" w:cs="宋体"/>
          <w:color w:val="000000"/>
          <w:szCs w:val="24"/>
        </w:rPr>
      </w:pPr>
      <w:bookmarkStart w:id="394" w:name="_Toc306353331"/>
      <w:bookmarkStart w:id="395" w:name="_Toc293647196"/>
      <w:bookmarkStart w:id="396" w:name="_Toc300059804"/>
      <w:bookmarkStart w:id="397" w:name="_Toc297737244"/>
      <w:bookmarkStart w:id="398" w:name="_Toc297900101"/>
      <w:bookmarkStart w:id="399" w:name="_Toc293586576"/>
      <w:bookmarkStart w:id="400" w:name="_Toc60925343"/>
      <w:bookmarkStart w:id="401" w:name="_Toc12708"/>
      <w:bookmarkStart w:id="402" w:name="_Toc55945237"/>
      <w:bookmarkStart w:id="403" w:name="_Toc14755"/>
      <w:bookmarkStart w:id="404" w:name="_Toc55567380"/>
      <w:bookmarkStart w:id="405" w:name="_Toc55033318"/>
      <w:r>
        <w:rPr>
          <w:rFonts w:hint="eastAsia" w:ascii="宋体" w:hAnsi="宋体" w:eastAsia="宋体" w:cs="宋体"/>
          <w:color w:val="000000"/>
          <w:szCs w:val="24"/>
        </w:rPr>
        <w:t>本项目</w:t>
      </w:r>
      <w:r>
        <w:rPr>
          <w:rFonts w:hint="eastAsia" w:ascii="宋体" w:hAnsi="宋体" w:eastAsia="宋体" w:cs="宋体"/>
          <w:color w:val="000000"/>
          <w:szCs w:val="24"/>
          <w:lang w:val="en-US" w:eastAsia="zh-CN"/>
        </w:rPr>
        <w:t>在1#联合车间内设有LU280W-8气流磨</w:t>
      </w:r>
      <w:r>
        <w:rPr>
          <w:rFonts w:hint="eastAsia" w:ascii="宋体" w:hAnsi="宋体" w:eastAsia="宋体" w:cs="宋体"/>
          <w:color w:val="000000"/>
          <w:szCs w:val="24"/>
        </w:rPr>
        <w:t>空压机</w:t>
      </w:r>
      <w:r>
        <w:rPr>
          <w:rFonts w:hint="eastAsia" w:ascii="宋体" w:hAnsi="宋体" w:eastAsia="宋体" w:cs="宋体"/>
          <w:color w:val="000000"/>
          <w:szCs w:val="24"/>
          <w:lang w:eastAsia="zh-CN"/>
        </w:rPr>
        <w:t>（</w:t>
      </w:r>
      <w:r>
        <w:rPr>
          <w:rFonts w:hint="eastAsia" w:ascii="宋体" w:hAnsi="宋体" w:eastAsia="宋体" w:cs="宋体"/>
          <w:color w:val="000000"/>
          <w:szCs w:val="24"/>
        </w:rPr>
        <w:t>60m</w:t>
      </w:r>
      <w:r>
        <w:rPr>
          <w:rFonts w:hint="eastAsia" w:ascii="宋体" w:hAnsi="宋体" w:eastAsia="宋体" w:cs="宋体"/>
          <w:color w:val="000000"/>
          <w:szCs w:val="24"/>
          <w:vertAlign w:val="superscript"/>
        </w:rPr>
        <w:t>3</w:t>
      </w:r>
      <w:r>
        <w:rPr>
          <w:rFonts w:hint="eastAsia" w:ascii="宋体" w:hAnsi="宋体" w:eastAsia="宋体" w:cs="宋体"/>
          <w:color w:val="000000"/>
          <w:szCs w:val="24"/>
        </w:rPr>
        <w:t>/min</w:t>
      </w:r>
      <w:r>
        <w:rPr>
          <w:rFonts w:hint="eastAsia" w:ascii="宋体" w:hAnsi="宋体" w:eastAsia="宋体" w:cs="宋体"/>
          <w:color w:val="000000"/>
          <w:szCs w:val="24"/>
          <w:lang w:eastAsia="zh-CN"/>
        </w:rPr>
        <w:t>）</w:t>
      </w:r>
      <w:r>
        <w:rPr>
          <w:rFonts w:hint="eastAsia" w:ascii="宋体" w:hAnsi="宋体" w:eastAsia="宋体" w:cs="宋体"/>
          <w:color w:val="000000"/>
          <w:szCs w:val="24"/>
          <w:lang w:val="en-US" w:eastAsia="zh-CN"/>
        </w:rPr>
        <w:t>3台</w:t>
      </w:r>
      <w:r>
        <w:rPr>
          <w:rFonts w:hint="eastAsia" w:ascii="宋体" w:hAnsi="宋体" w:eastAsia="宋体" w:cs="宋体"/>
          <w:color w:val="000000"/>
          <w:szCs w:val="24"/>
        </w:rPr>
        <w:t>，空压机2用一</w:t>
      </w:r>
      <w:r>
        <w:rPr>
          <w:rFonts w:hint="eastAsia" w:ascii="宋体" w:hAnsi="宋体" w:eastAsia="宋体" w:cs="宋体"/>
          <w:color w:val="000000"/>
          <w:szCs w:val="24"/>
          <w:lang w:val="en-US" w:eastAsia="zh-CN"/>
        </w:rPr>
        <w:t>备。在空压站设置LU90-8G电炉空压机</w:t>
      </w:r>
      <w:r>
        <w:rPr>
          <w:rFonts w:hint="eastAsia" w:ascii="宋体" w:hAnsi="宋体" w:eastAsia="宋体" w:cs="宋体"/>
          <w:color w:val="000000"/>
          <w:szCs w:val="24"/>
          <w:lang w:eastAsia="zh-CN"/>
        </w:rPr>
        <w:t>（</w:t>
      </w:r>
      <w:r>
        <w:rPr>
          <w:rFonts w:hint="eastAsia" w:ascii="宋体" w:hAnsi="宋体" w:eastAsia="宋体" w:cs="宋体"/>
          <w:color w:val="000000"/>
          <w:szCs w:val="24"/>
          <w:lang w:val="en-US" w:eastAsia="zh-CN"/>
        </w:rPr>
        <w:t>14</w:t>
      </w:r>
      <w:r>
        <w:rPr>
          <w:rFonts w:hint="eastAsia" w:ascii="宋体" w:hAnsi="宋体" w:eastAsia="宋体" w:cs="宋体"/>
          <w:color w:val="000000"/>
          <w:szCs w:val="24"/>
        </w:rPr>
        <w:t>m</w:t>
      </w:r>
      <w:r>
        <w:rPr>
          <w:rFonts w:hint="eastAsia" w:ascii="宋体" w:hAnsi="宋体" w:eastAsia="宋体" w:cs="宋体"/>
          <w:color w:val="000000"/>
          <w:szCs w:val="24"/>
          <w:vertAlign w:val="superscript"/>
        </w:rPr>
        <w:t>3</w:t>
      </w:r>
      <w:r>
        <w:rPr>
          <w:rFonts w:hint="eastAsia" w:ascii="宋体" w:hAnsi="宋体" w:eastAsia="宋体" w:cs="宋体"/>
          <w:color w:val="000000"/>
          <w:szCs w:val="24"/>
        </w:rPr>
        <w:t>/min</w:t>
      </w:r>
      <w:r>
        <w:rPr>
          <w:rFonts w:hint="eastAsia" w:ascii="宋体" w:hAnsi="宋体" w:eastAsia="宋体" w:cs="宋体"/>
          <w:color w:val="000000"/>
          <w:szCs w:val="24"/>
          <w:lang w:eastAsia="zh-CN"/>
        </w:rPr>
        <w:t>）</w:t>
      </w:r>
      <w:r>
        <w:rPr>
          <w:rFonts w:hint="eastAsia" w:ascii="宋体" w:hAnsi="宋体" w:eastAsia="宋体" w:cs="宋体"/>
          <w:color w:val="000000"/>
          <w:szCs w:val="24"/>
          <w:lang w:val="en-US" w:eastAsia="zh-CN"/>
        </w:rPr>
        <w:t>2台。</w:t>
      </w:r>
      <w:r>
        <w:rPr>
          <w:rFonts w:hint="eastAsia" w:ascii="宋体" w:hAnsi="宋体" w:eastAsia="宋体" w:cs="宋体"/>
          <w:color w:val="000000"/>
          <w:szCs w:val="24"/>
        </w:rPr>
        <w:t>由储气罐将压缩空气用管道</w:t>
      </w:r>
      <w:r>
        <w:rPr>
          <w:rFonts w:hint="eastAsia" w:ascii="宋体" w:hAnsi="宋体" w:eastAsia="宋体" w:cs="宋体"/>
          <w:color w:val="000000"/>
          <w:szCs w:val="24"/>
          <w:lang w:val="en-US" w:eastAsia="zh-CN"/>
        </w:rPr>
        <w:t>输送</w:t>
      </w:r>
      <w:r>
        <w:rPr>
          <w:rFonts w:hint="eastAsia" w:ascii="宋体" w:hAnsi="宋体" w:eastAsia="宋体" w:cs="宋体"/>
          <w:color w:val="000000"/>
          <w:szCs w:val="24"/>
        </w:rPr>
        <w:t>至各用气点，压缩空气管道</w:t>
      </w:r>
      <w:r>
        <w:rPr>
          <w:rFonts w:hint="eastAsia" w:ascii="宋体" w:hAnsi="宋体" w:eastAsia="宋体" w:cs="宋体"/>
          <w:color w:val="000000"/>
          <w:szCs w:val="24"/>
          <w:lang w:val="en-US" w:eastAsia="zh-CN"/>
        </w:rPr>
        <w:t>采用</w:t>
      </w:r>
      <w:r>
        <w:rPr>
          <w:rFonts w:hint="eastAsia" w:ascii="宋体" w:hAnsi="宋体" w:eastAsia="宋体" w:cs="宋体"/>
          <w:color w:val="000000"/>
          <w:szCs w:val="24"/>
        </w:rPr>
        <w:t>碳钢管</w:t>
      </w:r>
      <w:r>
        <w:rPr>
          <w:rFonts w:hint="eastAsia" w:ascii="宋体" w:hAnsi="宋体" w:eastAsia="宋体" w:cs="宋体"/>
        </w:rPr>
        <w:t>道</w:t>
      </w:r>
      <w:r>
        <w:rPr>
          <w:rFonts w:hint="eastAsia" w:ascii="宋体" w:hAnsi="宋体" w:eastAsia="宋体" w:cs="宋体"/>
          <w:color w:val="000000"/>
          <w:szCs w:val="24"/>
        </w:rPr>
        <w:t>，</w:t>
      </w:r>
      <w:r>
        <w:rPr>
          <w:rFonts w:hint="eastAsia" w:ascii="宋体" w:hAnsi="宋体" w:eastAsia="宋体" w:cs="宋体"/>
        </w:rPr>
        <w:t>阀门选用PN1.6级，除需要采用法兰连接外，均采用焊接</w:t>
      </w:r>
      <w:r>
        <w:rPr>
          <w:rFonts w:hint="eastAsia" w:ascii="宋体" w:hAnsi="宋体" w:eastAsia="宋体" w:cs="宋体"/>
          <w:lang w:eastAsia="zh-CN"/>
        </w:rPr>
        <w:t>，</w:t>
      </w:r>
      <w:r>
        <w:rPr>
          <w:rFonts w:hint="eastAsia" w:ascii="宋体" w:hAnsi="宋体" w:eastAsia="宋体" w:cs="宋体"/>
          <w:color w:val="000000"/>
          <w:szCs w:val="24"/>
        </w:rPr>
        <w:t>管道采用架空敷设方式，尾端配置自动排水装置。压缩空气</w:t>
      </w:r>
      <w:r>
        <w:rPr>
          <w:rFonts w:hint="eastAsia" w:ascii="宋体" w:hAnsi="宋体" w:eastAsia="宋体" w:cs="宋体"/>
          <w:color w:val="000000"/>
          <w:szCs w:val="24"/>
          <w:lang w:val="en-US" w:eastAsia="zh-CN"/>
        </w:rPr>
        <w:t>主要</w:t>
      </w:r>
      <w:r>
        <w:rPr>
          <w:rFonts w:hint="eastAsia" w:ascii="宋体" w:hAnsi="宋体" w:eastAsia="宋体" w:cs="宋体"/>
          <w:color w:val="000000"/>
          <w:szCs w:val="24"/>
        </w:rPr>
        <w:t>用于</w:t>
      </w:r>
      <w:r>
        <w:rPr>
          <w:rFonts w:hint="eastAsia" w:ascii="宋体" w:hAnsi="宋体" w:eastAsia="宋体" w:cs="宋体"/>
          <w:color w:val="000000"/>
          <w:szCs w:val="24"/>
          <w:lang w:val="en-US" w:eastAsia="zh-CN"/>
        </w:rPr>
        <w:t>电弧炉、</w:t>
      </w:r>
      <w:r>
        <w:rPr>
          <w:rFonts w:hint="eastAsia" w:ascii="宋体" w:hAnsi="宋体" w:eastAsia="宋体" w:cs="宋体"/>
          <w:color w:val="000000"/>
          <w:szCs w:val="24"/>
        </w:rPr>
        <w:t>气流磨</w:t>
      </w:r>
      <w:r>
        <w:rPr>
          <w:rFonts w:hint="eastAsia" w:ascii="宋体" w:hAnsi="宋体" w:eastAsia="宋体" w:cs="宋体"/>
          <w:color w:val="000000"/>
          <w:szCs w:val="24"/>
          <w:lang w:eastAsia="zh-CN"/>
        </w:rPr>
        <w:t>、</w:t>
      </w:r>
      <w:r>
        <w:rPr>
          <w:rFonts w:hint="eastAsia" w:ascii="宋体" w:hAnsi="宋体" w:eastAsia="宋体" w:cs="宋体"/>
          <w:color w:val="000000"/>
          <w:szCs w:val="24"/>
        </w:rPr>
        <w:t>气动阀等设备。</w:t>
      </w:r>
    </w:p>
    <w:bookmarkEnd w:id="394"/>
    <w:bookmarkEnd w:id="395"/>
    <w:bookmarkEnd w:id="396"/>
    <w:bookmarkEnd w:id="397"/>
    <w:bookmarkEnd w:id="398"/>
    <w:bookmarkEnd w:id="399"/>
    <w:p w14:paraId="0E0C5BB8">
      <w:pPr>
        <w:pStyle w:val="4"/>
        <w:keepNext w:val="0"/>
        <w:keepLines w:val="0"/>
        <w:pageBreakBefore w:val="0"/>
        <w:widowControl w:val="0"/>
        <w:kinsoku/>
        <w:bidi w:val="0"/>
        <w:rPr>
          <w:rFonts w:hint="eastAsia"/>
          <w:lang w:val="en-US" w:eastAsia="zh-CN"/>
        </w:rPr>
      </w:pPr>
      <w:bookmarkStart w:id="406" w:name="_Toc22366"/>
      <w:bookmarkStart w:id="407" w:name="_Hlk127970076"/>
      <w:r>
        <w:rPr>
          <w:rFonts w:hint="eastAsia"/>
          <w:lang w:val="en-US" w:eastAsia="zh-CN"/>
        </w:rPr>
        <w:t>除尘系统</w:t>
      </w:r>
      <w:bookmarkEnd w:id="406"/>
    </w:p>
    <w:p w14:paraId="6C50FF4B">
      <w:pPr>
        <w:keepNext w:val="0"/>
        <w:keepLines w:val="0"/>
        <w:pageBreakBefore w:val="0"/>
        <w:widowControl w:val="0"/>
        <w:suppressLineNumbers w:val="0"/>
        <w:kinsoku/>
        <w:wordWrap/>
        <w:overflowPunct/>
        <w:topLinePunct w:val="0"/>
        <w:autoSpaceDE/>
        <w:autoSpaceDN/>
        <w:bidi w:val="0"/>
        <w:adjustRightInd w:val="0"/>
        <w:snapToGrid/>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本项目在各投料口、出料口或收尘口均设置风罩，将生产过程中产生的粉尘全部引入除尘机组进行有效除尘处理（除尘效率均大于99%）；同时，岗位操作人员佩戴防尘口罩和其他防护用品进行正常操作。通过控制污染源的粉尘扩散达到防尘效果。除尘后空气达到排放标准后排至室外。</w:t>
      </w:r>
    </w:p>
    <w:p w14:paraId="53CD6FFD">
      <w:pPr>
        <w:pStyle w:val="4"/>
        <w:keepNext w:val="0"/>
        <w:keepLines w:val="0"/>
        <w:pageBreakBefore w:val="0"/>
        <w:widowControl w:val="0"/>
        <w:kinsoku/>
        <w:bidi w:val="0"/>
        <w:rPr>
          <w:rFonts w:hint="eastAsia"/>
          <w:lang w:val="en-US" w:eastAsia="zh-CN"/>
        </w:rPr>
      </w:pPr>
      <w:bookmarkStart w:id="408" w:name="_Toc28120"/>
      <w:r>
        <w:rPr>
          <w:rFonts w:hint="eastAsia"/>
        </w:rPr>
        <w:t>信息网络及</w:t>
      </w:r>
      <w:r>
        <w:t>自动化控制</w:t>
      </w:r>
      <w:bookmarkEnd w:id="407"/>
      <w:bookmarkEnd w:id="408"/>
    </w:p>
    <w:p w14:paraId="1C3C014C">
      <w:pPr>
        <w:pStyle w:val="5"/>
        <w:bidi w:val="0"/>
        <w:rPr>
          <w:rFonts w:hint="eastAsia"/>
          <w:lang w:val="en-US" w:eastAsia="zh-CN"/>
        </w:rPr>
      </w:pPr>
      <w:r>
        <w:rPr>
          <w:rFonts w:hint="eastAsia"/>
          <w:lang w:val="en-US" w:eastAsia="zh-CN"/>
        </w:rPr>
        <w:t>监控摄像系统</w:t>
      </w:r>
    </w:p>
    <w:p w14:paraId="7CB0FCB2">
      <w:pPr>
        <w:keepNext w:val="0"/>
        <w:keepLines w:val="0"/>
        <w:pageBreakBefore w:val="0"/>
        <w:widowControl w:val="0"/>
        <w:numPr>
          <w:ilvl w:val="0"/>
          <w:numId w:val="3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司共设置高清红外监控摄像头30个，可对公司各区域（环球磨；气流磨；1#、2#电炉变压器室；1#、2#电炉高压室；1#、2#电炉液压站；1#、2#电炉控制室；1#、2#电炉加料平台；2#炉前；成品仓库；门岗处；食堂门口；机修车间；化验室；办公区；厂区内部道路等）进行24小时</w:t>
      </w:r>
      <w:r>
        <w:rPr>
          <w:rFonts w:hint="eastAsia" w:ascii="宋体" w:hAnsi="宋体" w:eastAsia="宋体" w:cs="宋体"/>
          <w:sz w:val="28"/>
          <w:szCs w:val="28"/>
        </w:rPr>
        <w:t>不间断监控。</w:t>
      </w:r>
    </w:p>
    <w:p w14:paraId="517501CE">
      <w:pPr>
        <w:keepNext w:val="0"/>
        <w:keepLines w:val="0"/>
        <w:pageBreakBefore w:val="0"/>
        <w:widowControl w:val="0"/>
        <w:numPr>
          <w:ilvl w:val="0"/>
          <w:numId w:val="3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监控视频设置在电炉控制室，各摄像头数据均接入电炉控制室监控主机，监控录像存储时间15天。</w:t>
      </w:r>
    </w:p>
    <w:p w14:paraId="393F7467">
      <w:pPr>
        <w:keepNext w:val="0"/>
        <w:keepLines w:val="0"/>
        <w:pageBreakBefore w:val="0"/>
        <w:widowControl w:val="0"/>
        <w:numPr>
          <w:ilvl w:val="0"/>
          <w:numId w:val="3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摄像头型号：海康威视枪机（300w像素、400w像素）。</w:t>
      </w:r>
    </w:p>
    <w:p w14:paraId="3D22F1F8">
      <w:pPr>
        <w:pStyle w:val="5"/>
        <w:bidi w:val="0"/>
      </w:pPr>
      <w:r>
        <w:rPr>
          <w:rFonts w:hint="eastAsia"/>
        </w:rPr>
        <w:t>自动控制系统</w:t>
      </w:r>
    </w:p>
    <w:p w14:paraId="0AC72ED2">
      <w:pPr>
        <w:keepNext w:val="0"/>
        <w:keepLines w:val="0"/>
        <w:pageBreakBefore w:val="0"/>
        <w:widowControl w:val="0"/>
        <w:suppressLineNumbers w:val="0"/>
        <w:kinsoku/>
        <w:wordWrap/>
        <w:overflowPunct/>
        <w:topLinePunct w:val="0"/>
        <w:autoSpaceDE/>
        <w:autoSpaceDN/>
        <w:bidi w:val="0"/>
        <w:adjustRightInd w:val="0"/>
        <w:snapToGrid/>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lang w:val="en-US" w:eastAsia="zh-CN"/>
        </w:rPr>
        <w:t>本</w:t>
      </w:r>
      <w:r>
        <w:rPr>
          <w:rFonts w:hint="eastAsia" w:ascii="宋体" w:hAnsi="宋体" w:eastAsia="宋体" w:cs="宋体"/>
          <w:lang w:eastAsia="zh-CN"/>
        </w:rPr>
        <w:t>项目配料系统、三相工额外喷淋冷式特种电弧炉、SiO</w:t>
      </w:r>
      <w:r>
        <w:rPr>
          <w:rFonts w:hint="eastAsia" w:ascii="宋体" w:hAnsi="宋体" w:eastAsia="宋体" w:cs="宋体"/>
          <w:vertAlign w:val="subscript"/>
          <w:lang w:eastAsia="zh-CN"/>
        </w:rPr>
        <w:t>2</w:t>
      </w:r>
      <w:r>
        <w:rPr>
          <w:rFonts w:hint="eastAsia" w:ascii="宋体" w:hAnsi="宋体" w:eastAsia="宋体" w:cs="宋体"/>
          <w:lang w:eastAsia="zh-CN"/>
        </w:rPr>
        <w:t>微粉回收装置、三层振动筛、气流磨、雷蒙磨、气流磨空压机循环水泵、电炉冷却塔循环水泵、引风机</w:t>
      </w:r>
      <w:r>
        <w:rPr>
          <w:rFonts w:hint="eastAsia" w:ascii="宋体" w:hAnsi="宋体" w:eastAsia="宋体" w:cs="宋体"/>
          <w:lang w:val="en-US" w:eastAsia="zh-CN"/>
        </w:rPr>
        <w:t>等主要生产设备多为自动化设备，其全自动PLC集中控</w:t>
      </w:r>
      <w:r>
        <w:rPr>
          <w:rFonts w:hint="eastAsia" w:ascii="宋体" w:hAnsi="宋体" w:eastAsia="宋体" w:cs="宋体"/>
          <w:lang w:eastAsia="zh-CN"/>
        </w:rPr>
        <w:t>制系统由设备厂家配套提供。</w:t>
      </w:r>
      <w:r>
        <w:rPr>
          <w:rFonts w:hint="eastAsia" w:ascii="宋体" w:hAnsi="宋体" w:eastAsia="宋体" w:cs="宋体"/>
          <w:lang w:val="en-US" w:eastAsia="zh-CN"/>
        </w:rPr>
        <w:t>各主要生产设备的控制系统</w:t>
      </w:r>
      <w:r>
        <w:rPr>
          <w:rFonts w:hint="eastAsia" w:ascii="宋体" w:hAnsi="宋体" w:eastAsia="宋体" w:cs="宋体"/>
          <w:lang w:eastAsia="zh-CN"/>
        </w:rPr>
        <w:t>通过网络连接共同组成</w:t>
      </w:r>
      <w:r>
        <w:rPr>
          <w:rFonts w:hint="eastAsia" w:ascii="宋体" w:hAnsi="宋体" w:eastAsia="宋体" w:cs="宋体"/>
          <w:lang w:val="en-US" w:eastAsia="zh-CN"/>
        </w:rPr>
        <w:t>本项目</w:t>
      </w:r>
      <w:r>
        <w:rPr>
          <w:rFonts w:hint="eastAsia" w:ascii="宋体" w:hAnsi="宋体" w:eastAsia="宋体" w:cs="宋体"/>
          <w:lang w:eastAsia="zh-CN"/>
        </w:rPr>
        <w:t>生产过程控制系统，</w:t>
      </w:r>
      <w:r>
        <w:rPr>
          <w:rFonts w:hint="eastAsia" w:ascii="宋体" w:hAnsi="宋体" w:eastAsia="宋体" w:cs="宋体"/>
          <w:lang w:val="en-US" w:eastAsia="zh-CN"/>
        </w:rPr>
        <w:t>接入电弧炉</w:t>
      </w:r>
      <w:r>
        <w:rPr>
          <w:rFonts w:hint="eastAsia" w:ascii="宋体" w:hAnsi="宋体" w:eastAsia="宋体" w:cs="宋体"/>
          <w:lang w:eastAsia="zh-CN"/>
        </w:rPr>
        <w:t>装置控制室</w:t>
      </w:r>
      <w:r>
        <w:rPr>
          <w:rFonts w:hint="eastAsia" w:ascii="宋体" w:hAnsi="宋体" w:eastAsia="宋体" w:cs="宋体"/>
          <w:lang w:val="en-US" w:eastAsia="zh-CN"/>
        </w:rPr>
        <w:t>集中控制和管理</w:t>
      </w:r>
      <w:r>
        <w:rPr>
          <w:rFonts w:hint="eastAsia" w:ascii="宋体" w:hAnsi="宋体" w:eastAsia="宋体" w:cs="宋体"/>
          <w:lang w:eastAsia="zh-CN"/>
        </w:rPr>
        <w:t>，另外还负责车间内电极</w:t>
      </w:r>
      <w:r>
        <w:rPr>
          <w:rFonts w:hint="eastAsia" w:ascii="宋体" w:hAnsi="宋体" w:eastAsia="宋体" w:cs="宋体"/>
          <w:lang w:val="en-US" w:eastAsia="zh-CN"/>
        </w:rPr>
        <w:t>升降和压放、引</w:t>
      </w:r>
      <w:r>
        <w:rPr>
          <w:rFonts w:hint="eastAsia" w:ascii="宋体" w:hAnsi="宋体" w:eastAsia="宋体" w:cs="宋体"/>
          <w:lang w:eastAsia="zh-CN"/>
        </w:rPr>
        <w:t>风机、</w:t>
      </w:r>
      <w:r>
        <w:rPr>
          <w:rFonts w:hint="eastAsia" w:ascii="宋体" w:hAnsi="宋体" w:eastAsia="宋体" w:cs="宋体"/>
          <w:lang w:val="en-US" w:eastAsia="zh-CN"/>
        </w:rPr>
        <w:t>除尘</w:t>
      </w:r>
      <w:r>
        <w:rPr>
          <w:rFonts w:hint="eastAsia" w:ascii="宋体" w:hAnsi="宋体" w:eastAsia="宋体" w:cs="宋体"/>
          <w:lang w:eastAsia="zh-CN"/>
        </w:rPr>
        <w:t>系统、</w:t>
      </w:r>
      <w:r>
        <w:rPr>
          <w:rFonts w:hint="eastAsia" w:ascii="宋体" w:hAnsi="宋体" w:eastAsia="宋体" w:cs="宋体"/>
          <w:lang w:val="en-US" w:eastAsia="zh-CN"/>
        </w:rPr>
        <w:t>烟气处理环保系统</w:t>
      </w:r>
      <w:r>
        <w:rPr>
          <w:rFonts w:hint="eastAsia" w:ascii="宋体" w:hAnsi="宋体" w:eastAsia="宋体" w:cs="宋体"/>
          <w:lang w:eastAsia="zh-CN"/>
        </w:rPr>
        <w:t>等设备的联锁、控制。</w:t>
      </w:r>
      <w:r>
        <w:rPr>
          <w:rFonts w:hint="eastAsia" w:ascii="宋体" w:hAnsi="宋体" w:eastAsia="宋体" w:cs="宋体"/>
          <w:lang w:val="en-US" w:eastAsia="zh-CN"/>
        </w:rPr>
        <w:t>通过 PLC 操作系统界面实现所有控制、指示、趋势和报警连锁功能。操作人员通过操作屏即可进</w:t>
      </w:r>
      <w:r>
        <w:rPr>
          <w:rFonts w:hint="eastAsia" w:ascii="宋体" w:hAnsi="宋体" w:eastAsia="宋体" w:cs="宋体"/>
          <w:color w:val="000000"/>
          <w:kern w:val="0"/>
          <w:sz w:val="28"/>
          <w:szCs w:val="28"/>
          <w:lang w:val="en-US" w:eastAsia="zh-CN" w:bidi="ar"/>
        </w:rPr>
        <w:t>行控制。控制室单独设置，其中包括一个控制室、一个机柜室。室内采用吊顶和静电地板。控制室内采用人工照明。</w:t>
      </w:r>
    </w:p>
    <w:p w14:paraId="25DB8E7D">
      <w:pPr>
        <w:pStyle w:val="3"/>
        <w:keepNext w:val="0"/>
        <w:keepLines w:val="0"/>
        <w:pageBreakBefore w:val="0"/>
        <w:widowControl w:val="0"/>
        <w:kinsoku/>
        <w:bidi w:val="0"/>
        <w:rPr>
          <w:lang w:val="en-US" w:eastAsia="zh-CN"/>
        </w:rPr>
      </w:pPr>
      <w:bookmarkStart w:id="409" w:name="_Toc12711"/>
      <w:r>
        <w:rPr>
          <w:rFonts w:hint="eastAsia"/>
          <w:lang w:val="en-US" w:eastAsia="zh-CN"/>
        </w:rPr>
        <w:t>安全</w:t>
      </w:r>
      <w:r>
        <w:rPr>
          <w:lang w:val="en-US" w:eastAsia="zh-CN"/>
        </w:rPr>
        <w:t>管理</w:t>
      </w:r>
      <w:bookmarkEnd w:id="400"/>
      <w:bookmarkEnd w:id="401"/>
      <w:bookmarkEnd w:id="402"/>
      <w:bookmarkEnd w:id="403"/>
      <w:bookmarkEnd w:id="409"/>
    </w:p>
    <w:p w14:paraId="39B9E0C4">
      <w:pPr>
        <w:pStyle w:val="4"/>
        <w:keepNext w:val="0"/>
        <w:keepLines w:val="0"/>
        <w:pageBreakBefore w:val="0"/>
        <w:widowControl w:val="0"/>
        <w:kinsoku/>
        <w:bidi w:val="0"/>
        <w:rPr>
          <w:lang w:val="en-US" w:eastAsia="zh-CN"/>
        </w:rPr>
      </w:pPr>
      <w:bookmarkStart w:id="410" w:name="_Toc9201"/>
      <w:bookmarkStart w:id="411" w:name="_Toc19524"/>
      <w:bookmarkStart w:id="412" w:name="_Toc23221"/>
      <w:r>
        <w:rPr>
          <w:rFonts w:hint="eastAsia"/>
          <w:lang w:val="en-US" w:eastAsia="zh-CN"/>
        </w:rPr>
        <w:t>管理组织机构</w:t>
      </w:r>
      <w:bookmarkEnd w:id="410"/>
      <w:bookmarkEnd w:id="411"/>
      <w:bookmarkEnd w:id="412"/>
    </w:p>
    <w:p w14:paraId="53D8E31B">
      <w:pPr>
        <w:keepNext w:val="0"/>
        <w:keepLines w:val="0"/>
        <w:pageBreakBefore w:val="0"/>
        <w:widowControl w:val="0"/>
        <w:kinsoku/>
        <w:wordWrap/>
        <w:overflowPunct/>
        <w:topLinePunct w:val="0"/>
        <w:autoSpaceDE/>
        <w:autoSpaceDN/>
        <w:bidi w:val="0"/>
        <w:snapToGrid/>
        <w:ind w:firstLine="560"/>
        <w:textAlignment w:val="auto"/>
        <w:rPr>
          <w:rFonts w:hint="default" w:ascii="宋体" w:hAnsi="宋体"/>
          <w:color w:val="000000"/>
          <w:szCs w:val="24"/>
          <w:lang w:val="en-US"/>
        </w:rPr>
      </w:pPr>
      <w:r>
        <w:rPr>
          <w:rFonts w:hint="eastAsia"/>
          <w:color w:val="000000"/>
          <w:szCs w:val="24"/>
          <w:lang w:eastAsia="zh-CN"/>
        </w:rPr>
        <w:t>云南东锆新材料有限公司</w:t>
      </w:r>
      <w:r>
        <w:rPr>
          <w:rFonts w:hint="eastAsia" w:ascii="宋体" w:hAnsi="宋体"/>
          <w:color w:val="000000"/>
          <w:szCs w:val="24"/>
        </w:rPr>
        <w:t>成立安全生产领导小组</w:t>
      </w:r>
      <w:r>
        <w:rPr>
          <w:rFonts w:hint="eastAsia"/>
          <w:color w:val="000000"/>
          <w:szCs w:val="24"/>
          <w:lang w:val="en-US" w:eastAsia="zh-CN"/>
        </w:rPr>
        <w:t>，明确公司主要负责人为安全管理的第一责任人，下设办公机构在安全环保部。任命程龙为专职安全员，全面、具体负责公司安全生产管理工作。</w:t>
      </w:r>
    </w:p>
    <w:p w14:paraId="7DD32FCC">
      <w:pPr>
        <w:pStyle w:val="31"/>
        <w:keepNext w:val="0"/>
        <w:keepLines w:val="0"/>
        <w:pageBreakBefore w:val="0"/>
        <w:widowControl w:val="0"/>
        <w:kinsoku/>
        <w:wordWrap/>
        <w:overflowPunct/>
        <w:topLinePunct w:val="0"/>
        <w:autoSpaceDE/>
        <w:autoSpaceDN/>
        <w:bidi w:val="0"/>
        <w:adjustRightInd/>
        <w:snapToGrid/>
        <w:ind w:left="0" w:leftChars="0"/>
        <w:textAlignment w:val="auto"/>
        <w:rPr>
          <w:rFonts w:hint="eastAsia"/>
        </w:rPr>
      </w:pPr>
      <w:r>
        <w:rPr>
          <w:rFonts w:hint="eastAsia"/>
        </w:rPr>
        <w:t>组</w:t>
      </w:r>
      <w:r>
        <w:rPr>
          <w:rFonts w:hint="eastAsia"/>
          <w:lang w:val="en-US" w:eastAsia="zh-CN"/>
        </w:rPr>
        <w:t xml:space="preserve">  </w:t>
      </w:r>
      <w:r>
        <w:rPr>
          <w:rFonts w:hint="eastAsia"/>
        </w:rPr>
        <w:t>长：刘琦</w:t>
      </w:r>
    </w:p>
    <w:p w14:paraId="34107042">
      <w:pPr>
        <w:pStyle w:val="31"/>
        <w:keepNext w:val="0"/>
        <w:keepLines w:val="0"/>
        <w:pageBreakBefore w:val="0"/>
        <w:widowControl w:val="0"/>
        <w:kinsoku/>
        <w:wordWrap/>
        <w:overflowPunct/>
        <w:topLinePunct w:val="0"/>
        <w:autoSpaceDE/>
        <w:autoSpaceDN/>
        <w:bidi w:val="0"/>
        <w:adjustRightInd/>
        <w:snapToGrid/>
        <w:ind w:left="0" w:leftChars="0"/>
        <w:textAlignment w:val="auto"/>
        <w:rPr>
          <w:rFonts w:hint="eastAsia" w:eastAsia="宋体"/>
          <w:lang w:eastAsia="zh-CN"/>
        </w:rPr>
      </w:pPr>
      <w:r>
        <w:rPr>
          <w:rFonts w:hint="eastAsia"/>
        </w:rPr>
        <w:t>副组长：</w:t>
      </w:r>
      <w:r>
        <w:rPr>
          <w:rFonts w:hint="eastAsia"/>
          <w:lang w:eastAsia="zh-CN"/>
        </w:rPr>
        <w:t>程龙</w:t>
      </w:r>
    </w:p>
    <w:p w14:paraId="7A377B76">
      <w:pPr>
        <w:pStyle w:val="31"/>
        <w:keepNext w:val="0"/>
        <w:keepLines w:val="0"/>
        <w:pageBreakBefore w:val="0"/>
        <w:widowControl w:val="0"/>
        <w:kinsoku/>
        <w:wordWrap/>
        <w:overflowPunct/>
        <w:topLinePunct w:val="0"/>
        <w:autoSpaceDE/>
        <w:autoSpaceDN/>
        <w:bidi w:val="0"/>
        <w:adjustRightInd/>
        <w:snapToGrid/>
        <w:ind w:left="0" w:leftChars="0"/>
        <w:textAlignment w:val="auto"/>
        <w:rPr>
          <w:rFonts w:hint="eastAsia"/>
        </w:rPr>
      </w:pPr>
      <w:r>
        <w:rPr>
          <w:rFonts w:hint="eastAsia"/>
        </w:rPr>
        <w:t>组</w:t>
      </w:r>
      <w:r>
        <w:rPr>
          <w:rFonts w:hint="eastAsia"/>
          <w:lang w:val="en-US" w:eastAsia="zh-CN"/>
        </w:rPr>
        <w:t xml:space="preserve">  </w:t>
      </w:r>
      <w:r>
        <w:rPr>
          <w:rFonts w:hint="eastAsia"/>
        </w:rPr>
        <w:t>员：秦龙文</w:t>
      </w:r>
      <w:r>
        <w:rPr>
          <w:rFonts w:hint="eastAsia"/>
          <w:lang w:val="en-US" w:eastAsia="zh-CN"/>
        </w:rPr>
        <w:t xml:space="preserve">  </w:t>
      </w:r>
      <w:r>
        <w:rPr>
          <w:rFonts w:hint="eastAsia"/>
        </w:rPr>
        <w:t>赵康康</w:t>
      </w:r>
      <w:r>
        <w:rPr>
          <w:rFonts w:hint="eastAsia"/>
          <w:lang w:val="en-US" w:eastAsia="zh-CN"/>
        </w:rPr>
        <w:t xml:space="preserve">  </w:t>
      </w:r>
      <w:r>
        <w:rPr>
          <w:rFonts w:hint="eastAsia"/>
        </w:rPr>
        <w:t>浮宗帅</w:t>
      </w:r>
      <w:r>
        <w:rPr>
          <w:rFonts w:hint="eastAsia"/>
          <w:lang w:val="en-US" w:eastAsia="zh-CN"/>
        </w:rPr>
        <w:t xml:space="preserve">  </w:t>
      </w:r>
      <w:r>
        <w:rPr>
          <w:rFonts w:hint="eastAsia"/>
        </w:rPr>
        <w:t>徐程法</w:t>
      </w:r>
    </w:p>
    <w:p w14:paraId="1E4A4208">
      <w:pPr>
        <w:keepNext w:val="0"/>
        <w:keepLines w:val="0"/>
        <w:pageBreakBefore w:val="0"/>
        <w:widowControl w:val="0"/>
        <w:kinsoku/>
        <w:wordWrap/>
        <w:overflowPunct/>
        <w:topLinePunct w:val="0"/>
        <w:autoSpaceDE/>
        <w:autoSpaceDN/>
        <w:bidi w:val="0"/>
        <w:snapToGrid/>
        <w:textAlignment w:val="auto"/>
        <w:rPr>
          <w:rFonts w:hint="eastAsia"/>
          <w:vertAlign w:val="baseline"/>
        </w:rPr>
      </w:pPr>
      <w:r>
        <w:rPr>
          <w:rFonts w:hint="eastAsia"/>
        </w:rPr>
        <w:t>安全生产管理机构设置如下图2-</w:t>
      </w:r>
      <w:r>
        <w:rPr>
          <w:rFonts w:hint="eastAsia"/>
          <w:lang w:val="en-US" w:eastAsia="zh-CN"/>
        </w:rPr>
        <w:t>4</w:t>
      </w:r>
      <w:r>
        <w:rPr>
          <w:rFonts w:hint="eastAsia"/>
        </w:rPr>
        <w:t>。</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84E4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1A2D5D00">
            <w:pPr>
              <w:keepNext w:val="0"/>
              <w:keepLines w:val="0"/>
              <w:pageBreakBefore w:val="0"/>
              <w:widowControl w:val="0"/>
              <w:suppressLineNumbers w:val="0"/>
              <w:kinsoku/>
              <w:bidi w:val="0"/>
              <w:spacing w:before="0" w:beforeAutospacing="0" w:after="0" w:afterAutospacing="0"/>
              <w:ind w:left="0" w:leftChars="0" w:right="0" w:firstLine="0" w:firstLineChars="0"/>
              <w:jc w:val="center"/>
              <w:rPr>
                <w:rFonts w:hint="eastAsia"/>
                <w:vertAlign w:val="baseline"/>
              </w:rPr>
            </w:pPr>
            <w:r>
              <w:rPr>
                <w:rFonts w:hint="default"/>
                <w:lang w:val="en-US" w:eastAsia="zh-CN"/>
              </w:rPr>
              <w:fldChar w:fldCharType="begin"/>
            </w:r>
            <w:r>
              <w:rPr>
                <w:rFonts w:hint="default"/>
                <w:lang w:val="en-US" w:eastAsia="zh-CN"/>
              </w:rPr>
              <w:instrText xml:space="preserve"> STYLEREF 1 \s </w:instrText>
            </w:r>
            <w:r>
              <w:rPr>
                <w:rFonts w:hint="default"/>
                <w:lang w:val="en-US" w:eastAsia="zh-CN"/>
              </w:rPr>
              <w:fldChar w:fldCharType="separate"/>
            </w:r>
            <w:r>
              <w:rPr>
                <w:rFonts w:hint="default"/>
                <w:lang w:val="en-US" w:eastAsia="zh-CN"/>
              </w:rPr>
              <w:t>2</w:t>
            </w:r>
            <w:r>
              <w:rPr>
                <w:rFonts w:hint="default"/>
                <w:lang w:val="en-US" w:eastAsia="zh-CN"/>
              </w:rPr>
              <w:fldChar w:fldCharType="end"/>
            </w:r>
            <w:r>
              <w:rPr>
                <w:rFonts w:hint="eastAsia"/>
                <w:lang w:val="en-US" w:eastAsia="zh-CN"/>
              </w:rPr>
              <w:t>-</w:t>
            </w:r>
            <w:r>
              <w:rPr>
                <w:rFonts w:hint="default"/>
                <w:lang w:val="en-US" w:eastAsia="zh-CN"/>
              </w:rPr>
              <w:fldChar w:fldCharType="begin"/>
            </w:r>
            <w:r>
              <w:rPr>
                <w:rFonts w:hint="default"/>
                <w:lang w:val="en-US" w:eastAsia="zh-CN"/>
              </w:rPr>
              <w:instrText xml:space="preserve"> SEQ 图 \* ARABIC \s 1 </w:instrText>
            </w:r>
            <w:r>
              <w:rPr>
                <w:rFonts w:hint="default"/>
                <w:lang w:val="en-US" w:eastAsia="zh-CN"/>
              </w:rPr>
              <w:fldChar w:fldCharType="separate"/>
            </w:r>
            <w:r>
              <w:rPr>
                <w:rFonts w:hint="default"/>
                <w:lang w:val="en-US" w:eastAsia="zh-CN"/>
              </w:rPr>
              <w:t>4</w:t>
            </w:r>
            <w:r>
              <w:rPr>
                <w:rFonts w:hint="default"/>
                <w:lang w:val="en-US" w:eastAsia="zh-CN"/>
              </w:rPr>
              <w:fldChar w:fldCharType="end"/>
            </w:r>
            <w:r>
              <w:rPr>
                <w:rFonts w:hint="eastAsia"/>
                <w:lang w:val="en-US" w:eastAsia="zh-CN"/>
              </w:rPr>
              <w:t>公司安全生产管理机构图</w:t>
            </w:r>
            <w:r>
              <w:rPr>
                <w:rFonts w:hint="eastAsia" w:eastAsia="宋体"/>
                <w:lang w:eastAsia="zh-CN"/>
              </w:rPr>
              <w:drawing>
                <wp:anchor distT="0" distB="0" distL="114300" distR="114300" simplePos="0" relativeHeight="251664384" behindDoc="0" locked="0" layoutInCell="1" allowOverlap="1">
                  <wp:simplePos x="0" y="0"/>
                  <wp:positionH relativeFrom="column">
                    <wp:posOffset>0</wp:posOffset>
                  </wp:positionH>
                  <wp:positionV relativeFrom="paragraph">
                    <wp:posOffset>-1898015</wp:posOffset>
                  </wp:positionV>
                  <wp:extent cx="5224780" cy="1940560"/>
                  <wp:effectExtent l="0" t="0" r="0" b="0"/>
                  <wp:wrapSquare wrapText="bothSides"/>
                  <wp:docPr id="4" name="ECB019B1-382A-4266-B25C-5B523AA43C14-2" descr="C:/Users/Administrator/AppData/Local/Temp/wps.PECKAK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CB019B1-382A-4266-B25C-5B523AA43C14-2" descr="C:/Users/Administrator/AppData/Local/Temp/wps.PECKAKwps"/>
                          <pic:cNvPicPr>
                            <a:picLocks noChangeAspect="1"/>
                          </pic:cNvPicPr>
                        </pic:nvPicPr>
                        <pic:blipFill>
                          <a:blip r:embed="rId50"/>
                          <a:stretch>
                            <a:fillRect/>
                          </a:stretch>
                        </pic:blipFill>
                        <pic:spPr>
                          <a:xfrm>
                            <a:off x="0" y="0"/>
                            <a:ext cx="5224780" cy="1940560"/>
                          </a:xfrm>
                          <a:prstGeom prst="rect">
                            <a:avLst/>
                          </a:prstGeom>
                        </pic:spPr>
                      </pic:pic>
                    </a:graphicData>
                  </a:graphic>
                </wp:anchor>
              </w:drawing>
            </w:r>
          </w:p>
        </w:tc>
      </w:tr>
    </w:tbl>
    <w:p w14:paraId="73C9187F">
      <w:pPr>
        <w:pStyle w:val="4"/>
        <w:keepNext w:val="0"/>
        <w:keepLines w:val="0"/>
        <w:pageBreakBefore w:val="0"/>
        <w:widowControl w:val="0"/>
        <w:kinsoku/>
        <w:bidi w:val="0"/>
        <w:rPr>
          <w:rFonts w:hint="eastAsia"/>
          <w:lang w:val="en-US" w:eastAsia="zh-CN"/>
        </w:rPr>
      </w:pPr>
      <w:bookmarkStart w:id="413" w:name="_Toc10050"/>
      <w:bookmarkStart w:id="414" w:name="_Toc28354"/>
      <w:bookmarkStart w:id="415" w:name="_Toc9100"/>
      <w:r>
        <w:rPr>
          <w:rFonts w:hint="eastAsia"/>
          <w:lang w:val="en-US" w:eastAsia="zh-CN"/>
        </w:rPr>
        <w:t>劳动定员及工作制度</w:t>
      </w:r>
      <w:bookmarkEnd w:id="413"/>
      <w:bookmarkEnd w:id="414"/>
      <w:bookmarkEnd w:id="415"/>
    </w:p>
    <w:p w14:paraId="59E183FB">
      <w:pPr>
        <w:bidi w:val="0"/>
        <w:rPr>
          <w:rFonts w:hint="default"/>
          <w:lang w:val="en-US" w:eastAsia="zh-CN"/>
        </w:rPr>
      </w:pPr>
      <w:r>
        <w:rPr>
          <w:rFonts w:hint="eastAsia"/>
          <w:lang w:val="en-US" w:eastAsia="zh-CN"/>
        </w:rPr>
        <w:t>本项目劳动定员100人</w:t>
      </w:r>
      <w:r>
        <w:rPr>
          <w:rFonts w:hint="eastAsia"/>
        </w:rPr>
        <w:t>，其中技术人员</w:t>
      </w:r>
      <w:r>
        <w:rPr>
          <w:rFonts w:hint="eastAsia"/>
          <w:lang w:val="en-US" w:eastAsia="zh-CN"/>
        </w:rPr>
        <w:t>13</w:t>
      </w:r>
      <w:r>
        <w:rPr>
          <w:rFonts w:hint="eastAsia"/>
        </w:rPr>
        <w:t>人，生产人员</w:t>
      </w:r>
      <w:r>
        <w:rPr>
          <w:rFonts w:hint="eastAsia"/>
          <w:lang w:val="en-US" w:eastAsia="zh-CN"/>
        </w:rPr>
        <w:t>87</w:t>
      </w:r>
      <w:r>
        <w:rPr>
          <w:rFonts w:hint="eastAsia"/>
        </w:rPr>
        <w:t>人</w:t>
      </w:r>
      <w:r>
        <w:rPr>
          <w:rFonts w:hint="eastAsia"/>
          <w:lang w:eastAsia="zh-CN"/>
        </w:rPr>
        <w:t>。</w:t>
      </w:r>
      <w:r>
        <w:rPr>
          <w:rFonts w:hint="eastAsia"/>
        </w:rPr>
        <w:t>生产车间按24小时组织生产，按白班（8h）</w:t>
      </w:r>
      <w:r>
        <w:rPr>
          <w:rFonts w:hint="eastAsia"/>
          <w:lang w:val="en-US" w:eastAsia="zh-CN"/>
        </w:rPr>
        <w:t>和</w:t>
      </w:r>
      <w:r>
        <w:rPr>
          <w:rFonts w:hint="eastAsia"/>
        </w:rPr>
        <w:t>三班两倒制（</w:t>
      </w:r>
      <w:r>
        <w:rPr>
          <w:rFonts w:hint="eastAsia"/>
          <w:lang w:val="en-US" w:eastAsia="zh-CN"/>
        </w:rPr>
        <w:t>12</w:t>
      </w:r>
      <w:r>
        <w:rPr>
          <w:rFonts w:hint="eastAsia"/>
        </w:rPr>
        <w:t>h/班）轮休配置，全年工作日为300天。</w:t>
      </w:r>
    </w:p>
    <w:p w14:paraId="5D935012">
      <w:pPr>
        <w:pStyle w:val="4"/>
        <w:keepNext w:val="0"/>
        <w:keepLines w:val="0"/>
        <w:pageBreakBefore w:val="0"/>
        <w:widowControl w:val="0"/>
        <w:kinsoku/>
        <w:bidi w:val="0"/>
        <w:rPr>
          <w:rFonts w:hint="eastAsia"/>
          <w:lang w:val="en-US" w:eastAsia="zh-CN"/>
        </w:rPr>
      </w:pPr>
      <w:bookmarkStart w:id="416" w:name="_Toc32342"/>
      <w:bookmarkStart w:id="417" w:name="_Toc8724"/>
      <w:bookmarkStart w:id="418" w:name="_Toc22703"/>
      <w:r>
        <w:rPr>
          <w:rFonts w:hint="eastAsia"/>
          <w:lang w:val="en-US" w:eastAsia="zh-CN"/>
        </w:rPr>
        <w:t>人员持证情况</w:t>
      </w:r>
      <w:bookmarkEnd w:id="416"/>
      <w:bookmarkEnd w:id="417"/>
      <w:bookmarkEnd w:id="418"/>
    </w:p>
    <w:p w14:paraId="610D3816">
      <w:pPr>
        <w:bidi w:val="0"/>
        <w:rPr>
          <w:rFonts w:hint="default"/>
          <w:lang w:val="en-US" w:eastAsia="zh-CN"/>
        </w:rPr>
      </w:pPr>
      <w:r>
        <w:rPr>
          <w:rFonts w:hint="eastAsia"/>
        </w:rPr>
        <w:t>本项目主要负责人和安全管理人员取得了安全生产知识和管理能力考核合格证。涉及的叉车、电工作业、焊接与热切割作业、高处作业人员经相关部门培训合格，持证上岗。</w:t>
      </w:r>
      <w:r>
        <w:rPr>
          <w:rFonts w:hint="eastAsia"/>
          <w:lang w:val="en-US" w:eastAsia="zh-CN"/>
        </w:rPr>
        <w:t>相关人员证照见附件27.主要负责人和安全管理员证书和附件28.特种设备及特种作业人员证书。</w:t>
      </w:r>
    </w:p>
    <w:p w14:paraId="39255367">
      <w:pPr>
        <w:pStyle w:val="5"/>
        <w:keepNext w:val="0"/>
        <w:keepLines w:val="0"/>
        <w:pageBreakBefore w:val="0"/>
        <w:widowControl w:val="0"/>
        <w:kinsoku/>
        <w:bidi w:val="0"/>
        <w:rPr>
          <w:rFonts w:hint="eastAsia"/>
          <w:lang w:val="en-US" w:eastAsia="zh-CN"/>
        </w:rPr>
      </w:pPr>
      <w:r>
        <w:rPr>
          <w:rFonts w:hint="eastAsia"/>
          <w:lang w:val="en-US" w:eastAsia="zh-CN"/>
        </w:rPr>
        <w:t>安全管理人员持证情况</w:t>
      </w:r>
    </w:p>
    <w:p w14:paraId="772BA885">
      <w:pPr>
        <w:pStyle w:val="12"/>
        <w:rPr>
          <w:rFonts w:hint="eastAsia" w:eastAsia="宋体"/>
          <w:lang w:eastAsia="zh-CN"/>
        </w:rP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14</w:t>
      </w:r>
      <w:r>
        <w:fldChar w:fldCharType="end"/>
      </w:r>
      <w:r>
        <w:rPr>
          <w:rFonts w:hint="eastAsia"/>
          <w:lang w:eastAsia="zh-CN"/>
        </w:rPr>
        <w:t xml:space="preserve"> 安全管理人员持证情况表</w:t>
      </w:r>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90"/>
        <w:gridCol w:w="1173"/>
        <w:gridCol w:w="2666"/>
        <w:gridCol w:w="1698"/>
        <w:gridCol w:w="1992"/>
      </w:tblGrid>
      <w:tr w14:paraId="094098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581" w:type="pct"/>
            <w:tcBorders>
              <w:tl2br w:val="nil"/>
              <w:tr2bl w:val="nil"/>
            </w:tcBorders>
            <w:noWrap w:val="0"/>
            <w:vAlign w:val="center"/>
          </w:tcPr>
          <w:p w14:paraId="012AD7F3">
            <w:pPr>
              <w:pStyle w:val="86"/>
              <w:keepNext w:val="0"/>
              <w:keepLines w:val="0"/>
              <w:pageBreakBefore w:val="0"/>
              <w:widowControl w:val="0"/>
              <w:suppressLineNumbers w:val="0"/>
              <w:kinsoku/>
              <w:bidi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序号</w:t>
            </w:r>
          </w:p>
        </w:tc>
        <w:tc>
          <w:tcPr>
            <w:tcW w:w="688" w:type="pct"/>
            <w:tcBorders>
              <w:tl2br w:val="nil"/>
              <w:tr2bl w:val="nil"/>
            </w:tcBorders>
            <w:noWrap w:val="0"/>
            <w:vAlign w:val="center"/>
          </w:tcPr>
          <w:p w14:paraId="6EF34AF5">
            <w:pPr>
              <w:pStyle w:val="86"/>
              <w:keepNext w:val="0"/>
              <w:keepLines w:val="0"/>
              <w:pageBreakBefore w:val="0"/>
              <w:widowControl w:val="0"/>
              <w:suppressLineNumbers w:val="0"/>
              <w:kinsoku/>
              <w:bidi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姓名</w:t>
            </w:r>
          </w:p>
        </w:tc>
        <w:tc>
          <w:tcPr>
            <w:tcW w:w="1564" w:type="pct"/>
            <w:tcBorders>
              <w:tl2br w:val="nil"/>
              <w:tr2bl w:val="nil"/>
            </w:tcBorders>
            <w:noWrap w:val="0"/>
            <w:vAlign w:val="center"/>
          </w:tcPr>
          <w:p w14:paraId="49FFA81B">
            <w:pPr>
              <w:pStyle w:val="86"/>
              <w:keepNext w:val="0"/>
              <w:keepLines w:val="0"/>
              <w:pageBreakBefore w:val="0"/>
              <w:widowControl w:val="0"/>
              <w:suppressLineNumbers w:val="0"/>
              <w:kinsoku/>
              <w:bidi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证书号</w:t>
            </w:r>
          </w:p>
        </w:tc>
        <w:tc>
          <w:tcPr>
            <w:tcW w:w="996" w:type="pct"/>
            <w:tcBorders>
              <w:tl2br w:val="nil"/>
              <w:tr2bl w:val="nil"/>
            </w:tcBorders>
            <w:noWrap w:val="0"/>
            <w:vAlign w:val="center"/>
          </w:tcPr>
          <w:p w14:paraId="6CCB1FF9">
            <w:pPr>
              <w:pStyle w:val="86"/>
              <w:keepNext w:val="0"/>
              <w:keepLines w:val="0"/>
              <w:pageBreakBefore w:val="0"/>
              <w:widowControl w:val="0"/>
              <w:suppressLineNumbers w:val="0"/>
              <w:kinsoku/>
              <w:bidi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有效期</w:t>
            </w:r>
          </w:p>
        </w:tc>
        <w:tc>
          <w:tcPr>
            <w:tcW w:w="1169" w:type="pct"/>
            <w:tcBorders>
              <w:tl2br w:val="nil"/>
              <w:tr2bl w:val="nil"/>
            </w:tcBorders>
            <w:noWrap w:val="0"/>
            <w:vAlign w:val="center"/>
          </w:tcPr>
          <w:p w14:paraId="6B918EE2">
            <w:pPr>
              <w:pStyle w:val="86"/>
              <w:keepNext w:val="0"/>
              <w:keepLines w:val="0"/>
              <w:pageBreakBefore w:val="0"/>
              <w:widowControl w:val="0"/>
              <w:suppressLineNumbers w:val="0"/>
              <w:kinsoku/>
              <w:bidi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备注</w:t>
            </w:r>
          </w:p>
        </w:tc>
      </w:tr>
      <w:tr w14:paraId="390669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81" w:type="pct"/>
            <w:tcBorders>
              <w:tl2br w:val="nil"/>
              <w:tr2bl w:val="nil"/>
            </w:tcBorders>
            <w:noWrap w:val="0"/>
            <w:vAlign w:val="center"/>
          </w:tcPr>
          <w:p w14:paraId="20B5D1E8">
            <w:pPr>
              <w:pStyle w:val="86"/>
              <w:keepNext w:val="0"/>
              <w:keepLines w:val="0"/>
              <w:pageBreakBefore w:val="0"/>
              <w:widowControl w:val="0"/>
              <w:suppressLineNumbers w:val="0"/>
              <w:kinsoku/>
              <w:bidi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1</w:t>
            </w:r>
          </w:p>
        </w:tc>
        <w:tc>
          <w:tcPr>
            <w:tcW w:w="688" w:type="pct"/>
            <w:tcBorders>
              <w:tl2br w:val="nil"/>
              <w:tr2bl w:val="nil"/>
            </w:tcBorders>
            <w:noWrap w:val="0"/>
            <w:vAlign w:val="center"/>
          </w:tcPr>
          <w:p w14:paraId="783BC605">
            <w:pPr>
              <w:pStyle w:val="86"/>
              <w:keepNext w:val="0"/>
              <w:keepLines w:val="0"/>
              <w:pageBreakBefore w:val="0"/>
              <w:widowControl w:val="0"/>
              <w:suppressLineNumbers w:val="0"/>
              <w:kinsoku/>
              <w:bidi w:val="0"/>
              <w:spacing w:before="0" w:beforeAutospacing="0" w:after="0" w:afterAutospacing="0"/>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刘琦</w:t>
            </w:r>
          </w:p>
        </w:tc>
        <w:tc>
          <w:tcPr>
            <w:tcW w:w="1564" w:type="pct"/>
            <w:tcBorders>
              <w:tl2br w:val="nil"/>
              <w:tr2bl w:val="nil"/>
            </w:tcBorders>
            <w:noWrap w:val="0"/>
            <w:vAlign w:val="center"/>
          </w:tcPr>
          <w:p w14:paraId="197A630F">
            <w:pPr>
              <w:pStyle w:val="86"/>
              <w:keepNext w:val="0"/>
              <w:keepLines w:val="0"/>
              <w:pageBreakBefore w:val="0"/>
              <w:widowControl w:val="0"/>
              <w:suppressLineNumbers w:val="0"/>
              <w:kinsoku/>
              <w:bidi w:val="0"/>
              <w:spacing w:before="0" w:beforeAutospacing="0" w:after="0" w:afterAutospacing="0"/>
              <w:ind w:left="0" w:right="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410803198704260034</w:t>
            </w:r>
          </w:p>
        </w:tc>
        <w:tc>
          <w:tcPr>
            <w:tcW w:w="996" w:type="pct"/>
            <w:tcBorders>
              <w:tl2br w:val="nil"/>
              <w:tr2bl w:val="nil"/>
            </w:tcBorders>
            <w:noWrap w:val="0"/>
            <w:vAlign w:val="center"/>
          </w:tcPr>
          <w:p w14:paraId="563BD1AE">
            <w:pPr>
              <w:pStyle w:val="86"/>
              <w:keepNext w:val="0"/>
              <w:keepLines w:val="0"/>
              <w:pageBreakBefore w:val="0"/>
              <w:widowControl w:val="0"/>
              <w:suppressLineNumbers w:val="0"/>
              <w:kinsoku/>
              <w:bidi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2027-05-30</w:t>
            </w:r>
          </w:p>
        </w:tc>
        <w:tc>
          <w:tcPr>
            <w:tcW w:w="1169" w:type="pct"/>
            <w:tcBorders>
              <w:tl2br w:val="nil"/>
              <w:tr2bl w:val="nil"/>
            </w:tcBorders>
            <w:noWrap w:val="0"/>
            <w:vAlign w:val="center"/>
          </w:tcPr>
          <w:p w14:paraId="219C628E">
            <w:pPr>
              <w:pStyle w:val="86"/>
              <w:keepNext w:val="0"/>
              <w:keepLines w:val="0"/>
              <w:pageBreakBefore w:val="0"/>
              <w:widowControl w:val="0"/>
              <w:suppressLineNumbers w:val="0"/>
              <w:kinsoku/>
              <w:bidi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主要负责人</w:t>
            </w:r>
          </w:p>
        </w:tc>
      </w:tr>
      <w:tr w14:paraId="7D69F5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581" w:type="pct"/>
            <w:tcBorders>
              <w:tl2br w:val="nil"/>
              <w:tr2bl w:val="nil"/>
            </w:tcBorders>
            <w:noWrap w:val="0"/>
            <w:vAlign w:val="center"/>
          </w:tcPr>
          <w:p w14:paraId="2741018A">
            <w:pPr>
              <w:pStyle w:val="86"/>
              <w:keepNext w:val="0"/>
              <w:keepLines w:val="0"/>
              <w:pageBreakBefore w:val="0"/>
              <w:widowControl w:val="0"/>
              <w:suppressLineNumbers w:val="0"/>
              <w:kinsoku/>
              <w:bidi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2</w:t>
            </w:r>
          </w:p>
        </w:tc>
        <w:tc>
          <w:tcPr>
            <w:tcW w:w="688" w:type="pct"/>
            <w:tcBorders>
              <w:tl2br w:val="nil"/>
              <w:tr2bl w:val="nil"/>
            </w:tcBorders>
            <w:noWrap w:val="0"/>
            <w:vAlign w:val="center"/>
          </w:tcPr>
          <w:p w14:paraId="5259E781">
            <w:pPr>
              <w:pStyle w:val="86"/>
              <w:keepNext w:val="0"/>
              <w:keepLines w:val="0"/>
              <w:pageBreakBefore w:val="0"/>
              <w:widowControl w:val="0"/>
              <w:suppressLineNumbers w:val="0"/>
              <w:kinsoku/>
              <w:bidi w:val="0"/>
              <w:spacing w:before="0" w:beforeAutospacing="0" w:after="0" w:afterAutospacing="0"/>
              <w:ind w:left="0" w:right="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程龙</w:t>
            </w:r>
          </w:p>
        </w:tc>
        <w:tc>
          <w:tcPr>
            <w:tcW w:w="1564" w:type="pct"/>
            <w:tcBorders>
              <w:tl2br w:val="nil"/>
              <w:tr2bl w:val="nil"/>
            </w:tcBorders>
            <w:noWrap w:val="0"/>
            <w:vAlign w:val="center"/>
          </w:tcPr>
          <w:p w14:paraId="42104570">
            <w:pPr>
              <w:pStyle w:val="86"/>
              <w:keepNext w:val="0"/>
              <w:keepLines w:val="0"/>
              <w:pageBreakBefore w:val="0"/>
              <w:widowControl w:val="0"/>
              <w:suppressLineNumbers w:val="0"/>
              <w:kinsoku/>
              <w:bidi w:val="0"/>
              <w:spacing w:before="0" w:beforeAutospacing="0" w:after="0" w:afterAutospacing="0"/>
              <w:ind w:left="0" w:right="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410811198902180131</w:t>
            </w:r>
          </w:p>
        </w:tc>
        <w:tc>
          <w:tcPr>
            <w:tcW w:w="996" w:type="pct"/>
            <w:tcBorders>
              <w:tl2br w:val="nil"/>
              <w:tr2bl w:val="nil"/>
            </w:tcBorders>
            <w:noWrap w:val="0"/>
            <w:vAlign w:val="center"/>
          </w:tcPr>
          <w:p w14:paraId="47034872">
            <w:pPr>
              <w:pStyle w:val="86"/>
              <w:keepNext w:val="0"/>
              <w:keepLines w:val="0"/>
              <w:pageBreakBefore w:val="0"/>
              <w:widowControl w:val="0"/>
              <w:suppressLineNumbers w:val="0"/>
              <w:kinsoku/>
              <w:bidi w:val="0"/>
              <w:spacing w:before="0" w:beforeAutospacing="0" w:after="0" w:afterAutospacing="0"/>
              <w:ind w:left="0" w:right="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2024-12-27</w:t>
            </w:r>
          </w:p>
        </w:tc>
        <w:tc>
          <w:tcPr>
            <w:tcW w:w="1169" w:type="pct"/>
            <w:tcBorders>
              <w:tl2br w:val="nil"/>
              <w:tr2bl w:val="nil"/>
            </w:tcBorders>
            <w:noWrap w:val="0"/>
            <w:vAlign w:val="center"/>
          </w:tcPr>
          <w:p w14:paraId="23C53649">
            <w:pPr>
              <w:pStyle w:val="86"/>
              <w:keepNext w:val="0"/>
              <w:keepLines w:val="0"/>
              <w:pageBreakBefore w:val="0"/>
              <w:widowControl w:val="0"/>
              <w:suppressLineNumbers w:val="0"/>
              <w:kinsoku/>
              <w:bidi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安全</w:t>
            </w:r>
            <w:r>
              <w:rPr>
                <w:rFonts w:hint="eastAsia" w:ascii="宋体" w:hAnsi="宋体" w:eastAsia="宋体" w:cs="宋体"/>
                <w:sz w:val="21"/>
                <w:szCs w:val="21"/>
                <w:lang w:val="en-US" w:eastAsia="zh-CN"/>
              </w:rPr>
              <w:t>生产</w:t>
            </w:r>
            <w:r>
              <w:rPr>
                <w:rFonts w:hint="eastAsia" w:ascii="宋体" w:hAnsi="宋体" w:eastAsia="宋体" w:cs="宋体"/>
                <w:sz w:val="21"/>
                <w:szCs w:val="21"/>
              </w:rPr>
              <w:t>管理</w:t>
            </w:r>
            <w:r>
              <w:rPr>
                <w:rFonts w:hint="eastAsia" w:ascii="宋体" w:hAnsi="宋体" w:eastAsia="宋体" w:cs="宋体"/>
                <w:sz w:val="21"/>
                <w:szCs w:val="21"/>
                <w:lang w:val="en-US" w:eastAsia="zh-CN"/>
              </w:rPr>
              <w:t>人</w:t>
            </w:r>
            <w:r>
              <w:rPr>
                <w:rFonts w:hint="eastAsia" w:ascii="宋体" w:hAnsi="宋体" w:eastAsia="宋体" w:cs="宋体"/>
                <w:sz w:val="21"/>
                <w:szCs w:val="21"/>
              </w:rPr>
              <w:t>员</w:t>
            </w:r>
          </w:p>
        </w:tc>
      </w:tr>
    </w:tbl>
    <w:p w14:paraId="2EE6DD3F">
      <w:pPr>
        <w:pStyle w:val="5"/>
        <w:keepNext w:val="0"/>
        <w:keepLines w:val="0"/>
        <w:pageBreakBefore w:val="0"/>
        <w:widowControl w:val="0"/>
        <w:kinsoku/>
        <w:bidi w:val="0"/>
        <w:rPr>
          <w:rFonts w:hint="eastAsia" w:ascii="宋体" w:hAnsi="宋体" w:eastAsia="宋体" w:cs="宋体"/>
          <w:b/>
          <w:kern w:val="2"/>
          <w:sz w:val="24"/>
          <w:szCs w:val="28"/>
          <w:lang w:val="en-US" w:eastAsia="zh-CN" w:bidi="ar-SA"/>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lang w:val="en-US" w:eastAsia="zh-CN"/>
        </w:rPr>
        <w:t>特种设备作业人员持证情况</w:t>
      </w:r>
    </w:p>
    <w:p w14:paraId="3C5BE4FB">
      <w:pPr>
        <w:keepNext w:val="0"/>
        <w:keepLines w:val="0"/>
        <w:pageBreakBefore w:val="0"/>
        <w:widowControl w:val="0"/>
        <w:kinsoku/>
        <w:wordWrap/>
        <w:bidi w:val="0"/>
        <w:spacing w:before="50" w:beforeLines="50" w:line="240" w:lineRule="auto"/>
        <w:ind w:firstLine="0" w:firstLineChars="0"/>
        <w:jc w:val="center"/>
        <w:rPr>
          <w:rFonts w:hint="eastAsia" w:ascii="Times New Roman" w:hAnsi="Times New Roman" w:eastAsia="宋体" w:cs="Times New Roman"/>
        </w:rPr>
      </w:pPr>
      <w:r>
        <w:rPr>
          <w:rFonts w:hint="eastAsia" w:ascii="宋体" w:hAnsi="宋体" w:eastAsia="宋体" w:cs="宋体"/>
          <w:b/>
          <w:kern w:val="2"/>
          <w:sz w:val="24"/>
          <w:szCs w:val="28"/>
          <w:lang w:val="en-US" w:eastAsia="zh-CN" w:bidi="ar-SA"/>
        </w:rPr>
        <w:t>表</w:t>
      </w:r>
      <w:r>
        <w:rPr>
          <w:rFonts w:hint="eastAsia" w:ascii="宋体" w:hAnsi="宋体" w:eastAsia="宋体" w:cs="宋体"/>
          <w:b/>
          <w:kern w:val="2"/>
          <w:sz w:val="24"/>
          <w:szCs w:val="28"/>
          <w:lang w:val="en-US" w:eastAsia="zh-CN" w:bidi="ar-SA"/>
        </w:rPr>
        <w:fldChar w:fldCharType="begin"/>
      </w:r>
      <w:r>
        <w:rPr>
          <w:rFonts w:hint="eastAsia" w:ascii="宋体" w:hAnsi="宋体" w:eastAsia="宋体" w:cs="宋体"/>
          <w:b/>
          <w:kern w:val="2"/>
          <w:sz w:val="24"/>
          <w:szCs w:val="28"/>
          <w:lang w:val="en-US" w:eastAsia="zh-CN" w:bidi="ar-SA"/>
        </w:rPr>
        <w:instrText xml:space="preserve"> STYLEREF 1 \s </w:instrText>
      </w:r>
      <w:r>
        <w:rPr>
          <w:rFonts w:hint="eastAsia" w:ascii="宋体" w:hAnsi="宋体" w:eastAsia="宋体" w:cs="宋体"/>
          <w:b/>
          <w:kern w:val="2"/>
          <w:sz w:val="24"/>
          <w:szCs w:val="28"/>
          <w:lang w:val="en-US" w:eastAsia="zh-CN" w:bidi="ar-SA"/>
        </w:rPr>
        <w:fldChar w:fldCharType="separate"/>
      </w:r>
      <w:r>
        <w:rPr>
          <w:rFonts w:hint="eastAsia" w:ascii="宋体" w:hAnsi="宋体" w:eastAsia="宋体" w:cs="宋体"/>
          <w:b/>
          <w:kern w:val="2"/>
          <w:sz w:val="24"/>
          <w:szCs w:val="28"/>
          <w:lang w:val="en-US" w:eastAsia="zh-CN" w:bidi="ar-SA"/>
        </w:rPr>
        <w:t>2</w:t>
      </w:r>
      <w:r>
        <w:rPr>
          <w:rFonts w:hint="eastAsia" w:ascii="宋体" w:hAnsi="宋体" w:eastAsia="宋体" w:cs="宋体"/>
          <w:b/>
          <w:kern w:val="2"/>
          <w:sz w:val="24"/>
          <w:szCs w:val="28"/>
          <w:lang w:val="en-US" w:eastAsia="zh-CN" w:bidi="ar-SA"/>
        </w:rPr>
        <w:fldChar w:fldCharType="end"/>
      </w:r>
      <w:r>
        <w:rPr>
          <w:rFonts w:hint="eastAsia" w:ascii="宋体" w:hAnsi="宋体" w:eastAsia="宋体" w:cs="宋体"/>
          <w:b/>
          <w:kern w:val="2"/>
          <w:sz w:val="24"/>
          <w:szCs w:val="28"/>
          <w:lang w:val="en-US" w:eastAsia="zh-CN" w:bidi="ar-SA"/>
        </w:rPr>
        <w:t>-</w:t>
      </w:r>
      <w:r>
        <w:rPr>
          <w:rFonts w:hint="eastAsia" w:ascii="宋体" w:hAnsi="宋体" w:eastAsia="宋体" w:cs="宋体"/>
          <w:b/>
          <w:kern w:val="2"/>
          <w:sz w:val="24"/>
          <w:szCs w:val="28"/>
          <w:lang w:val="en-US" w:eastAsia="zh-CN" w:bidi="ar-SA"/>
        </w:rPr>
        <w:fldChar w:fldCharType="begin"/>
      </w:r>
      <w:r>
        <w:rPr>
          <w:rFonts w:hint="eastAsia" w:ascii="宋体" w:hAnsi="宋体" w:eastAsia="宋体" w:cs="宋体"/>
          <w:b/>
          <w:kern w:val="2"/>
          <w:sz w:val="24"/>
          <w:szCs w:val="28"/>
          <w:lang w:val="en-US" w:eastAsia="zh-CN" w:bidi="ar-SA"/>
        </w:rPr>
        <w:instrText xml:space="preserve"> SEQ 表 \* ARABIC \s 1 </w:instrText>
      </w:r>
      <w:r>
        <w:rPr>
          <w:rFonts w:hint="eastAsia" w:ascii="宋体" w:hAnsi="宋体" w:eastAsia="宋体" w:cs="宋体"/>
          <w:b/>
          <w:kern w:val="2"/>
          <w:sz w:val="24"/>
          <w:szCs w:val="28"/>
          <w:lang w:val="en-US" w:eastAsia="zh-CN" w:bidi="ar-SA"/>
        </w:rPr>
        <w:fldChar w:fldCharType="separate"/>
      </w:r>
      <w:r>
        <w:rPr>
          <w:rFonts w:hint="eastAsia" w:ascii="宋体" w:hAnsi="宋体" w:eastAsia="宋体" w:cs="宋体"/>
          <w:b/>
          <w:kern w:val="2"/>
          <w:sz w:val="24"/>
          <w:szCs w:val="28"/>
          <w:lang w:val="en-US" w:eastAsia="zh-CN" w:bidi="ar-SA"/>
        </w:rPr>
        <w:t>15</w:t>
      </w:r>
      <w:r>
        <w:rPr>
          <w:rFonts w:hint="eastAsia" w:ascii="宋体" w:hAnsi="宋体" w:eastAsia="宋体" w:cs="宋体"/>
          <w:b/>
          <w:kern w:val="2"/>
          <w:sz w:val="24"/>
          <w:szCs w:val="28"/>
          <w:lang w:val="en-US" w:eastAsia="zh-CN" w:bidi="ar-SA"/>
        </w:rPr>
        <w:fldChar w:fldCharType="end"/>
      </w:r>
      <w:r>
        <w:rPr>
          <w:rFonts w:hint="eastAsia" w:ascii="宋体" w:hAnsi="宋体" w:eastAsia="宋体" w:cs="宋体"/>
          <w:b/>
          <w:kern w:val="2"/>
          <w:sz w:val="24"/>
          <w:szCs w:val="28"/>
          <w:lang w:val="en-US" w:eastAsia="zh-CN" w:bidi="ar-SA"/>
        </w:rPr>
        <w:t>特种设备作业人员持证情况表</w:t>
      </w:r>
    </w:p>
    <w:tbl>
      <w:tblPr>
        <w:tblStyle w:val="33"/>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8"/>
        <w:gridCol w:w="2029"/>
        <w:gridCol w:w="2333"/>
        <w:gridCol w:w="1841"/>
        <w:gridCol w:w="3522"/>
        <w:gridCol w:w="2766"/>
        <w:gridCol w:w="968"/>
      </w:tblGrid>
      <w:tr w14:paraId="32D0D7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9" w:type="pct"/>
            <w:tcBorders>
              <w:tl2br w:val="nil"/>
              <w:tr2bl w:val="nil"/>
            </w:tcBorders>
            <w:vAlign w:val="center"/>
          </w:tcPr>
          <w:p w14:paraId="12800BD9">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序号</w:t>
            </w:r>
          </w:p>
        </w:tc>
        <w:tc>
          <w:tcPr>
            <w:tcW w:w="716" w:type="pct"/>
            <w:tcBorders>
              <w:tl2br w:val="nil"/>
              <w:tr2bl w:val="nil"/>
            </w:tcBorders>
            <w:vAlign w:val="center"/>
          </w:tcPr>
          <w:p w14:paraId="4A458AE6">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证书性质</w:t>
            </w:r>
          </w:p>
        </w:tc>
        <w:tc>
          <w:tcPr>
            <w:tcW w:w="823" w:type="pct"/>
            <w:tcBorders>
              <w:tl2br w:val="nil"/>
              <w:tr2bl w:val="nil"/>
            </w:tcBorders>
            <w:vAlign w:val="center"/>
          </w:tcPr>
          <w:p w14:paraId="6589D61D">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作业类别</w:t>
            </w:r>
          </w:p>
        </w:tc>
        <w:tc>
          <w:tcPr>
            <w:tcW w:w="649" w:type="pct"/>
            <w:tcBorders>
              <w:tl2br w:val="nil"/>
              <w:tr2bl w:val="nil"/>
            </w:tcBorders>
            <w:vAlign w:val="center"/>
          </w:tcPr>
          <w:p w14:paraId="1526451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持证人员</w:t>
            </w:r>
          </w:p>
        </w:tc>
        <w:tc>
          <w:tcPr>
            <w:tcW w:w="1243" w:type="pct"/>
            <w:tcBorders>
              <w:tl2br w:val="nil"/>
              <w:tr2bl w:val="nil"/>
            </w:tcBorders>
            <w:vAlign w:val="center"/>
          </w:tcPr>
          <w:p w14:paraId="6E554BA6">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证号</w:t>
            </w:r>
          </w:p>
        </w:tc>
        <w:tc>
          <w:tcPr>
            <w:tcW w:w="976" w:type="pct"/>
            <w:tcBorders>
              <w:tl2br w:val="nil"/>
              <w:tr2bl w:val="nil"/>
            </w:tcBorders>
            <w:vAlign w:val="center"/>
          </w:tcPr>
          <w:p w14:paraId="3484CEC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有效期</w:t>
            </w:r>
          </w:p>
        </w:tc>
        <w:tc>
          <w:tcPr>
            <w:tcW w:w="341" w:type="pct"/>
            <w:tcBorders>
              <w:tl2br w:val="nil"/>
              <w:tr2bl w:val="nil"/>
            </w:tcBorders>
            <w:vAlign w:val="center"/>
          </w:tcPr>
          <w:p w14:paraId="28AD2A25">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备注</w:t>
            </w:r>
          </w:p>
        </w:tc>
      </w:tr>
      <w:tr w14:paraId="46A607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9" w:type="pct"/>
            <w:tcBorders>
              <w:tl2br w:val="nil"/>
              <w:tr2bl w:val="nil"/>
            </w:tcBorders>
            <w:vAlign w:val="center"/>
          </w:tcPr>
          <w:p w14:paraId="7B0A6A59">
            <w:pPr>
              <w:keepNext w:val="0"/>
              <w:keepLines w:val="0"/>
              <w:pageBreakBefore w:val="0"/>
              <w:widowControl w:val="0"/>
              <w:numPr>
                <w:ilvl w:val="0"/>
                <w:numId w:val="34"/>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16" w:type="pct"/>
            <w:tcBorders>
              <w:tl2br w:val="nil"/>
              <w:tr2bl w:val="nil"/>
            </w:tcBorders>
            <w:vAlign w:val="center"/>
          </w:tcPr>
          <w:p w14:paraId="7633EED6">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特种设备操作证</w:t>
            </w:r>
          </w:p>
        </w:tc>
        <w:tc>
          <w:tcPr>
            <w:tcW w:w="823" w:type="pct"/>
            <w:tcBorders>
              <w:tl2br w:val="nil"/>
              <w:tr2bl w:val="nil"/>
            </w:tcBorders>
            <w:vAlign w:val="center"/>
          </w:tcPr>
          <w:p w14:paraId="3B5E05BD">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特种设备安全管理（A）</w:t>
            </w:r>
          </w:p>
        </w:tc>
        <w:tc>
          <w:tcPr>
            <w:tcW w:w="649" w:type="pct"/>
            <w:tcBorders>
              <w:tl2br w:val="nil"/>
              <w:tr2bl w:val="nil"/>
            </w:tcBorders>
            <w:vAlign w:val="center"/>
          </w:tcPr>
          <w:p w14:paraId="315505B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程龙</w:t>
            </w:r>
          </w:p>
        </w:tc>
        <w:tc>
          <w:tcPr>
            <w:tcW w:w="1243" w:type="pct"/>
            <w:tcBorders>
              <w:tl2br w:val="nil"/>
              <w:tr2bl w:val="nil"/>
            </w:tcBorders>
            <w:vAlign w:val="center"/>
          </w:tcPr>
          <w:p w14:paraId="501A4FD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410811198902180131</w:t>
            </w:r>
          </w:p>
        </w:tc>
        <w:tc>
          <w:tcPr>
            <w:tcW w:w="976" w:type="pct"/>
            <w:tcBorders>
              <w:tl2br w:val="nil"/>
              <w:tr2bl w:val="nil"/>
            </w:tcBorders>
            <w:vAlign w:val="center"/>
          </w:tcPr>
          <w:p w14:paraId="4690B985">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2024-06-2028-05</w:t>
            </w:r>
          </w:p>
        </w:tc>
        <w:tc>
          <w:tcPr>
            <w:tcW w:w="341" w:type="pct"/>
            <w:tcBorders>
              <w:tl2br w:val="nil"/>
              <w:tr2bl w:val="nil"/>
            </w:tcBorders>
            <w:vAlign w:val="center"/>
          </w:tcPr>
          <w:p w14:paraId="77D5BEC1">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p>
        </w:tc>
      </w:tr>
      <w:tr w14:paraId="33470F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9" w:type="pct"/>
            <w:tcBorders>
              <w:tl2br w:val="nil"/>
              <w:tr2bl w:val="nil"/>
            </w:tcBorders>
            <w:vAlign w:val="center"/>
          </w:tcPr>
          <w:p w14:paraId="21253DA3">
            <w:pPr>
              <w:keepNext w:val="0"/>
              <w:keepLines w:val="0"/>
              <w:pageBreakBefore w:val="0"/>
              <w:widowControl w:val="0"/>
              <w:numPr>
                <w:ilvl w:val="0"/>
                <w:numId w:val="34"/>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16" w:type="pct"/>
            <w:tcBorders>
              <w:tl2br w:val="nil"/>
              <w:tr2bl w:val="nil"/>
            </w:tcBorders>
            <w:vAlign w:val="center"/>
          </w:tcPr>
          <w:p w14:paraId="666D7FC0">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特种设备操作证</w:t>
            </w:r>
          </w:p>
        </w:tc>
        <w:tc>
          <w:tcPr>
            <w:tcW w:w="823" w:type="pct"/>
            <w:tcBorders>
              <w:tl2br w:val="nil"/>
              <w:tr2bl w:val="nil"/>
            </w:tcBorders>
            <w:vAlign w:val="center"/>
          </w:tcPr>
          <w:p w14:paraId="790A2DD2">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叉车司机（N1）</w:t>
            </w:r>
          </w:p>
        </w:tc>
        <w:tc>
          <w:tcPr>
            <w:tcW w:w="649" w:type="pct"/>
            <w:tcBorders>
              <w:tl2br w:val="nil"/>
              <w:tr2bl w:val="nil"/>
            </w:tcBorders>
            <w:vAlign w:val="center"/>
          </w:tcPr>
          <w:p w14:paraId="037237B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李庆伟</w:t>
            </w:r>
          </w:p>
        </w:tc>
        <w:tc>
          <w:tcPr>
            <w:tcW w:w="1243" w:type="pct"/>
            <w:tcBorders>
              <w:tl2br w:val="nil"/>
              <w:tr2bl w:val="nil"/>
            </w:tcBorders>
            <w:vAlign w:val="center"/>
          </w:tcPr>
          <w:p w14:paraId="7BF0CA14">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532331197804062433</w:t>
            </w:r>
          </w:p>
        </w:tc>
        <w:tc>
          <w:tcPr>
            <w:tcW w:w="976" w:type="pct"/>
            <w:tcBorders>
              <w:tl2br w:val="nil"/>
              <w:tr2bl w:val="nil"/>
            </w:tcBorders>
            <w:vAlign w:val="center"/>
          </w:tcPr>
          <w:p w14:paraId="2549BC34">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2023-08-2027-07</w:t>
            </w:r>
          </w:p>
        </w:tc>
        <w:tc>
          <w:tcPr>
            <w:tcW w:w="341" w:type="pct"/>
            <w:tcBorders>
              <w:tl2br w:val="nil"/>
              <w:tr2bl w:val="nil"/>
            </w:tcBorders>
            <w:vAlign w:val="center"/>
          </w:tcPr>
          <w:p w14:paraId="6CCBDAC7">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p>
        </w:tc>
      </w:tr>
      <w:tr w14:paraId="462391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9" w:type="pct"/>
            <w:tcBorders>
              <w:tl2br w:val="nil"/>
              <w:tr2bl w:val="nil"/>
            </w:tcBorders>
            <w:vAlign w:val="center"/>
          </w:tcPr>
          <w:p w14:paraId="4C5D11C9">
            <w:pPr>
              <w:keepNext w:val="0"/>
              <w:keepLines w:val="0"/>
              <w:pageBreakBefore w:val="0"/>
              <w:widowControl w:val="0"/>
              <w:numPr>
                <w:ilvl w:val="0"/>
                <w:numId w:val="34"/>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16" w:type="pct"/>
            <w:tcBorders>
              <w:tl2br w:val="nil"/>
              <w:tr2bl w:val="nil"/>
            </w:tcBorders>
            <w:vAlign w:val="center"/>
          </w:tcPr>
          <w:p w14:paraId="522C5847">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特种设备操作证</w:t>
            </w:r>
          </w:p>
        </w:tc>
        <w:tc>
          <w:tcPr>
            <w:tcW w:w="823" w:type="pct"/>
            <w:tcBorders>
              <w:tl2br w:val="nil"/>
              <w:tr2bl w:val="nil"/>
            </w:tcBorders>
            <w:vAlign w:val="center"/>
          </w:tcPr>
          <w:p w14:paraId="7B782D68">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叉车司机（N1）</w:t>
            </w:r>
          </w:p>
        </w:tc>
        <w:tc>
          <w:tcPr>
            <w:tcW w:w="649" w:type="pct"/>
            <w:tcBorders>
              <w:tl2br w:val="nil"/>
              <w:tr2bl w:val="nil"/>
            </w:tcBorders>
            <w:vAlign w:val="center"/>
          </w:tcPr>
          <w:p w14:paraId="26E37A9C">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孙权</w:t>
            </w:r>
          </w:p>
        </w:tc>
        <w:tc>
          <w:tcPr>
            <w:tcW w:w="1243" w:type="pct"/>
            <w:tcBorders>
              <w:tl2br w:val="nil"/>
              <w:tr2bl w:val="nil"/>
            </w:tcBorders>
            <w:vAlign w:val="center"/>
          </w:tcPr>
          <w:p w14:paraId="6B8E9C9B">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53233119881105265X</w:t>
            </w:r>
          </w:p>
        </w:tc>
        <w:tc>
          <w:tcPr>
            <w:tcW w:w="976" w:type="pct"/>
            <w:tcBorders>
              <w:tl2br w:val="nil"/>
              <w:tr2bl w:val="nil"/>
            </w:tcBorders>
            <w:vAlign w:val="center"/>
          </w:tcPr>
          <w:p w14:paraId="2465858C">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2024-05-2028-04</w:t>
            </w:r>
          </w:p>
        </w:tc>
        <w:tc>
          <w:tcPr>
            <w:tcW w:w="341" w:type="pct"/>
            <w:tcBorders>
              <w:tl2br w:val="nil"/>
              <w:tr2bl w:val="nil"/>
            </w:tcBorders>
            <w:vAlign w:val="center"/>
          </w:tcPr>
          <w:p w14:paraId="76117F75">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p>
        </w:tc>
      </w:tr>
      <w:tr w14:paraId="5F3A67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9" w:type="pct"/>
            <w:tcBorders>
              <w:tl2br w:val="nil"/>
              <w:tr2bl w:val="nil"/>
            </w:tcBorders>
            <w:vAlign w:val="center"/>
          </w:tcPr>
          <w:p w14:paraId="73C8030C">
            <w:pPr>
              <w:keepNext w:val="0"/>
              <w:keepLines w:val="0"/>
              <w:pageBreakBefore w:val="0"/>
              <w:widowControl w:val="0"/>
              <w:numPr>
                <w:ilvl w:val="0"/>
                <w:numId w:val="34"/>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16" w:type="pct"/>
            <w:tcBorders>
              <w:tl2br w:val="nil"/>
              <w:tr2bl w:val="nil"/>
            </w:tcBorders>
            <w:vAlign w:val="center"/>
          </w:tcPr>
          <w:p w14:paraId="1F007D7D">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特种设备操作证</w:t>
            </w:r>
          </w:p>
        </w:tc>
        <w:tc>
          <w:tcPr>
            <w:tcW w:w="823" w:type="pct"/>
            <w:tcBorders>
              <w:tl2br w:val="nil"/>
              <w:tr2bl w:val="nil"/>
            </w:tcBorders>
            <w:vAlign w:val="center"/>
          </w:tcPr>
          <w:p w14:paraId="2738DDAC">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叉车司机（N1）</w:t>
            </w:r>
          </w:p>
        </w:tc>
        <w:tc>
          <w:tcPr>
            <w:tcW w:w="649" w:type="pct"/>
            <w:tcBorders>
              <w:tl2br w:val="nil"/>
              <w:tr2bl w:val="nil"/>
            </w:tcBorders>
            <w:vAlign w:val="center"/>
          </w:tcPr>
          <w:p w14:paraId="1C34730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刘兴龙</w:t>
            </w:r>
          </w:p>
        </w:tc>
        <w:tc>
          <w:tcPr>
            <w:tcW w:w="1243" w:type="pct"/>
            <w:tcBorders>
              <w:tl2br w:val="nil"/>
              <w:tr2bl w:val="nil"/>
            </w:tcBorders>
            <w:vAlign w:val="center"/>
          </w:tcPr>
          <w:p w14:paraId="388232F9">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532331199605211415</w:t>
            </w:r>
          </w:p>
        </w:tc>
        <w:tc>
          <w:tcPr>
            <w:tcW w:w="976" w:type="pct"/>
            <w:tcBorders>
              <w:tl2br w:val="nil"/>
              <w:tr2bl w:val="nil"/>
            </w:tcBorders>
            <w:vAlign w:val="center"/>
          </w:tcPr>
          <w:p w14:paraId="1289301E">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2023-08-2027-07</w:t>
            </w:r>
          </w:p>
        </w:tc>
        <w:tc>
          <w:tcPr>
            <w:tcW w:w="341" w:type="pct"/>
            <w:tcBorders>
              <w:tl2br w:val="nil"/>
              <w:tr2bl w:val="nil"/>
            </w:tcBorders>
            <w:vAlign w:val="center"/>
          </w:tcPr>
          <w:p w14:paraId="49968E0D">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p>
        </w:tc>
      </w:tr>
      <w:tr w14:paraId="19E0C6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9" w:type="pct"/>
            <w:tcBorders>
              <w:tl2br w:val="nil"/>
              <w:tr2bl w:val="nil"/>
            </w:tcBorders>
            <w:vAlign w:val="center"/>
          </w:tcPr>
          <w:p w14:paraId="007EBB9D">
            <w:pPr>
              <w:keepNext w:val="0"/>
              <w:keepLines w:val="0"/>
              <w:pageBreakBefore w:val="0"/>
              <w:widowControl w:val="0"/>
              <w:numPr>
                <w:ilvl w:val="0"/>
                <w:numId w:val="34"/>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16" w:type="pct"/>
            <w:tcBorders>
              <w:tl2br w:val="nil"/>
              <w:tr2bl w:val="nil"/>
            </w:tcBorders>
            <w:vAlign w:val="center"/>
          </w:tcPr>
          <w:p w14:paraId="601FE49F">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特种设备操作证</w:t>
            </w:r>
          </w:p>
        </w:tc>
        <w:tc>
          <w:tcPr>
            <w:tcW w:w="823" w:type="pct"/>
            <w:tcBorders>
              <w:tl2br w:val="nil"/>
              <w:tr2bl w:val="nil"/>
            </w:tcBorders>
            <w:vAlign w:val="center"/>
          </w:tcPr>
          <w:p w14:paraId="32F1C89A">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叉车司机（N1）</w:t>
            </w:r>
          </w:p>
        </w:tc>
        <w:tc>
          <w:tcPr>
            <w:tcW w:w="649" w:type="pct"/>
            <w:tcBorders>
              <w:tl2br w:val="nil"/>
              <w:tr2bl w:val="nil"/>
            </w:tcBorders>
            <w:vAlign w:val="center"/>
          </w:tcPr>
          <w:p w14:paraId="4E134F2C">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李文祥</w:t>
            </w:r>
          </w:p>
        </w:tc>
        <w:tc>
          <w:tcPr>
            <w:tcW w:w="1243" w:type="pct"/>
            <w:tcBorders>
              <w:tl2br w:val="nil"/>
              <w:tr2bl w:val="nil"/>
            </w:tcBorders>
            <w:vAlign w:val="center"/>
          </w:tcPr>
          <w:p w14:paraId="1D099ACE">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532331198208282418</w:t>
            </w:r>
          </w:p>
        </w:tc>
        <w:tc>
          <w:tcPr>
            <w:tcW w:w="976" w:type="pct"/>
            <w:tcBorders>
              <w:tl2br w:val="nil"/>
              <w:tr2bl w:val="nil"/>
            </w:tcBorders>
            <w:vAlign w:val="center"/>
          </w:tcPr>
          <w:p w14:paraId="682B0952">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2022-11-2026-10</w:t>
            </w:r>
          </w:p>
        </w:tc>
        <w:tc>
          <w:tcPr>
            <w:tcW w:w="341" w:type="pct"/>
            <w:tcBorders>
              <w:tl2br w:val="nil"/>
              <w:tr2bl w:val="nil"/>
            </w:tcBorders>
            <w:vAlign w:val="center"/>
          </w:tcPr>
          <w:p w14:paraId="0D06F7AC">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p>
        </w:tc>
      </w:tr>
      <w:tr w14:paraId="292C5B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9" w:type="pct"/>
            <w:tcBorders>
              <w:tl2br w:val="nil"/>
              <w:tr2bl w:val="nil"/>
            </w:tcBorders>
            <w:vAlign w:val="center"/>
          </w:tcPr>
          <w:p w14:paraId="57252E36">
            <w:pPr>
              <w:keepNext w:val="0"/>
              <w:keepLines w:val="0"/>
              <w:pageBreakBefore w:val="0"/>
              <w:widowControl w:val="0"/>
              <w:numPr>
                <w:ilvl w:val="0"/>
                <w:numId w:val="34"/>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16" w:type="pct"/>
            <w:tcBorders>
              <w:tl2br w:val="nil"/>
              <w:tr2bl w:val="nil"/>
            </w:tcBorders>
            <w:vAlign w:val="center"/>
          </w:tcPr>
          <w:p w14:paraId="719427D5">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特种设备操作证</w:t>
            </w:r>
          </w:p>
        </w:tc>
        <w:tc>
          <w:tcPr>
            <w:tcW w:w="823" w:type="pct"/>
            <w:tcBorders>
              <w:tl2br w:val="nil"/>
              <w:tr2bl w:val="nil"/>
            </w:tcBorders>
            <w:vAlign w:val="center"/>
          </w:tcPr>
          <w:p w14:paraId="1C282E4E">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叉车司机（N1）</w:t>
            </w:r>
          </w:p>
        </w:tc>
        <w:tc>
          <w:tcPr>
            <w:tcW w:w="649" w:type="pct"/>
            <w:tcBorders>
              <w:tl2br w:val="nil"/>
              <w:tr2bl w:val="nil"/>
            </w:tcBorders>
            <w:vAlign w:val="center"/>
          </w:tcPr>
          <w:p w14:paraId="3F36BF3E">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卜金明</w:t>
            </w:r>
          </w:p>
        </w:tc>
        <w:tc>
          <w:tcPr>
            <w:tcW w:w="1243" w:type="pct"/>
            <w:tcBorders>
              <w:tl2br w:val="nil"/>
              <w:tr2bl w:val="nil"/>
            </w:tcBorders>
            <w:vAlign w:val="center"/>
          </w:tcPr>
          <w:p w14:paraId="698E4F16">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530425198502090712</w:t>
            </w:r>
          </w:p>
        </w:tc>
        <w:tc>
          <w:tcPr>
            <w:tcW w:w="976" w:type="pct"/>
            <w:tcBorders>
              <w:tl2br w:val="nil"/>
              <w:tr2bl w:val="nil"/>
            </w:tcBorders>
            <w:vAlign w:val="center"/>
          </w:tcPr>
          <w:p w14:paraId="7F14C074">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2023-09-2027-08</w:t>
            </w:r>
          </w:p>
        </w:tc>
        <w:tc>
          <w:tcPr>
            <w:tcW w:w="341" w:type="pct"/>
            <w:tcBorders>
              <w:tl2br w:val="nil"/>
              <w:tr2bl w:val="nil"/>
            </w:tcBorders>
            <w:vAlign w:val="center"/>
          </w:tcPr>
          <w:p w14:paraId="1E010EAD">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p>
        </w:tc>
      </w:tr>
      <w:tr w14:paraId="74C573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9" w:type="pct"/>
            <w:tcBorders>
              <w:tl2br w:val="nil"/>
              <w:tr2bl w:val="nil"/>
            </w:tcBorders>
            <w:vAlign w:val="center"/>
          </w:tcPr>
          <w:p w14:paraId="74331560">
            <w:pPr>
              <w:keepNext w:val="0"/>
              <w:keepLines w:val="0"/>
              <w:pageBreakBefore w:val="0"/>
              <w:widowControl w:val="0"/>
              <w:numPr>
                <w:ilvl w:val="0"/>
                <w:numId w:val="34"/>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16" w:type="pct"/>
            <w:tcBorders>
              <w:tl2br w:val="nil"/>
              <w:tr2bl w:val="nil"/>
            </w:tcBorders>
            <w:vAlign w:val="center"/>
          </w:tcPr>
          <w:p w14:paraId="164D05E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特种设备操作证</w:t>
            </w:r>
          </w:p>
        </w:tc>
        <w:tc>
          <w:tcPr>
            <w:tcW w:w="823" w:type="pct"/>
            <w:tcBorders>
              <w:tl2br w:val="nil"/>
              <w:tr2bl w:val="nil"/>
            </w:tcBorders>
            <w:vAlign w:val="center"/>
          </w:tcPr>
          <w:p w14:paraId="2CED28C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叉车司机（N1）</w:t>
            </w:r>
          </w:p>
        </w:tc>
        <w:tc>
          <w:tcPr>
            <w:tcW w:w="649" w:type="pct"/>
            <w:tcBorders>
              <w:tl2br w:val="nil"/>
              <w:tr2bl w:val="nil"/>
            </w:tcBorders>
            <w:vAlign w:val="center"/>
          </w:tcPr>
          <w:p w14:paraId="689720DF">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李宏</w:t>
            </w:r>
          </w:p>
        </w:tc>
        <w:tc>
          <w:tcPr>
            <w:tcW w:w="1243" w:type="pct"/>
            <w:tcBorders>
              <w:tl2br w:val="nil"/>
              <w:tr2bl w:val="nil"/>
            </w:tcBorders>
            <w:vAlign w:val="center"/>
          </w:tcPr>
          <w:p w14:paraId="68804EC9">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532329198202060919</w:t>
            </w:r>
          </w:p>
        </w:tc>
        <w:tc>
          <w:tcPr>
            <w:tcW w:w="976" w:type="pct"/>
            <w:tcBorders>
              <w:tl2br w:val="nil"/>
              <w:tr2bl w:val="nil"/>
            </w:tcBorders>
            <w:vAlign w:val="center"/>
          </w:tcPr>
          <w:p w14:paraId="68DD8FEF">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2023-08-2027-07</w:t>
            </w:r>
          </w:p>
        </w:tc>
        <w:tc>
          <w:tcPr>
            <w:tcW w:w="341" w:type="pct"/>
            <w:tcBorders>
              <w:tl2br w:val="nil"/>
              <w:tr2bl w:val="nil"/>
            </w:tcBorders>
            <w:vAlign w:val="center"/>
          </w:tcPr>
          <w:p w14:paraId="7D2FA43E">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p>
        </w:tc>
      </w:tr>
    </w:tbl>
    <w:p w14:paraId="0A23AB45">
      <w:pPr>
        <w:pStyle w:val="5"/>
        <w:keepNext w:val="0"/>
        <w:keepLines w:val="0"/>
        <w:pageBreakBefore w:val="0"/>
        <w:widowControl w:val="0"/>
        <w:kinsoku/>
        <w:bidi w:val="0"/>
        <w:rPr>
          <w:rFonts w:hint="eastAsia"/>
          <w:lang w:val="en-US" w:eastAsia="zh-CN"/>
        </w:rPr>
      </w:pPr>
      <w:r>
        <w:rPr>
          <w:rFonts w:hint="eastAsia"/>
          <w:lang w:val="en-US" w:eastAsia="zh-CN"/>
        </w:rPr>
        <w:t>特种作业人员持证情况</w:t>
      </w:r>
    </w:p>
    <w:p w14:paraId="42CA6869">
      <w:pPr>
        <w:keepNext w:val="0"/>
        <w:keepLines w:val="0"/>
        <w:pageBreakBefore w:val="0"/>
        <w:widowControl w:val="0"/>
        <w:kinsoku/>
        <w:wordWrap/>
        <w:bidi w:val="0"/>
        <w:spacing w:before="50" w:beforeLines="50" w:line="240" w:lineRule="auto"/>
        <w:ind w:firstLine="0" w:firstLineChars="0"/>
        <w:jc w:val="center"/>
        <w:rPr>
          <w:rFonts w:hint="eastAsia" w:ascii="Times New Roman" w:hAnsi="Times New Roman" w:eastAsia="宋体" w:cs="Times New Roman"/>
        </w:rPr>
      </w:pPr>
      <w:r>
        <w:rPr>
          <w:rFonts w:hint="eastAsia" w:ascii="宋体" w:hAnsi="宋体" w:eastAsia="宋体" w:cs="宋体"/>
          <w:b/>
          <w:kern w:val="2"/>
          <w:sz w:val="24"/>
          <w:szCs w:val="28"/>
          <w:lang w:val="en-US" w:eastAsia="zh-CN" w:bidi="ar-SA"/>
        </w:rPr>
        <w:t>表</w:t>
      </w:r>
      <w:r>
        <w:rPr>
          <w:rFonts w:hint="eastAsia" w:ascii="宋体" w:hAnsi="宋体" w:eastAsia="宋体" w:cs="宋体"/>
          <w:b/>
          <w:kern w:val="2"/>
          <w:sz w:val="24"/>
          <w:szCs w:val="28"/>
          <w:lang w:val="en-US" w:eastAsia="zh-CN" w:bidi="ar-SA"/>
        </w:rPr>
        <w:fldChar w:fldCharType="begin"/>
      </w:r>
      <w:r>
        <w:rPr>
          <w:rFonts w:hint="eastAsia" w:ascii="宋体" w:hAnsi="宋体" w:eastAsia="宋体" w:cs="宋体"/>
          <w:b/>
          <w:kern w:val="2"/>
          <w:sz w:val="24"/>
          <w:szCs w:val="28"/>
          <w:lang w:val="en-US" w:eastAsia="zh-CN" w:bidi="ar-SA"/>
        </w:rPr>
        <w:instrText xml:space="preserve"> STYLEREF 1 \s </w:instrText>
      </w:r>
      <w:r>
        <w:rPr>
          <w:rFonts w:hint="eastAsia" w:ascii="宋体" w:hAnsi="宋体" w:eastAsia="宋体" w:cs="宋体"/>
          <w:b/>
          <w:kern w:val="2"/>
          <w:sz w:val="24"/>
          <w:szCs w:val="28"/>
          <w:lang w:val="en-US" w:eastAsia="zh-CN" w:bidi="ar-SA"/>
        </w:rPr>
        <w:fldChar w:fldCharType="separate"/>
      </w:r>
      <w:r>
        <w:rPr>
          <w:rFonts w:hint="eastAsia" w:ascii="宋体" w:hAnsi="宋体" w:eastAsia="宋体" w:cs="宋体"/>
          <w:b/>
          <w:kern w:val="2"/>
          <w:sz w:val="24"/>
          <w:szCs w:val="28"/>
          <w:lang w:val="en-US" w:eastAsia="zh-CN" w:bidi="ar-SA"/>
        </w:rPr>
        <w:t>2</w:t>
      </w:r>
      <w:r>
        <w:rPr>
          <w:rFonts w:hint="eastAsia" w:ascii="宋体" w:hAnsi="宋体" w:eastAsia="宋体" w:cs="宋体"/>
          <w:b/>
          <w:kern w:val="2"/>
          <w:sz w:val="24"/>
          <w:szCs w:val="28"/>
          <w:lang w:val="en-US" w:eastAsia="zh-CN" w:bidi="ar-SA"/>
        </w:rPr>
        <w:fldChar w:fldCharType="end"/>
      </w:r>
      <w:r>
        <w:rPr>
          <w:rFonts w:hint="eastAsia" w:ascii="宋体" w:hAnsi="宋体" w:eastAsia="宋体" w:cs="宋体"/>
          <w:b/>
          <w:kern w:val="2"/>
          <w:sz w:val="24"/>
          <w:szCs w:val="28"/>
          <w:lang w:val="en-US" w:eastAsia="zh-CN" w:bidi="ar-SA"/>
        </w:rPr>
        <w:t>-</w:t>
      </w:r>
      <w:r>
        <w:rPr>
          <w:rFonts w:hint="eastAsia" w:ascii="宋体" w:hAnsi="宋体" w:eastAsia="宋体" w:cs="宋体"/>
          <w:b/>
          <w:kern w:val="2"/>
          <w:sz w:val="24"/>
          <w:szCs w:val="28"/>
          <w:lang w:val="en-US" w:eastAsia="zh-CN" w:bidi="ar-SA"/>
        </w:rPr>
        <w:fldChar w:fldCharType="begin"/>
      </w:r>
      <w:r>
        <w:rPr>
          <w:rFonts w:hint="eastAsia" w:ascii="宋体" w:hAnsi="宋体" w:eastAsia="宋体" w:cs="宋体"/>
          <w:b/>
          <w:kern w:val="2"/>
          <w:sz w:val="24"/>
          <w:szCs w:val="28"/>
          <w:lang w:val="en-US" w:eastAsia="zh-CN" w:bidi="ar-SA"/>
        </w:rPr>
        <w:instrText xml:space="preserve"> SEQ 表 \* ARABIC \s 1 </w:instrText>
      </w:r>
      <w:r>
        <w:rPr>
          <w:rFonts w:hint="eastAsia" w:ascii="宋体" w:hAnsi="宋体" w:eastAsia="宋体" w:cs="宋体"/>
          <w:b/>
          <w:kern w:val="2"/>
          <w:sz w:val="24"/>
          <w:szCs w:val="28"/>
          <w:lang w:val="en-US" w:eastAsia="zh-CN" w:bidi="ar-SA"/>
        </w:rPr>
        <w:fldChar w:fldCharType="separate"/>
      </w:r>
      <w:r>
        <w:rPr>
          <w:rFonts w:hint="eastAsia" w:ascii="宋体" w:hAnsi="宋体" w:eastAsia="宋体" w:cs="宋体"/>
          <w:b/>
          <w:kern w:val="2"/>
          <w:sz w:val="24"/>
          <w:szCs w:val="28"/>
          <w:lang w:val="en-US" w:eastAsia="zh-CN" w:bidi="ar-SA"/>
        </w:rPr>
        <w:t>16</w:t>
      </w:r>
      <w:r>
        <w:rPr>
          <w:rFonts w:hint="eastAsia" w:ascii="宋体" w:hAnsi="宋体" w:eastAsia="宋体" w:cs="宋体"/>
          <w:b/>
          <w:kern w:val="2"/>
          <w:sz w:val="24"/>
          <w:szCs w:val="28"/>
          <w:lang w:val="en-US" w:eastAsia="zh-CN" w:bidi="ar-SA"/>
        </w:rPr>
        <w:fldChar w:fldCharType="end"/>
      </w:r>
      <w:r>
        <w:rPr>
          <w:rFonts w:hint="eastAsia" w:ascii="宋体" w:hAnsi="宋体" w:eastAsia="宋体" w:cs="宋体"/>
          <w:b/>
          <w:kern w:val="2"/>
          <w:sz w:val="24"/>
          <w:szCs w:val="28"/>
          <w:lang w:val="en-US" w:eastAsia="zh-CN" w:bidi="ar-SA"/>
        </w:rPr>
        <w:t>特种作业人员持证情况表</w:t>
      </w:r>
    </w:p>
    <w:tbl>
      <w:tblPr>
        <w:tblStyle w:val="33"/>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011"/>
        <w:gridCol w:w="1886"/>
        <w:gridCol w:w="2286"/>
        <w:gridCol w:w="2923"/>
        <w:gridCol w:w="2610"/>
        <w:gridCol w:w="1723"/>
      </w:tblGrid>
      <w:tr w14:paraId="412D61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tcBorders>
              <w:tl2br w:val="nil"/>
              <w:tr2bl w:val="nil"/>
            </w:tcBorders>
            <w:vAlign w:val="center"/>
          </w:tcPr>
          <w:p w14:paraId="71884361">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序号</w:t>
            </w:r>
          </w:p>
        </w:tc>
        <w:tc>
          <w:tcPr>
            <w:tcW w:w="709" w:type="pct"/>
            <w:tcBorders>
              <w:tl2br w:val="nil"/>
              <w:tr2bl w:val="nil"/>
            </w:tcBorders>
            <w:vAlign w:val="center"/>
          </w:tcPr>
          <w:p w14:paraId="375E5C3D">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证书性质</w:t>
            </w:r>
          </w:p>
        </w:tc>
        <w:tc>
          <w:tcPr>
            <w:tcW w:w="665" w:type="pct"/>
            <w:tcBorders>
              <w:tl2br w:val="nil"/>
              <w:tr2bl w:val="nil"/>
            </w:tcBorders>
            <w:vAlign w:val="center"/>
          </w:tcPr>
          <w:p w14:paraId="54731B9E">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作业类别</w:t>
            </w:r>
          </w:p>
        </w:tc>
        <w:tc>
          <w:tcPr>
            <w:tcW w:w="806" w:type="pct"/>
            <w:tcBorders>
              <w:tl2br w:val="nil"/>
              <w:tr2bl w:val="nil"/>
            </w:tcBorders>
            <w:vAlign w:val="center"/>
          </w:tcPr>
          <w:p w14:paraId="308990F1">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持证人员</w:t>
            </w:r>
          </w:p>
        </w:tc>
        <w:tc>
          <w:tcPr>
            <w:tcW w:w="1031" w:type="pct"/>
            <w:tcBorders>
              <w:tl2br w:val="nil"/>
              <w:tr2bl w:val="nil"/>
            </w:tcBorders>
            <w:vAlign w:val="center"/>
          </w:tcPr>
          <w:p w14:paraId="7CF5DE35">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证号</w:t>
            </w:r>
          </w:p>
        </w:tc>
        <w:tc>
          <w:tcPr>
            <w:tcW w:w="921" w:type="pct"/>
            <w:tcBorders>
              <w:tl2br w:val="nil"/>
              <w:tr2bl w:val="nil"/>
            </w:tcBorders>
            <w:vAlign w:val="center"/>
          </w:tcPr>
          <w:p w14:paraId="74365191">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有效期</w:t>
            </w:r>
          </w:p>
        </w:tc>
        <w:tc>
          <w:tcPr>
            <w:tcW w:w="608" w:type="pct"/>
            <w:tcBorders>
              <w:tl2br w:val="nil"/>
              <w:tr2bl w:val="nil"/>
            </w:tcBorders>
            <w:vAlign w:val="center"/>
          </w:tcPr>
          <w:p w14:paraId="5A66429D">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复审日期</w:t>
            </w:r>
          </w:p>
        </w:tc>
      </w:tr>
      <w:tr w14:paraId="3BBFF7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tcBorders>
              <w:tl2br w:val="nil"/>
              <w:tr2bl w:val="nil"/>
            </w:tcBorders>
            <w:vAlign w:val="center"/>
          </w:tcPr>
          <w:p w14:paraId="457DADA8">
            <w:pPr>
              <w:keepNext w:val="0"/>
              <w:keepLines w:val="0"/>
              <w:pageBreakBefore w:val="0"/>
              <w:widowControl w:val="0"/>
              <w:numPr>
                <w:ilvl w:val="0"/>
                <w:numId w:val="35"/>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09" w:type="pct"/>
            <w:tcBorders>
              <w:tl2br w:val="nil"/>
              <w:tr2bl w:val="nil"/>
            </w:tcBorders>
            <w:vAlign w:val="center"/>
          </w:tcPr>
          <w:p w14:paraId="71692BC6">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特种作业操作证</w:t>
            </w:r>
          </w:p>
        </w:tc>
        <w:tc>
          <w:tcPr>
            <w:tcW w:w="665" w:type="pct"/>
            <w:tcBorders>
              <w:tl2br w:val="nil"/>
              <w:tr2bl w:val="nil"/>
            </w:tcBorders>
            <w:vAlign w:val="center"/>
          </w:tcPr>
          <w:p w14:paraId="08B8616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高处作业</w:t>
            </w:r>
          </w:p>
        </w:tc>
        <w:tc>
          <w:tcPr>
            <w:tcW w:w="806" w:type="pct"/>
            <w:tcBorders>
              <w:tl2br w:val="nil"/>
              <w:tr2bl w:val="nil"/>
            </w:tcBorders>
            <w:vAlign w:val="center"/>
          </w:tcPr>
          <w:p w14:paraId="6329A339">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李兴学</w:t>
            </w:r>
          </w:p>
        </w:tc>
        <w:tc>
          <w:tcPr>
            <w:tcW w:w="1031" w:type="pct"/>
            <w:tcBorders>
              <w:tl2br w:val="nil"/>
              <w:tr2bl w:val="nil"/>
            </w:tcBorders>
            <w:vAlign w:val="center"/>
          </w:tcPr>
          <w:p w14:paraId="1B26E8FF">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T532322197611151134</w:t>
            </w:r>
          </w:p>
        </w:tc>
        <w:tc>
          <w:tcPr>
            <w:tcW w:w="921" w:type="pct"/>
            <w:tcBorders>
              <w:tl2br w:val="nil"/>
              <w:tr2bl w:val="nil"/>
            </w:tcBorders>
            <w:vAlign w:val="center"/>
          </w:tcPr>
          <w:p w14:paraId="62AA8BA8">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2021-07-09-2027-07-08</w:t>
            </w:r>
          </w:p>
        </w:tc>
        <w:tc>
          <w:tcPr>
            <w:tcW w:w="608" w:type="pct"/>
            <w:tcBorders>
              <w:tl2br w:val="nil"/>
              <w:tr2bl w:val="nil"/>
            </w:tcBorders>
            <w:vAlign w:val="center"/>
          </w:tcPr>
          <w:p w14:paraId="776D2E22">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2024-07-08</w:t>
            </w:r>
          </w:p>
        </w:tc>
      </w:tr>
      <w:tr w14:paraId="7D2A09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tcBorders>
              <w:tl2br w:val="nil"/>
              <w:tr2bl w:val="nil"/>
            </w:tcBorders>
            <w:vAlign w:val="center"/>
          </w:tcPr>
          <w:p w14:paraId="6A9B40EC">
            <w:pPr>
              <w:keepNext w:val="0"/>
              <w:keepLines w:val="0"/>
              <w:pageBreakBefore w:val="0"/>
              <w:widowControl w:val="0"/>
              <w:numPr>
                <w:ilvl w:val="0"/>
                <w:numId w:val="35"/>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09" w:type="pct"/>
            <w:tcBorders>
              <w:tl2br w:val="nil"/>
              <w:tr2bl w:val="nil"/>
            </w:tcBorders>
            <w:vAlign w:val="center"/>
          </w:tcPr>
          <w:p w14:paraId="23F7FFBA">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特种作业操作证</w:t>
            </w:r>
          </w:p>
        </w:tc>
        <w:tc>
          <w:tcPr>
            <w:tcW w:w="665" w:type="pct"/>
            <w:tcBorders>
              <w:tl2br w:val="nil"/>
              <w:tr2bl w:val="nil"/>
            </w:tcBorders>
            <w:vAlign w:val="center"/>
          </w:tcPr>
          <w:p w14:paraId="01335AFC">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焊接与热切割</w:t>
            </w:r>
          </w:p>
        </w:tc>
        <w:tc>
          <w:tcPr>
            <w:tcW w:w="806" w:type="pct"/>
            <w:tcBorders>
              <w:tl2br w:val="nil"/>
              <w:tr2bl w:val="nil"/>
            </w:tcBorders>
            <w:vAlign w:val="center"/>
          </w:tcPr>
          <w:p w14:paraId="0FBC2807">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李兴学</w:t>
            </w:r>
          </w:p>
        </w:tc>
        <w:tc>
          <w:tcPr>
            <w:tcW w:w="1031" w:type="pct"/>
            <w:tcBorders>
              <w:tl2br w:val="nil"/>
              <w:tr2bl w:val="nil"/>
            </w:tcBorders>
            <w:shd w:val="clear" w:color="auto" w:fill="auto"/>
            <w:vAlign w:val="center"/>
          </w:tcPr>
          <w:p w14:paraId="759F52FC">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T532322197611151134</w:t>
            </w:r>
          </w:p>
        </w:tc>
        <w:tc>
          <w:tcPr>
            <w:tcW w:w="921" w:type="pct"/>
            <w:tcBorders>
              <w:tl2br w:val="nil"/>
              <w:tr2bl w:val="nil"/>
            </w:tcBorders>
            <w:shd w:val="clear" w:color="auto" w:fill="auto"/>
            <w:vAlign w:val="center"/>
          </w:tcPr>
          <w:p w14:paraId="117C5B4F">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2021-07-09-2027-07-08</w:t>
            </w:r>
          </w:p>
        </w:tc>
        <w:tc>
          <w:tcPr>
            <w:tcW w:w="608" w:type="pct"/>
            <w:tcBorders>
              <w:tl2br w:val="nil"/>
              <w:tr2bl w:val="nil"/>
            </w:tcBorders>
            <w:shd w:val="clear" w:color="auto" w:fill="auto"/>
            <w:vAlign w:val="center"/>
          </w:tcPr>
          <w:p w14:paraId="6EFCC6D7">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2024-07-08</w:t>
            </w:r>
          </w:p>
        </w:tc>
      </w:tr>
      <w:tr w14:paraId="177898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tcBorders>
              <w:tl2br w:val="nil"/>
              <w:tr2bl w:val="nil"/>
            </w:tcBorders>
            <w:vAlign w:val="center"/>
          </w:tcPr>
          <w:p w14:paraId="2B7C29A0">
            <w:pPr>
              <w:keepNext w:val="0"/>
              <w:keepLines w:val="0"/>
              <w:pageBreakBefore w:val="0"/>
              <w:widowControl w:val="0"/>
              <w:numPr>
                <w:ilvl w:val="0"/>
                <w:numId w:val="35"/>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09" w:type="pct"/>
            <w:tcBorders>
              <w:tl2br w:val="nil"/>
              <w:tr2bl w:val="nil"/>
            </w:tcBorders>
            <w:vAlign w:val="center"/>
          </w:tcPr>
          <w:p w14:paraId="4287A76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特种作业操作证</w:t>
            </w:r>
          </w:p>
        </w:tc>
        <w:tc>
          <w:tcPr>
            <w:tcW w:w="665" w:type="pct"/>
            <w:tcBorders>
              <w:tl2br w:val="nil"/>
              <w:tr2bl w:val="nil"/>
            </w:tcBorders>
            <w:vAlign w:val="center"/>
          </w:tcPr>
          <w:p w14:paraId="01556B00">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电工作业（高压）</w:t>
            </w:r>
          </w:p>
        </w:tc>
        <w:tc>
          <w:tcPr>
            <w:tcW w:w="806" w:type="pct"/>
            <w:tcBorders>
              <w:tl2br w:val="nil"/>
              <w:tr2bl w:val="nil"/>
            </w:tcBorders>
            <w:vAlign w:val="center"/>
          </w:tcPr>
          <w:p w14:paraId="01ABEE39">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罗明俭</w:t>
            </w:r>
          </w:p>
        </w:tc>
        <w:tc>
          <w:tcPr>
            <w:tcW w:w="1031" w:type="pct"/>
            <w:tcBorders>
              <w:tl2br w:val="nil"/>
              <w:tr2bl w:val="nil"/>
            </w:tcBorders>
            <w:vAlign w:val="center"/>
          </w:tcPr>
          <w:p w14:paraId="6AF2F636">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T532301197703030055</w:t>
            </w:r>
          </w:p>
        </w:tc>
        <w:tc>
          <w:tcPr>
            <w:tcW w:w="921" w:type="pct"/>
            <w:tcBorders>
              <w:tl2br w:val="nil"/>
              <w:tr2bl w:val="nil"/>
            </w:tcBorders>
            <w:vAlign w:val="center"/>
          </w:tcPr>
          <w:p w14:paraId="3DC8ABC4">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2022-04-25-2028-04-24</w:t>
            </w:r>
          </w:p>
        </w:tc>
        <w:tc>
          <w:tcPr>
            <w:tcW w:w="608" w:type="pct"/>
            <w:tcBorders>
              <w:tl2br w:val="nil"/>
              <w:tr2bl w:val="nil"/>
            </w:tcBorders>
            <w:vAlign w:val="center"/>
          </w:tcPr>
          <w:p w14:paraId="1E7169C0">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2025-04-24</w:t>
            </w:r>
          </w:p>
        </w:tc>
      </w:tr>
      <w:tr w14:paraId="3A9E3D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tcBorders>
              <w:tl2br w:val="nil"/>
              <w:tr2bl w:val="nil"/>
            </w:tcBorders>
            <w:vAlign w:val="center"/>
          </w:tcPr>
          <w:p w14:paraId="5265DDF1">
            <w:pPr>
              <w:keepNext w:val="0"/>
              <w:keepLines w:val="0"/>
              <w:pageBreakBefore w:val="0"/>
              <w:widowControl w:val="0"/>
              <w:numPr>
                <w:ilvl w:val="0"/>
                <w:numId w:val="35"/>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09" w:type="pct"/>
            <w:tcBorders>
              <w:tl2br w:val="nil"/>
              <w:tr2bl w:val="nil"/>
            </w:tcBorders>
            <w:vAlign w:val="center"/>
          </w:tcPr>
          <w:p w14:paraId="2C5510A6">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特种作业操作证</w:t>
            </w:r>
          </w:p>
        </w:tc>
        <w:tc>
          <w:tcPr>
            <w:tcW w:w="665" w:type="pct"/>
            <w:tcBorders>
              <w:tl2br w:val="nil"/>
              <w:tr2bl w:val="nil"/>
            </w:tcBorders>
            <w:vAlign w:val="center"/>
          </w:tcPr>
          <w:p w14:paraId="07A8A4B4">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焊接与热切割</w:t>
            </w:r>
          </w:p>
        </w:tc>
        <w:tc>
          <w:tcPr>
            <w:tcW w:w="806" w:type="pct"/>
            <w:tcBorders>
              <w:tl2br w:val="nil"/>
              <w:tr2bl w:val="nil"/>
            </w:tcBorders>
            <w:vAlign w:val="center"/>
          </w:tcPr>
          <w:p w14:paraId="7D9E9610">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韩俊成</w:t>
            </w:r>
          </w:p>
        </w:tc>
        <w:tc>
          <w:tcPr>
            <w:tcW w:w="1031" w:type="pct"/>
            <w:tcBorders>
              <w:tl2br w:val="nil"/>
              <w:tr2bl w:val="nil"/>
            </w:tcBorders>
            <w:vAlign w:val="center"/>
          </w:tcPr>
          <w:p w14:paraId="165E0A98">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T532331199711132614</w:t>
            </w:r>
          </w:p>
        </w:tc>
        <w:tc>
          <w:tcPr>
            <w:tcW w:w="921" w:type="pct"/>
            <w:tcBorders>
              <w:tl2br w:val="nil"/>
              <w:tr2bl w:val="nil"/>
            </w:tcBorders>
            <w:vAlign w:val="center"/>
          </w:tcPr>
          <w:p w14:paraId="79E88FF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2022-08-02-2028-08-01</w:t>
            </w:r>
          </w:p>
        </w:tc>
        <w:tc>
          <w:tcPr>
            <w:tcW w:w="608" w:type="pct"/>
            <w:tcBorders>
              <w:tl2br w:val="nil"/>
              <w:tr2bl w:val="nil"/>
            </w:tcBorders>
            <w:vAlign w:val="center"/>
          </w:tcPr>
          <w:p w14:paraId="701C646F">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2025-08-01</w:t>
            </w:r>
          </w:p>
        </w:tc>
      </w:tr>
      <w:tr w14:paraId="20A0A5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tcBorders>
              <w:tl2br w:val="nil"/>
              <w:tr2bl w:val="nil"/>
            </w:tcBorders>
            <w:vAlign w:val="center"/>
          </w:tcPr>
          <w:p w14:paraId="498D4924">
            <w:pPr>
              <w:keepNext w:val="0"/>
              <w:keepLines w:val="0"/>
              <w:pageBreakBefore w:val="0"/>
              <w:widowControl w:val="0"/>
              <w:numPr>
                <w:ilvl w:val="0"/>
                <w:numId w:val="35"/>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09" w:type="pct"/>
            <w:tcBorders>
              <w:tl2br w:val="nil"/>
              <w:tr2bl w:val="nil"/>
            </w:tcBorders>
            <w:vAlign w:val="center"/>
          </w:tcPr>
          <w:p w14:paraId="1F4FA886">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特种作业操作证</w:t>
            </w:r>
          </w:p>
        </w:tc>
        <w:tc>
          <w:tcPr>
            <w:tcW w:w="665" w:type="pct"/>
            <w:tcBorders>
              <w:tl2br w:val="nil"/>
              <w:tr2bl w:val="nil"/>
            </w:tcBorders>
            <w:vAlign w:val="center"/>
          </w:tcPr>
          <w:p w14:paraId="6756D2DC">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焊接与热切割</w:t>
            </w:r>
          </w:p>
        </w:tc>
        <w:tc>
          <w:tcPr>
            <w:tcW w:w="806" w:type="pct"/>
            <w:tcBorders>
              <w:tl2br w:val="nil"/>
              <w:tr2bl w:val="nil"/>
            </w:tcBorders>
            <w:vAlign w:val="center"/>
          </w:tcPr>
          <w:p w14:paraId="3506CAAD">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李艳春</w:t>
            </w:r>
          </w:p>
        </w:tc>
        <w:tc>
          <w:tcPr>
            <w:tcW w:w="1031" w:type="pct"/>
            <w:tcBorders>
              <w:tl2br w:val="nil"/>
              <w:tr2bl w:val="nil"/>
            </w:tcBorders>
            <w:vAlign w:val="center"/>
          </w:tcPr>
          <w:p w14:paraId="62EB37F5">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T532331199402042412</w:t>
            </w:r>
          </w:p>
        </w:tc>
        <w:tc>
          <w:tcPr>
            <w:tcW w:w="921" w:type="pct"/>
            <w:tcBorders>
              <w:tl2br w:val="nil"/>
              <w:tr2bl w:val="nil"/>
            </w:tcBorders>
            <w:vAlign w:val="center"/>
          </w:tcPr>
          <w:p w14:paraId="649ACA27">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2022-06-27-2028-06-26</w:t>
            </w:r>
          </w:p>
        </w:tc>
        <w:tc>
          <w:tcPr>
            <w:tcW w:w="608" w:type="pct"/>
            <w:tcBorders>
              <w:tl2br w:val="nil"/>
              <w:tr2bl w:val="nil"/>
            </w:tcBorders>
            <w:vAlign w:val="center"/>
          </w:tcPr>
          <w:p w14:paraId="62F9A026">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2025-06-26</w:t>
            </w:r>
          </w:p>
        </w:tc>
      </w:tr>
      <w:tr w14:paraId="70F9A5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tcBorders>
              <w:tl2br w:val="nil"/>
              <w:tr2bl w:val="nil"/>
            </w:tcBorders>
            <w:vAlign w:val="center"/>
          </w:tcPr>
          <w:p w14:paraId="7E062F55">
            <w:pPr>
              <w:keepNext w:val="0"/>
              <w:keepLines w:val="0"/>
              <w:pageBreakBefore w:val="0"/>
              <w:widowControl w:val="0"/>
              <w:numPr>
                <w:ilvl w:val="0"/>
                <w:numId w:val="35"/>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09" w:type="pct"/>
            <w:tcBorders>
              <w:tl2br w:val="nil"/>
              <w:tr2bl w:val="nil"/>
            </w:tcBorders>
            <w:vAlign w:val="center"/>
          </w:tcPr>
          <w:p w14:paraId="16FB9D85">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特种作业操作证</w:t>
            </w:r>
          </w:p>
        </w:tc>
        <w:tc>
          <w:tcPr>
            <w:tcW w:w="665" w:type="pct"/>
            <w:tcBorders>
              <w:tl2br w:val="nil"/>
              <w:tr2bl w:val="nil"/>
            </w:tcBorders>
            <w:vAlign w:val="center"/>
          </w:tcPr>
          <w:p w14:paraId="0266DDF8">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焊接与热切割</w:t>
            </w:r>
          </w:p>
        </w:tc>
        <w:tc>
          <w:tcPr>
            <w:tcW w:w="806" w:type="pct"/>
            <w:tcBorders>
              <w:tl2br w:val="nil"/>
              <w:tr2bl w:val="nil"/>
            </w:tcBorders>
            <w:vAlign w:val="center"/>
          </w:tcPr>
          <w:p w14:paraId="5BD4556B">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赵仕华</w:t>
            </w:r>
          </w:p>
        </w:tc>
        <w:tc>
          <w:tcPr>
            <w:tcW w:w="1031" w:type="pct"/>
            <w:tcBorders>
              <w:tl2br w:val="nil"/>
              <w:tr2bl w:val="nil"/>
            </w:tcBorders>
            <w:vAlign w:val="center"/>
          </w:tcPr>
          <w:p w14:paraId="57B48D9B">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T532331197510282617</w:t>
            </w:r>
          </w:p>
        </w:tc>
        <w:tc>
          <w:tcPr>
            <w:tcW w:w="921" w:type="pct"/>
            <w:tcBorders>
              <w:tl2br w:val="nil"/>
              <w:tr2bl w:val="nil"/>
            </w:tcBorders>
            <w:vAlign w:val="center"/>
          </w:tcPr>
          <w:p w14:paraId="05E69488">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2022-08-11-2028-08-10</w:t>
            </w:r>
          </w:p>
        </w:tc>
        <w:tc>
          <w:tcPr>
            <w:tcW w:w="608" w:type="pct"/>
            <w:tcBorders>
              <w:tl2br w:val="nil"/>
              <w:tr2bl w:val="nil"/>
            </w:tcBorders>
            <w:vAlign w:val="center"/>
          </w:tcPr>
          <w:p w14:paraId="5757613F">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2025-08-10</w:t>
            </w:r>
          </w:p>
        </w:tc>
      </w:tr>
      <w:tr w14:paraId="0C612E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tcBorders>
              <w:tl2br w:val="nil"/>
              <w:tr2bl w:val="nil"/>
            </w:tcBorders>
            <w:vAlign w:val="center"/>
          </w:tcPr>
          <w:p w14:paraId="7CC8F6B5">
            <w:pPr>
              <w:keepNext w:val="0"/>
              <w:keepLines w:val="0"/>
              <w:pageBreakBefore w:val="0"/>
              <w:widowControl w:val="0"/>
              <w:numPr>
                <w:ilvl w:val="0"/>
                <w:numId w:val="35"/>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09" w:type="pct"/>
            <w:tcBorders>
              <w:tl2br w:val="nil"/>
              <w:tr2bl w:val="nil"/>
            </w:tcBorders>
            <w:vAlign w:val="center"/>
          </w:tcPr>
          <w:p w14:paraId="2DB95905">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特种作业操作证</w:t>
            </w:r>
          </w:p>
        </w:tc>
        <w:tc>
          <w:tcPr>
            <w:tcW w:w="665" w:type="pct"/>
            <w:tcBorders>
              <w:tl2br w:val="nil"/>
              <w:tr2bl w:val="nil"/>
            </w:tcBorders>
            <w:vAlign w:val="center"/>
          </w:tcPr>
          <w:p w14:paraId="553B920A">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焊接与热切割</w:t>
            </w:r>
          </w:p>
        </w:tc>
        <w:tc>
          <w:tcPr>
            <w:tcW w:w="806" w:type="pct"/>
            <w:tcBorders>
              <w:tl2br w:val="nil"/>
              <w:tr2bl w:val="nil"/>
            </w:tcBorders>
            <w:vAlign w:val="center"/>
          </w:tcPr>
          <w:p w14:paraId="5207A922">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普海飞</w:t>
            </w:r>
          </w:p>
        </w:tc>
        <w:tc>
          <w:tcPr>
            <w:tcW w:w="1031" w:type="pct"/>
            <w:tcBorders>
              <w:tl2br w:val="nil"/>
              <w:tr2bl w:val="nil"/>
            </w:tcBorders>
            <w:vAlign w:val="center"/>
          </w:tcPr>
          <w:p w14:paraId="1294B7A2">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T532322197710091114</w:t>
            </w:r>
          </w:p>
        </w:tc>
        <w:tc>
          <w:tcPr>
            <w:tcW w:w="921" w:type="pct"/>
            <w:tcBorders>
              <w:tl2br w:val="nil"/>
              <w:tr2bl w:val="nil"/>
            </w:tcBorders>
            <w:vAlign w:val="center"/>
          </w:tcPr>
          <w:p w14:paraId="31F2C8F8">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2021-01-13-2027-01-12</w:t>
            </w:r>
          </w:p>
        </w:tc>
        <w:tc>
          <w:tcPr>
            <w:tcW w:w="608" w:type="pct"/>
            <w:tcBorders>
              <w:tl2br w:val="nil"/>
              <w:tr2bl w:val="nil"/>
            </w:tcBorders>
            <w:vAlign w:val="center"/>
          </w:tcPr>
          <w:p w14:paraId="3D73854E">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2024-01-12</w:t>
            </w:r>
          </w:p>
        </w:tc>
      </w:tr>
      <w:tr w14:paraId="0ED52A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tcBorders>
              <w:tl2br w:val="nil"/>
              <w:tr2bl w:val="nil"/>
            </w:tcBorders>
            <w:vAlign w:val="center"/>
          </w:tcPr>
          <w:p w14:paraId="570D1DB6">
            <w:pPr>
              <w:keepNext w:val="0"/>
              <w:keepLines w:val="0"/>
              <w:pageBreakBefore w:val="0"/>
              <w:widowControl w:val="0"/>
              <w:numPr>
                <w:ilvl w:val="0"/>
                <w:numId w:val="35"/>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09" w:type="pct"/>
            <w:tcBorders>
              <w:tl2br w:val="nil"/>
              <w:tr2bl w:val="nil"/>
            </w:tcBorders>
            <w:vAlign w:val="center"/>
          </w:tcPr>
          <w:p w14:paraId="443F4D30">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特种作业操作证</w:t>
            </w:r>
          </w:p>
        </w:tc>
        <w:tc>
          <w:tcPr>
            <w:tcW w:w="665" w:type="pct"/>
            <w:tcBorders>
              <w:tl2br w:val="nil"/>
              <w:tr2bl w:val="nil"/>
            </w:tcBorders>
            <w:vAlign w:val="center"/>
          </w:tcPr>
          <w:p w14:paraId="2B4DA6A7">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电工作业（低压）</w:t>
            </w:r>
          </w:p>
        </w:tc>
        <w:tc>
          <w:tcPr>
            <w:tcW w:w="806" w:type="pct"/>
            <w:tcBorders>
              <w:tl2br w:val="nil"/>
              <w:tr2bl w:val="nil"/>
            </w:tcBorders>
            <w:vAlign w:val="center"/>
          </w:tcPr>
          <w:p w14:paraId="1E00FC75">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李宏</w:t>
            </w:r>
          </w:p>
        </w:tc>
        <w:tc>
          <w:tcPr>
            <w:tcW w:w="1031" w:type="pct"/>
            <w:tcBorders>
              <w:tl2br w:val="nil"/>
              <w:tr2bl w:val="nil"/>
            </w:tcBorders>
            <w:vAlign w:val="center"/>
          </w:tcPr>
          <w:p w14:paraId="504BB60C">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T532329198202060919</w:t>
            </w:r>
          </w:p>
        </w:tc>
        <w:tc>
          <w:tcPr>
            <w:tcW w:w="921" w:type="pct"/>
            <w:tcBorders>
              <w:tl2br w:val="nil"/>
              <w:tr2bl w:val="nil"/>
            </w:tcBorders>
            <w:vAlign w:val="center"/>
          </w:tcPr>
          <w:p w14:paraId="22B74FE6">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2022-05-31-2028-05-30</w:t>
            </w:r>
          </w:p>
        </w:tc>
        <w:tc>
          <w:tcPr>
            <w:tcW w:w="608" w:type="pct"/>
            <w:tcBorders>
              <w:tl2br w:val="nil"/>
              <w:tr2bl w:val="nil"/>
            </w:tcBorders>
            <w:vAlign w:val="center"/>
          </w:tcPr>
          <w:p w14:paraId="604C485E">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2025-05-30</w:t>
            </w:r>
          </w:p>
        </w:tc>
      </w:tr>
      <w:tr w14:paraId="5F0F55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tcBorders>
              <w:tl2br w:val="nil"/>
              <w:tr2bl w:val="nil"/>
            </w:tcBorders>
            <w:vAlign w:val="center"/>
          </w:tcPr>
          <w:p w14:paraId="56607119">
            <w:pPr>
              <w:keepNext w:val="0"/>
              <w:keepLines w:val="0"/>
              <w:pageBreakBefore w:val="0"/>
              <w:widowControl w:val="0"/>
              <w:numPr>
                <w:ilvl w:val="0"/>
                <w:numId w:val="35"/>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09" w:type="pct"/>
            <w:tcBorders>
              <w:tl2br w:val="nil"/>
              <w:tr2bl w:val="nil"/>
            </w:tcBorders>
            <w:vAlign w:val="center"/>
          </w:tcPr>
          <w:p w14:paraId="5D1B9014">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特种作业操作证</w:t>
            </w:r>
          </w:p>
        </w:tc>
        <w:tc>
          <w:tcPr>
            <w:tcW w:w="665" w:type="pct"/>
            <w:tcBorders>
              <w:tl2br w:val="nil"/>
              <w:tr2bl w:val="nil"/>
            </w:tcBorders>
            <w:vAlign w:val="center"/>
          </w:tcPr>
          <w:p w14:paraId="1D7542F6">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电工作业（高压）</w:t>
            </w:r>
          </w:p>
        </w:tc>
        <w:tc>
          <w:tcPr>
            <w:tcW w:w="806" w:type="pct"/>
            <w:tcBorders>
              <w:tl2br w:val="nil"/>
              <w:tr2bl w:val="nil"/>
            </w:tcBorders>
            <w:vAlign w:val="center"/>
          </w:tcPr>
          <w:p w14:paraId="4F551655">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李宏</w:t>
            </w:r>
          </w:p>
        </w:tc>
        <w:tc>
          <w:tcPr>
            <w:tcW w:w="1031" w:type="pct"/>
            <w:tcBorders>
              <w:tl2br w:val="nil"/>
              <w:tr2bl w:val="nil"/>
            </w:tcBorders>
            <w:vAlign w:val="center"/>
          </w:tcPr>
          <w:p w14:paraId="72BD261A">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T532329198202060919</w:t>
            </w:r>
          </w:p>
        </w:tc>
        <w:tc>
          <w:tcPr>
            <w:tcW w:w="921" w:type="pct"/>
            <w:tcBorders>
              <w:tl2br w:val="nil"/>
              <w:tr2bl w:val="nil"/>
            </w:tcBorders>
            <w:vAlign w:val="center"/>
          </w:tcPr>
          <w:p w14:paraId="23E71A38">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2022-05-31-2028-05-30</w:t>
            </w:r>
          </w:p>
        </w:tc>
        <w:tc>
          <w:tcPr>
            <w:tcW w:w="608" w:type="pct"/>
            <w:tcBorders>
              <w:tl2br w:val="nil"/>
              <w:tr2bl w:val="nil"/>
            </w:tcBorders>
            <w:vAlign w:val="center"/>
          </w:tcPr>
          <w:p w14:paraId="6FB442EF">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2025-05-30</w:t>
            </w:r>
          </w:p>
        </w:tc>
      </w:tr>
      <w:tr w14:paraId="1E0069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tcBorders>
              <w:tl2br w:val="nil"/>
              <w:tr2bl w:val="nil"/>
            </w:tcBorders>
            <w:vAlign w:val="center"/>
          </w:tcPr>
          <w:p w14:paraId="5444B0D2">
            <w:pPr>
              <w:keepNext w:val="0"/>
              <w:keepLines w:val="0"/>
              <w:pageBreakBefore w:val="0"/>
              <w:widowControl w:val="0"/>
              <w:numPr>
                <w:ilvl w:val="0"/>
                <w:numId w:val="35"/>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09" w:type="pct"/>
            <w:tcBorders>
              <w:tl2br w:val="nil"/>
              <w:tr2bl w:val="nil"/>
            </w:tcBorders>
            <w:vAlign w:val="center"/>
          </w:tcPr>
          <w:p w14:paraId="07412644">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特种作业操作证</w:t>
            </w:r>
          </w:p>
        </w:tc>
        <w:tc>
          <w:tcPr>
            <w:tcW w:w="665" w:type="pct"/>
            <w:tcBorders>
              <w:tl2br w:val="nil"/>
              <w:tr2bl w:val="nil"/>
            </w:tcBorders>
            <w:vAlign w:val="center"/>
          </w:tcPr>
          <w:p w14:paraId="45A71E95">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电工作业（高压）</w:t>
            </w:r>
          </w:p>
        </w:tc>
        <w:tc>
          <w:tcPr>
            <w:tcW w:w="806" w:type="pct"/>
            <w:tcBorders>
              <w:tl2br w:val="nil"/>
              <w:tr2bl w:val="nil"/>
            </w:tcBorders>
            <w:vAlign w:val="center"/>
          </w:tcPr>
          <w:p w14:paraId="02342A6B">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陈彦飞</w:t>
            </w:r>
          </w:p>
        </w:tc>
        <w:tc>
          <w:tcPr>
            <w:tcW w:w="1031" w:type="pct"/>
            <w:tcBorders>
              <w:tl2br w:val="nil"/>
              <w:tr2bl w:val="nil"/>
            </w:tcBorders>
            <w:vAlign w:val="center"/>
          </w:tcPr>
          <w:p w14:paraId="41829A21">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T532527199506242618</w:t>
            </w:r>
          </w:p>
        </w:tc>
        <w:tc>
          <w:tcPr>
            <w:tcW w:w="921" w:type="pct"/>
            <w:tcBorders>
              <w:tl2br w:val="nil"/>
              <w:tr2bl w:val="nil"/>
            </w:tcBorders>
            <w:vAlign w:val="center"/>
          </w:tcPr>
          <w:p w14:paraId="31584ED2">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2023-07-28-2029-07-27</w:t>
            </w:r>
          </w:p>
        </w:tc>
        <w:tc>
          <w:tcPr>
            <w:tcW w:w="608" w:type="pct"/>
            <w:tcBorders>
              <w:tl2br w:val="nil"/>
              <w:tr2bl w:val="nil"/>
            </w:tcBorders>
            <w:vAlign w:val="center"/>
          </w:tcPr>
          <w:p w14:paraId="7CEE0AB9">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2026-07-27</w:t>
            </w:r>
          </w:p>
        </w:tc>
      </w:tr>
      <w:tr w14:paraId="464674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tcBorders>
              <w:tl2br w:val="nil"/>
              <w:tr2bl w:val="nil"/>
            </w:tcBorders>
            <w:vAlign w:val="center"/>
          </w:tcPr>
          <w:p w14:paraId="2A2ED160">
            <w:pPr>
              <w:keepNext w:val="0"/>
              <w:keepLines w:val="0"/>
              <w:pageBreakBefore w:val="0"/>
              <w:widowControl w:val="0"/>
              <w:numPr>
                <w:ilvl w:val="0"/>
                <w:numId w:val="35"/>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09" w:type="pct"/>
            <w:tcBorders>
              <w:tl2br w:val="nil"/>
              <w:tr2bl w:val="nil"/>
            </w:tcBorders>
            <w:vAlign w:val="center"/>
          </w:tcPr>
          <w:p w14:paraId="7EBF8F88">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特种作业操作证</w:t>
            </w:r>
          </w:p>
        </w:tc>
        <w:tc>
          <w:tcPr>
            <w:tcW w:w="665" w:type="pct"/>
            <w:tcBorders>
              <w:tl2br w:val="nil"/>
              <w:tr2bl w:val="nil"/>
            </w:tcBorders>
            <w:vAlign w:val="center"/>
          </w:tcPr>
          <w:p w14:paraId="62E0B6C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电工作业（低压）</w:t>
            </w:r>
          </w:p>
        </w:tc>
        <w:tc>
          <w:tcPr>
            <w:tcW w:w="806" w:type="pct"/>
            <w:tcBorders>
              <w:tl2br w:val="nil"/>
              <w:tr2bl w:val="nil"/>
            </w:tcBorders>
            <w:vAlign w:val="center"/>
          </w:tcPr>
          <w:p w14:paraId="02D704E5">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苏正雄</w:t>
            </w:r>
          </w:p>
        </w:tc>
        <w:tc>
          <w:tcPr>
            <w:tcW w:w="1031" w:type="pct"/>
            <w:tcBorders>
              <w:tl2br w:val="nil"/>
              <w:tr2bl w:val="nil"/>
            </w:tcBorders>
            <w:vAlign w:val="center"/>
          </w:tcPr>
          <w:p w14:paraId="16CE7CF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T532331198509092618</w:t>
            </w:r>
          </w:p>
        </w:tc>
        <w:tc>
          <w:tcPr>
            <w:tcW w:w="921" w:type="pct"/>
            <w:tcBorders>
              <w:tl2br w:val="nil"/>
              <w:tr2bl w:val="nil"/>
            </w:tcBorders>
            <w:vAlign w:val="center"/>
          </w:tcPr>
          <w:p w14:paraId="32FAC505">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2020-09-30-2026-09-29</w:t>
            </w:r>
          </w:p>
        </w:tc>
        <w:tc>
          <w:tcPr>
            <w:tcW w:w="608" w:type="pct"/>
            <w:tcBorders>
              <w:tl2br w:val="nil"/>
              <w:tr2bl w:val="nil"/>
            </w:tcBorders>
            <w:vAlign w:val="center"/>
          </w:tcPr>
          <w:p w14:paraId="0B35BB86">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2023-09-29</w:t>
            </w:r>
          </w:p>
        </w:tc>
      </w:tr>
      <w:tr w14:paraId="32F258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tcBorders>
              <w:tl2br w:val="nil"/>
              <w:tr2bl w:val="nil"/>
            </w:tcBorders>
            <w:vAlign w:val="center"/>
          </w:tcPr>
          <w:p w14:paraId="32026D0C">
            <w:pPr>
              <w:keepNext w:val="0"/>
              <w:keepLines w:val="0"/>
              <w:pageBreakBefore w:val="0"/>
              <w:widowControl w:val="0"/>
              <w:numPr>
                <w:ilvl w:val="0"/>
                <w:numId w:val="35"/>
              </w:numPr>
              <w:suppressLineNumbers w:val="0"/>
              <w:kinsoku/>
              <w:wordWrap/>
              <w:topLinePunct w:val="0"/>
              <w:adjustRightInd/>
              <w:snapToGrid/>
              <w:spacing w:before="0" w:beforeAutospacing="0" w:after="0" w:afterAutospacing="0" w:line="360" w:lineRule="auto"/>
              <w:ind w:left="425" w:leftChars="0" w:right="0" w:hanging="425" w:firstLineChars="0"/>
              <w:jc w:val="center"/>
              <w:rPr>
                <w:rFonts w:hint="eastAsia" w:ascii="宋体" w:hAnsi="宋体" w:eastAsia="宋体" w:cs="宋体"/>
                <w:b w:val="0"/>
                <w:bCs w:val="0"/>
                <w:sz w:val="21"/>
                <w:szCs w:val="21"/>
                <w:vertAlign w:val="baseline"/>
                <w:lang w:val="en-US" w:eastAsia="zh-CN"/>
              </w:rPr>
            </w:pPr>
          </w:p>
        </w:tc>
        <w:tc>
          <w:tcPr>
            <w:tcW w:w="709" w:type="pct"/>
            <w:tcBorders>
              <w:tl2br w:val="nil"/>
              <w:tr2bl w:val="nil"/>
            </w:tcBorders>
            <w:vAlign w:val="center"/>
          </w:tcPr>
          <w:p w14:paraId="125B71E5">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特种作业操作证</w:t>
            </w:r>
          </w:p>
        </w:tc>
        <w:tc>
          <w:tcPr>
            <w:tcW w:w="665" w:type="pct"/>
            <w:tcBorders>
              <w:tl2br w:val="nil"/>
              <w:tr2bl w:val="nil"/>
            </w:tcBorders>
            <w:vAlign w:val="center"/>
          </w:tcPr>
          <w:p w14:paraId="1D89E40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电工作业（低压）</w:t>
            </w:r>
          </w:p>
        </w:tc>
        <w:tc>
          <w:tcPr>
            <w:tcW w:w="806" w:type="pct"/>
            <w:tcBorders>
              <w:tl2br w:val="nil"/>
              <w:tr2bl w:val="nil"/>
            </w:tcBorders>
            <w:vAlign w:val="center"/>
          </w:tcPr>
          <w:p w14:paraId="2055D6DA">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符洪章</w:t>
            </w:r>
          </w:p>
        </w:tc>
        <w:tc>
          <w:tcPr>
            <w:tcW w:w="1031" w:type="pct"/>
            <w:tcBorders>
              <w:tl2br w:val="nil"/>
              <w:tr2bl w:val="nil"/>
            </w:tcBorders>
            <w:vAlign w:val="center"/>
          </w:tcPr>
          <w:p w14:paraId="6B5B0F33">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T43048119681091005X</w:t>
            </w:r>
          </w:p>
        </w:tc>
        <w:tc>
          <w:tcPr>
            <w:tcW w:w="921" w:type="pct"/>
            <w:tcBorders>
              <w:tl2br w:val="nil"/>
              <w:tr2bl w:val="nil"/>
            </w:tcBorders>
            <w:vAlign w:val="center"/>
          </w:tcPr>
          <w:p w14:paraId="5B46E7C0">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2021-11-2027-11</w:t>
            </w:r>
          </w:p>
        </w:tc>
        <w:tc>
          <w:tcPr>
            <w:tcW w:w="608" w:type="pct"/>
            <w:tcBorders>
              <w:tl2br w:val="nil"/>
              <w:tr2bl w:val="nil"/>
            </w:tcBorders>
            <w:vAlign w:val="center"/>
          </w:tcPr>
          <w:p w14:paraId="16B4608F">
            <w:pPr>
              <w:keepNext w:val="0"/>
              <w:keepLines w:val="0"/>
              <w:pageBreakBefore w:val="0"/>
              <w:widowControl w:val="0"/>
              <w:suppressLineNumbers w:val="0"/>
              <w:kinsoku/>
              <w:wordWrap/>
              <w:topLinePunct w:val="0"/>
              <w:adjustRightInd/>
              <w:snapToGrid/>
              <w:spacing w:before="0" w:beforeAutospacing="0" w:after="0" w:afterAutospacing="0" w:line="360" w:lineRule="auto"/>
              <w:ind w:left="0" w:leftChars="0" w:right="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w:t>
            </w:r>
          </w:p>
        </w:tc>
      </w:tr>
    </w:tbl>
    <w:p w14:paraId="2628164F">
      <w:pPr>
        <w:keepNext w:val="0"/>
        <w:keepLines w:val="0"/>
        <w:pageBreakBefore w:val="0"/>
        <w:widowControl w:val="0"/>
        <w:kinsoku/>
        <w:wordWrap/>
        <w:bidi w:val="0"/>
        <w:spacing w:before="50" w:beforeLines="50" w:line="240" w:lineRule="auto"/>
        <w:ind w:firstLine="0" w:firstLineChars="0"/>
        <w:jc w:val="both"/>
        <w:rPr>
          <w:rFonts w:hint="eastAsia" w:ascii="Times New Roman" w:hAnsi="Times New Roman" w:eastAsia="宋体" w:cs="Times New Roma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78B8F3B">
      <w:pPr>
        <w:pStyle w:val="4"/>
        <w:keepNext w:val="0"/>
        <w:keepLines w:val="0"/>
        <w:pageBreakBefore w:val="0"/>
        <w:widowControl w:val="0"/>
        <w:kinsoku/>
        <w:bidi w:val="0"/>
        <w:rPr>
          <w:rFonts w:hint="eastAsia"/>
          <w:lang w:val="en-US" w:eastAsia="zh-CN"/>
        </w:rPr>
      </w:pPr>
      <w:bookmarkStart w:id="419" w:name="_Toc14146"/>
      <w:bookmarkStart w:id="420" w:name="_Toc31215"/>
      <w:bookmarkStart w:id="421" w:name="_Toc18164"/>
      <w:r>
        <w:rPr>
          <w:rFonts w:hint="eastAsia"/>
          <w:lang w:val="en-US" w:eastAsia="zh-CN"/>
        </w:rPr>
        <w:t>安全生产责任制</w:t>
      </w:r>
      <w:bookmarkEnd w:id="419"/>
    </w:p>
    <w:p w14:paraId="7409E485">
      <w:pPr>
        <w:keepNext w:val="0"/>
        <w:keepLines w:val="0"/>
        <w:pageBreakBefore w:val="0"/>
        <w:widowControl w:val="0"/>
        <w:kinsoku/>
        <w:bidi w:val="0"/>
        <w:rPr>
          <w:rFonts w:hint="default" w:cs="Times New Roman"/>
          <w:lang w:val="en-US" w:eastAsia="zh-CN"/>
        </w:rPr>
      </w:pPr>
      <w:r>
        <w:rPr>
          <w:rFonts w:hint="eastAsia" w:cs="Times New Roman"/>
          <w:lang w:val="en-US" w:eastAsia="zh-CN"/>
        </w:rPr>
        <w:t>公司按要求落实安全生产责任制，全员均签订了职业健康、安全生产、消防目标管理责任书。</w:t>
      </w:r>
    </w:p>
    <w:p w14:paraId="5B2300C4">
      <w:pPr>
        <w:pStyle w:val="4"/>
        <w:keepNext w:val="0"/>
        <w:keepLines w:val="0"/>
        <w:pageBreakBefore w:val="0"/>
        <w:widowControl w:val="0"/>
        <w:kinsoku/>
        <w:bidi w:val="0"/>
        <w:rPr>
          <w:rFonts w:hint="eastAsia"/>
          <w:lang w:val="en-US" w:eastAsia="zh-CN"/>
        </w:rPr>
      </w:pPr>
      <w:bookmarkStart w:id="422" w:name="_Toc23237"/>
      <w:r>
        <w:rPr>
          <w:lang w:val="en-US" w:eastAsia="zh-CN"/>
        </w:rPr>
        <w:t>人员培训</w:t>
      </w:r>
      <w:bookmarkEnd w:id="420"/>
      <w:bookmarkEnd w:id="421"/>
      <w:bookmarkEnd w:id="422"/>
    </w:p>
    <w:p w14:paraId="0CEEB57A">
      <w:pPr>
        <w:bidi w:val="0"/>
        <w:rPr>
          <w:rFonts w:hint="default" w:ascii="Times New Roman" w:hAnsi="Times New Roman" w:eastAsia="宋体" w:cs="Times New Roman"/>
          <w:color w:val="000000" w:themeColor="text1"/>
          <w:lang w:val="en-US" w:eastAsia="zh-CN"/>
          <w14:textFill>
            <w14:solidFill>
              <w14:schemeClr w14:val="tx1"/>
            </w14:solidFill>
          </w14:textFill>
        </w:rPr>
      </w:pPr>
      <w:r>
        <w:t>公司制定了培训教育管理制度，根据培训需求制定培训教育计划，按计划组织从业人员开展相关培训。对</w:t>
      </w:r>
      <w:r>
        <w:rPr>
          <w:rFonts w:hint="eastAsia"/>
          <w:lang w:val="en-US" w:eastAsia="zh-CN"/>
        </w:rPr>
        <w:t>全部入职</w:t>
      </w:r>
      <w:r>
        <w:t>员工</w:t>
      </w:r>
      <w:r>
        <w:rPr>
          <w:rFonts w:hint="eastAsia"/>
          <w:lang w:val="en-US" w:eastAsia="zh-CN"/>
        </w:rPr>
        <w:t>均</w:t>
      </w:r>
      <w:r>
        <w:t>进行</w:t>
      </w:r>
      <w:r>
        <w:rPr>
          <w:rFonts w:hint="eastAsia"/>
          <w:lang w:val="en-US" w:eastAsia="zh-CN"/>
        </w:rPr>
        <w:t>了</w:t>
      </w:r>
      <w:r>
        <w:t>三级</w:t>
      </w:r>
      <w:r>
        <w:rPr>
          <w:rFonts w:hint="eastAsia"/>
          <w:lang w:val="en-US" w:eastAsia="zh-CN"/>
        </w:rPr>
        <w:t>安全</w:t>
      </w:r>
      <w:r>
        <w:t>培训</w:t>
      </w:r>
      <w:r>
        <w:rPr>
          <w:rFonts w:hint="eastAsia"/>
          <w:lang w:val="en-US" w:eastAsia="zh-CN"/>
        </w:rPr>
        <w:t>教育，并定期对员工开展线上安全教育培训。公司按要求</w:t>
      </w:r>
      <w:r>
        <w:t>对外来人员进行入厂安全教育，对特种作业人员组织取证、换证培训，对主要负责人、安全管理人员组织</w:t>
      </w:r>
      <w:r>
        <w:rPr>
          <w:rFonts w:hint="eastAsia"/>
        </w:rPr>
        <w:t>安全生产知识和管理能力考核合格证</w:t>
      </w:r>
      <w:r>
        <w:t>取证、复审、换证培训等。</w:t>
      </w:r>
      <w:r>
        <w:rPr>
          <w:rFonts w:hint="eastAsia"/>
          <w:lang w:val="en-US" w:eastAsia="zh-CN"/>
        </w:rPr>
        <w:t>企业按要求对作业岗位风险进行告知，并经培训后上岗。</w:t>
      </w:r>
    </w:p>
    <w:p w14:paraId="60EB2BB5">
      <w:pPr>
        <w:pStyle w:val="4"/>
        <w:keepNext w:val="0"/>
        <w:keepLines w:val="0"/>
        <w:pageBreakBefore w:val="0"/>
        <w:widowControl w:val="0"/>
        <w:kinsoku/>
        <w:bidi w:val="0"/>
        <w:rPr>
          <w:rFonts w:hint="eastAsia"/>
          <w:lang w:val="en-US" w:eastAsia="zh-CN"/>
        </w:rPr>
      </w:pPr>
      <w:bookmarkStart w:id="423" w:name="_Toc5727"/>
      <w:bookmarkStart w:id="424" w:name="_Toc28860"/>
      <w:bookmarkStart w:id="425" w:name="_Toc18173"/>
      <w:r>
        <w:rPr>
          <w:lang w:val="en-US" w:eastAsia="zh-CN"/>
        </w:rPr>
        <w:t>安全生产管理制度</w:t>
      </w:r>
      <w:bookmarkEnd w:id="423"/>
      <w:bookmarkEnd w:id="424"/>
      <w:bookmarkEnd w:id="425"/>
    </w:p>
    <w:p w14:paraId="6BAD0D23">
      <w:pPr>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lang w:eastAsia="zh-CN"/>
        </w:rPr>
        <w:t>云南东锆新材料有限公司</w:t>
      </w:r>
      <w:r>
        <w:t>按照国家</w:t>
      </w:r>
      <w:r>
        <w:rPr>
          <w:rFonts w:hint="eastAsia"/>
          <w:lang w:eastAsia="zh-CN"/>
        </w:rPr>
        <w:t>法律法规</w:t>
      </w:r>
      <w:r>
        <w:t>，结合自身实际，制定了</w:t>
      </w:r>
      <w:r>
        <w:rPr>
          <w:rFonts w:hint="eastAsia"/>
          <w:lang w:val="en-US" w:eastAsia="zh-CN"/>
        </w:rPr>
        <w:t>全员</w:t>
      </w:r>
      <w:r>
        <w:t>安全生产责任制</w:t>
      </w:r>
      <w:r>
        <w:rPr>
          <w:rFonts w:hint="eastAsia"/>
        </w:rPr>
        <w:t>、</w:t>
      </w:r>
      <w:r>
        <w:t>安全管理制度</w:t>
      </w:r>
      <w:r>
        <w:rPr>
          <w:rFonts w:hint="eastAsia"/>
        </w:rPr>
        <w:t>、</w:t>
      </w:r>
      <w:r>
        <w:t>安全</w:t>
      </w:r>
      <w:r>
        <w:rPr>
          <w:rFonts w:hint="eastAsia"/>
        </w:rPr>
        <w:t>生产操作规程。</w:t>
      </w:r>
    </w:p>
    <w:p w14:paraId="6BE64AE5">
      <w:pPr>
        <w:keepNext w:val="0"/>
        <w:keepLines w:val="0"/>
        <w:pageBreakBefore w:val="0"/>
        <w:widowControl w:val="0"/>
        <w:tabs>
          <w:tab w:val="left" w:pos="2971"/>
        </w:tabs>
        <w:kinsoku/>
        <w:wordWrap/>
        <w:topLinePunct/>
        <w:bidi w:val="0"/>
        <w:ind w:left="0" w:leftChars="0" w:right="0" w:rightChars="0" w:firstLine="0" w:firstLineChars="0"/>
        <w:jc w:val="center"/>
        <w:rPr>
          <w:rStyle w:val="87"/>
          <w:rFonts w:ascii="Times New Roman" w:hAnsi="Times New Roman" w:eastAsia="宋体" w:cs="Times New Roman"/>
        </w:rPr>
      </w:pPr>
      <w:r>
        <w:rPr>
          <w:rStyle w:val="87"/>
          <w:rFonts w:hint="eastAsia"/>
          <w:lang w:val="en-US" w:eastAsia="zh-CN"/>
        </w:rPr>
        <w:t>表</w:t>
      </w:r>
      <w:r>
        <w:rPr>
          <w:rStyle w:val="87"/>
          <w:rFonts w:hint="eastAsia"/>
          <w:lang w:val="en-US" w:eastAsia="zh-CN"/>
        </w:rPr>
        <w:fldChar w:fldCharType="begin"/>
      </w:r>
      <w:r>
        <w:rPr>
          <w:rStyle w:val="87"/>
          <w:rFonts w:hint="eastAsia"/>
          <w:lang w:val="en-US" w:eastAsia="zh-CN"/>
        </w:rPr>
        <w:instrText xml:space="preserve"> STYLEREF 1 \s </w:instrText>
      </w:r>
      <w:r>
        <w:rPr>
          <w:rStyle w:val="87"/>
          <w:rFonts w:hint="eastAsia"/>
          <w:lang w:val="en-US" w:eastAsia="zh-CN"/>
        </w:rPr>
        <w:fldChar w:fldCharType="separate"/>
      </w:r>
      <w:r>
        <w:rPr>
          <w:rStyle w:val="87"/>
          <w:rFonts w:hint="eastAsia"/>
          <w:lang w:val="en-US" w:eastAsia="zh-CN"/>
        </w:rPr>
        <w:t>2</w:t>
      </w:r>
      <w:r>
        <w:rPr>
          <w:rStyle w:val="87"/>
          <w:rFonts w:hint="eastAsia"/>
          <w:lang w:val="en-US" w:eastAsia="zh-CN"/>
        </w:rPr>
        <w:fldChar w:fldCharType="end"/>
      </w:r>
      <w:r>
        <w:rPr>
          <w:rStyle w:val="87"/>
          <w:rFonts w:hint="eastAsia"/>
          <w:lang w:val="en-US" w:eastAsia="zh-CN"/>
        </w:rPr>
        <w:t>-</w:t>
      </w:r>
      <w:r>
        <w:rPr>
          <w:rStyle w:val="87"/>
          <w:rFonts w:hint="eastAsia"/>
          <w:lang w:val="en-US" w:eastAsia="zh-CN"/>
        </w:rPr>
        <w:fldChar w:fldCharType="begin"/>
      </w:r>
      <w:r>
        <w:rPr>
          <w:rStyle w:val="87"/>
          <w:rFonts w:hint="eastAsia"/>
          <w:lang w:val="en-US" w:eastAsia="zh-CN"/>
        </w:rPr>
        <w:instrText xml:space="preserve"> SEQ 表 \* ARABIC \s 1 </w:instrText>
      </w:r>
      <w:r>
        <w:rPr>
          <w:rStyle w:val="87"/>
          <w:rFonts w:hint="eastAsia"/>
          <w:lang w:val="en-US" w:eastAsia="zh-CN"/>
        </w:rPr>
        <w:fldChar w:fldCharType="separate"/>
      </w:r>
      <w:r>
        <w:rPr>
          <w:rStyle w:val="87"/>
          <w:rFonts w:hint="eastAsia"/>
          <w:lang w:val="en-US" w:eastAsia="zh-CN"/>
        </w:rPr>
        <w:t>17</w:t>
      </w:r>
      <w:r>
        <w:rPr>
          <w:rStyle w:val="87"/>
          <w:rFonts w:hint="eastAsia"/>
          <w:lang w:val="en-US" w:eastAsia="zh-CN"/>
        </w:rPr>
        <w:fldChar w:fldCharType="end"/>
      </w:r>
      <w:r>
        <w:rPr>
          <w:rStyle w:val="87"/>
          <w:rFonts w:hint="eastAsia"/>
        </w:rPr>
        <w:t>安全生产责任制、安全管理制度、安全生产操作规程</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7701"/>
      </w:tblGrid>
      <w:tr w14:paraId="25BF1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2" w:type="pct"/>
            <w:noWrap w:val="0"/>
            <w:vAlign w:val="center"/>
          </w:tcPr>
          <w:p w14:paraId="657F7B8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val="0"/>
                <w:color w:val="auto"/>
                <w:spacing w:val="8"/>
                <w:kern w:val="2"/>
                <w:sz w:val="21"/>
                <w:szCs w:val="21"/>
                <w:lang w:val="en-US" w:eastAsia="zh-CN" w:bidi="ar-SA"/>
              </w:rPr>
            </w:pPr>
            <w:r>
              <w:rPr>
                <w:rFonts w:hint="eastAsia" w:ascii="Times New Roman" w:hAnsi="Times New Roman" w:eastAsia="宋体" w:cs="Times New Roman"/>
                <w:b/>
                <w:bCs w:val="0"/>
                <w:color w:val="auto"/>
                <w:spacing w:val="8"/>
                <w:kern w:val="2"/>
                <w:sz w:val="21"/>
                <w:szCs w:val="21"/>
                <w:lang w:val="en-US" w:eastAsia="zh-CN" w:bidi="ar-SA"/>
              </w:rPr>
              <w:t>类目</w:t>
            </w:r>
          </w:p>
        </w:tc>
        <w:tc>
          <w:tcPr>
            <w:tcW w:w="4517" w:type="pct"/>
            <w:noWrap w:val="0"/>
            <w:vAlign w:val="center"/>
          </w:tcPr>
          <w:p w14:paraId="36E2D5D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val="0"/>
                <w:color w:val="auto"/>
                <w:spacing w:val="8"/>
                <w:kern w:val="2"/>
                <w:sz w:val="21"/>
                <w:szCs w:val="21"/>
                <w:lang w:val="en-US" w:eastAsia="zh-CN" w:bidi="ar-SA"/>
              </w:rPr>
            </w:pPr>
            <w:r>
              <w:rPr>
                <w:rFonts w:hint="eastAsia" w:ascii="Times New Roman" w:hAnsi="Times New Roman" w:eastAsia="宋体" w:cs="Times New Roman"/>
                <w:b/>
                <w:bCs w:val="0"/>
                <w:color w:val="auto"/>
                <w:spacing w:val="8"/>
                <w:kern w:val="2"/>
                <w:sz w:val="21"/>
                <w:szCs w:val="21"/>
                <w:lang w:val="en-US" w:eastAsia="zh-CN" w:bidi="ar-SA"/>
              </w:rPr>
              <w:t>主要内容</w:t>
            </w:r>
          </w:p>
        </w:tc>
      </w:tr>
      <w:tr w14:paraId="65079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2" w:type="pct"/>
            <w:noWrap w:val="0"/>
            <w:vAlign w:val="center"/>
          </w:tcPr>
          <w:p w14:paraId="35CE02B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val="0"/>
                <w:color w:val="auto"/>
                <w:spacing w:val="8"/>
                <w:kern w:val="2"/>
                <w:sz w:val="21"/>
                <w:szCs w:val="21"/>
                <w:lang w:val="en-US" w:eastAsia="zh-CN" w:bidi="ar-SA"/>
              </w:rPr>
            </w:pPr>
            <w:r>
              <w:rPr>
                <w:rFonts w:hint="eastAsia" w:ascii="宋体" w:hAnsi="宋体" w:eastAsia="宋体" w:cs="宋体"/>
                <w:b/>
                <w:bCs w:val="0"/>
                <w:color w:val="auto"/>
                <w:spacing w:val="8"/>
                <w:kern w:val="2"/>
                <w:sz w:val="21"/>
                <w:szCs w:val="21"/>
                <w:lang w:val="en-US" w:eastAsia="zh-CN" w:bidi="ar-SA"/>
              </w:rPr>
              <w:t>安全生产责任制</w:t>
            </w:r>
          </w:p>
        </w:tc>
        <w:tc>
          <w:tcPr>
            <w:tcW w:w="4517" w:type="pct"/>
            <w:noWrap w:val="0"/>
            <w:vAlign w:val="center"/>
          </w:tcPr>
          <w:p w14:paraId="226777F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firstLine="0" w:firstLineChars="0"/>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eastAsia="zh-CN"/>
              </w:rPr>
              <w:t>基地总经理安全生产责任制、基地副总经理安全生产责任制、生产部经理安全生产责任制、生产统计员安全生产责任制、安全环保部经理安全生产责任制、安全员安全生产责任制、综合管理部经理安全生产责任制、综合部主管安全生产责任制、行政文员安全生产责任制、安保/门卫安全生产责任制、技术质量部经理安全生产责任制、试验员安全生产责任制、财务部经理安全生产责任制、仓库管理员安全生产责任制、采购部经理安全生产责任制、联合车间主任安全生产责任制、联合车间副主任安全生产责任制、电炉班班长安全生产责任制、电炉班副班长安全生产责任制、粉体班班长安全生产责任制、炉前工安全生产责任制、粉体工安全生产责任制、叉车司机安全生产责任制、机电车间安全生产责任制、机修班班长安全生产责任制、机修工安全生产责任制、电工班班长安全生产责任制、电工安全生产责任制。</w:t>
            </w:r>
          </w:p>
        </w:tc>
      </w:tr>
      <w:tr w14:paraId="738C8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2" w:type="pct"/>
            <w:noWrap w:val="0"/>
            <w:vAlign w:val="center"/>
          </w:tcPr>
          <w:p w14:paraId="71A8B72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val="0"/>
                <w:color w:val="auto"/>
                <w:spacing w:val="8"/>
                <w:kern w:val="2"/>
                <w:sz w:val="21"/>
                <w:szCs w:val="21"/>
                <w:lang w:val="en-US" w:eastAsia="zh-CN" w:bidi="ar-SA"/>
              </w:rPr>
            </w:pPr>
            <w:r>
              <w:rPr>
                <w:rFonts w:hint="eastAsia" w:ascii="宋体" w:hAnsi="宋体" w:eastAsia="宋体" w:cs="宋体"/>
                <w:b/>
                <w:bCs w:val="0"/>
                <w:color w:val="auto"/>
                <w:spacing w:val="8"/>
                <w:kern w:val="2"/>
                <w:sz w:val="21"/>
                <w:szCs w:val="21"/>
                <w:lang w:val="en-US" w:eastAsia="zh-CN" w:bidi="ar-SA"/>
              </w:rPr>
              <w:t>安全管理制度</w:t>
            </w:r>
          </w:p>
        </w:tc>
        <w:tc>
          <w:tcPr>
            <w:tcW w:w="4517" w:type="pct"/>
            <w:noWrap w:val="0"/>
            <w:vAlign w:val="center"/>
          </w:tcPr>
          <w:p w14:paraId="31D7926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firstLine="0" w:firstLineChars="0"/>
              <w:jc w:val="left"/>
              <w:textAlignment w:val="auto"/>
              <w:rPr>
                <w:rFonts w:hint="eastAsia" w:cs="Times New Roman" w:asciiTheme="minorEastAsia" w:hAnsiTheme="minorEastAsia" w:eastAsiaTheme="minorEastAsia"/>
                <w:bCs/>
                <w:kern w:val="44"/>
                <w:sz w:val="21"/>
                <w:szCs w:val="21"/>
                <w:lang w:val="en-US" w:eastAsia="zh-CN"/>
              </w:rPr>
            </w:pPr>
            <w:r>
              <w:rPr>
                <w:rFonts w:hint="eastAsia" w:cs="Times New Roman" w:asciiTheme="minorEastAsia" w:hAnsiTheme="minorEastAsia" w:eastAsiaTheme="minorEastAsia"/>
                <w:bCs/>
                <w:kern w:val="44"/>
                <w:sz w:val="21"/>
                <w:szCs w:val="21"/>
              </w:rPr>
              <w:t>安全生产目标管理制度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建设</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改造</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项目“三同时”申报 审批管理制度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全员安全生产责任制管理制度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安全生产奖惩管理制度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安全生产会议管理制度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安全教育培训管理制度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安全生产</w:t>
            </w:r>
            <w:r>
              <w:rPr>
                <w:rFonts w:hint="eastAsia" w:cs="Times New Roman" w:asciiTheme="minorEastAsia" w:hAnsiTheme="minorEastAsia" w:eastAsiaTheme="minorEastAsia"/>
                <w:bCs/>
                <w:kern w:val="44"/>
                <w:sz w:val="21"/>
                <w:szCs w:val="21"/>
                <w:lang w:eastAsia="zh-CN"/>
              </w:rPr>
              <w:t>法律法规</w:t>
            </w:r>
            <w:r>
              <w:rPr>
                <w:rFonts w:hint="eastAsia" w:cs="Times New Roman" w:asciiTheme="minorEastAsia" w:hAnsiTheme="minorEastAsia" w:eastAsiaTheme="minorEastAsia"/>
                <w:bCs/>
                <w:kern w:val="44"/>
                <w:sz w:val="21"/>
                <w:szCs w:val="21"/>
              </w:rPr>
              <w:t>、标准规范等 识别、获取、更新、使用管理制度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安全生产费用提取和使用管理制度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设备设施管理制度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变更管理制度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特种设备管理制度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特种作业人员管理制度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相关方管理制度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领导带班制度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班组安全管理制度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生产现场安全管理制度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安全风险分级管理制度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生产安全隐患排查治理制度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安全档案管理制度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“三违”行为管理规定</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消防安全管理制度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交通安全管理制度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粉尘清扫制度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生产安全事故应急管理制度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生产安全事故管理制度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危险作业管理制度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检维修作业安全管理规定</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劳保用品发放管理制度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检维修安全管理规定</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劳保用品发放管理制度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安全生产检查管理制度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危险化学品安全管理制度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危险物品管理办法</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安全帽佩戴管理制度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职业危害防治责任制度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职业危害劳动防护用品管理制度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职业病危害项目申报制度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职业危害防护设施维护检修制度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职业卫生监督检查制度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职业危害防护设施检维修管理制度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职业病危害警示与告知制度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职业卫生档案管理制度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建设</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改造</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项目职业卫生管理制度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职业健康宣传教育培训制度</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职业病危害事故报告及处置管理规定</w:t>
            </w:r>
            <w:r>
              <w:rPr>
                <w:rFonts w:hint="eastAsia" w:cs="Times New Roman" w:asciiTheme="minorEastAsia" w:hAnsiTheme="minorEastAsia" w:eastAsiaTheme="minorEastAsia"/>
                <w:bCs/>
                <w:kern w:val="44"/>
                <w:sz w:val="21"/>
                <w:szCs w:val="21"/>
                <w:lang w:eastAsia="zh-CN"/>
              </w:rPr>
              <w:t>。</w:t>
            </w:r>
          </w:p>
        </w:tc>
      </w:tr>
      <w:tr w14:paraId="6A9FC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82" w:type="pct"/>
            <w:noWrap w:val="0"/>
            <w:vAlign w:val="center"/>
          </w:tcPr>
          <w:p w14:paraId="2EDAC9A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val="0"/>
                <w:color w:val="auto"/>
                <w:spacing w:val="8"/>
                <w:kern w:val="2"/>
                <w:sz w:val="21"/>
                <w:szCs w:val="21"/>
                <w:lang w:val="en-US" w:eastAsia="zh-CN" w:bidi="ar-SA"/>
              </w:rPr>
            </w:pPr>
            <w:r>
              <w:rPr>
                <w:rFonts w:hint="eastAsia" w:ascii="宋体" w:hAnsi="宋体" w:eastAsia="宋体" w:cs="宋体"/>
                <w:b/>
                <w:bCs w:val="0"/>
                <w:color w:val="auto"/>
                <w:spacing w:val="8"/>
                <w:kern w:val="2"/>
                <w:sz w:val="21"/>
                <w:szCs w:val="21"/>
                <w:lang w:val="en-US" w:eastAsia="zh-CN" w:bidi="ar-SA"/>
              </w:rPr>
              <w:t>安全生产操作规程</w:t>
            </w:r>
          </w:p>
        </w:tc>
        <w:tc>
          <w:tcPr>
            <w:tcW w:w="4517" w:type="pct"/>
            <w:noWrap w:val="0"/>
            <w:vAlign w:val="center"/>
          </w:tcPr>
          <w:p w14:paraId="24BFE75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leftChars="0" w:right="0" w:firstLine="0" w:firstLineChars="0"/>
              <w:jc w:val="left"/>
              <w:textAlignment w:val="auto"/>
              <w:rPr>
                <w:rFonts w:hint="eastAsia" w:cs="Times New Roman" w:asciiTheme="minorEastAsia" w:hAnsiTheme="minorEastAsia" w:eastAsiaTheme="minorEastAsia"/>
                <w:bCs/>
                <w:kern w:val="44"/>
                <w:sz w:val="21"/>
                <w:szCs w:val="21"/>
                <w:lang w:val="en-US" w:eastAsia="zh-CN"/>
              </w:rPr>
            </w:pPr>
            <w:r>
              <w:rPr>
                <w:rFonts w:hint="eastAsia" w:cs="Times New Roman" w:asciiTheme="minorEastAsia" w:hAnsiTheme="minorEastAsia" w:eastAsiaTheme="minorEastAsia"/>
                <w:bCs/>
                <w:kern w:val="44"/>
                <w:sz w:val="21"/>
                <w:szCs w:val="21"/>
              </w:rPr>
              <w:t>电弧炉配电安全操作规程</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电弧炉炉前安全操作规程</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水泵安全操作规程</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空压机安全操作规程</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起重设备安全操作规程</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环球磨安全操作规程</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混料机安全操作规程</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气流磨安全操作规程</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除尘系统安全操作规程</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电磁</w:t>
            </w:r>
            <w:r>
              <w:rPr>
                <w:rFonts w:hint="eastAsia" w:cs="Times New Roman" w:asciiTheme="minorEastAsia" w:hAnsiTheme="minorEastAsia" w:eastAsiaTheme="minorEastAsia"/>
                <w:bCs/>
                <w:kern w:val="44"/>
                <w:sz w:val="21"/>
                <w:szCs w:val="21"/>
                <w:lang w:eastAsia="zh-CN"/>
              </w:rPr>
              <w:t>振动</w:t>
            </w:r>
            <w:r>
              <w:rPr>
                <w:rFonts w:hint="eastAsia" w:cs="Times New Roman" w:asciiTheme="minorEastAsia" w:hAnsiTheme="minorEastAsia" w:eastAsiaTheme="minorEastAsia"/>
                <w:bCs/>
                <w:kern w:val="44"/>
                <w:sz w:val="21"/>
                <w:szCs w:val="21"/>
              </w:rPr>
              <w:t>给料机安全操作规程</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叉车安全操作规程</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切割机安全操作规程</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电焊机安全操作规程</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自动缠膜机安全操作规程</w:t>
            </w:r>
            <w:r>
              <w:rPr>
                <w:rFonts w:hint="eastAsia" w:cs="Times New Roman" w:asciiTheme="minorEastAsia" w:hAnsiTheme="minorEastAsia" w:eastAsiaTheme="minorEastAsia"/>
                <w:bCs/>
                <w:kern w:val="44"/>
                <w:sz w:val="21"/>
                <w:szCs w:val="21"/>
                <w:lang w:eastAsia="zh-CN"/>
              </w:rPr>
              <w:t>、</w:t>
            </w:r>
            <w:r>
              <w:rPr>
                <w:rFonts w:hint="eastAsia" w:cs="Times New Roman" w:asciiTheme="minorEastAsia" w:hAnsiTheme="minorEastAsia" w:eastAsiaTheme="minorEastAsia"/>
                <w:bCs/>
                <w:kern w:val="44"/>
                <w:sz w:val="21"/>
                <w:szCs w:val="21"/>
              </w:rPr>
              <w:t>引风机安全操作规程</w:t>
            </w:r>
            <w:r>
              <w:rPr>
                <w:rFonts w:hint="eastAsia" w:cs="Times New Roman" w:asciiTheme="minorEastAsia" w:hAnsiTheme="minorEastAsia" w:eastAsiaTheme="minorEastAsia"/>
                <w:bCs/>
                <w:kern w:val="44"/>
                <w:sz w:val="21"/>
                <w:szCs w:val="21"/>
                <w:lang w:eastAsia="zh-CN"/>
              </w:rPr>
              <w:t>。</w:t>
            </w:r>
          </w:p>
        </w:tc>
      </w:tr>
    </w:tbl>
    <w:p w14:paraId="68B09405">
      <w:pPr>
        <w:pStyle w:val="4"/>
        <w:keepNext w:val="0"/>
        <w:keepLines w:val="0"/>
        <w:pageBreakBefore w:val="0"/>
        <w:widowControl w:val="0"/>
        <w:kinsoku/>
        <w:bidi w:val="0"/>
        <w:rPr>
          <w:rFonts w:hint="eastAsia"/>
          <w:lang w:val="en-US" w:eastAsia="zh-CN"/>
        </w:rPr>
      </w:pPr>
      <w:bookmarkStart w:id="426" w:name="_Toc24810"/>
      <w:bookmarkStart w:id="427" w:name="_Toc10426"/>
      <w:bookmarkStart w:id="428" w:name="_Toc194"/>
      <w:r>
        <w:rPr>
          <w:lang w:val="en-US" w:eastAsia="zh-CN"/>
        </w:rPr>
        <w:t>应急</w:t>
      </w:r>
      <w:r>
        <w:rPr>
          <w:rFonts w:hint="eastAsia"/>
          <w:lang w:val="en-US" w:eastAsia="zh-CN"/>
        </w:rPr>
        <w:t>管理</w:t>
      </w:r>
      <w:bookmarkEnd w:id="426"/>
      <w:bookmarkEnd w:id="427"/>
      <w:bookmarkEnd w:id="428"/>
    </w:p>
    <w:p w14:paraId="0DEEF434">
      <w:pPr>
        <w:bidi w:val="0"/>
        <w:rPr>
          <w:rFonts w:hint="default"/>
          <w:lang w:val="en-US" w:eastAsia="zh-CN"/>
        </w:rPr>
      </w:pPr>
      <w:r>
        <w:rPr>
          <w:rFonts w:hint="eastAsia"/>
          <w:lang w:eastAsia="zh-CN"/>
        </w:rPr>
        <w:t>云南东锆新材料有限公司</w:t>
      </w:r>
      <w:r>
        <w:t>为保障公司及员工生命财产的安全，防止突发重大事故的发生，并能在事故发生后迅速有效控制处理</w:t>
      </w:r>
      <w:r>
        <w:rPr>
          <w:rFonts w:hint="eastAsia"/>
        </w:rPr>
        <w:t>，</w:t>
      </w:r>
      <w:r>
        <w:rPr>
          <w:rFonts w:hint="eastAsia"/>
          <w:lang w:val="en-US" w:eastAsia="zh-CN"/>
        </w:rPr>
        <w:t>公司按《生产经营单位生产安全事故应急预案编制导则》（GB/T29639-2020）要求编制了《云南东锆新材料有限公司生产安全事故应急预案》。应急预案已于2024年3月17日在禄丰市应急管理局备案（备案号5323312024006）。见附件30.应急预案备案情况。公司按规范要求定期组织开展应急演练，见附件31.应急演练记录。</w:t>
      </w:r>
    </w:p>
    <w:p w14:paraId="528F7354">
      <w:pPr>
        <w:bidi w:val="0"/>
        <w:rPr>
          <w:rFonts w:hint="eastAsia" w:ascii="Times New Roman" w:hAnsi="Times New Roman" w:eastAsia="宋体" w:cs="Times New Roman"/>
          <w:szCs w:val="28"/>
          <w:lang w:val="en-US" w:eastAsia="zh-CN"/>
        </w:rPr>
      </w:pPr>
      <w:r>
        <w:rPr>
          <w:rFonts w:hint="eastAsia"/>
          <w:lang w:val="en-US" w:eastAsia="zh-CN"/>
        </w:rPr>
        <w:t>公司应急物资见下表：</w:t>
      </w:r>
    </w:p>
    <w:p w14:paraId="08E023A4">
      <w:pPr>
        <w:keepNext w:val="0"/>
        <w:keepLines w:val="0"/>
        <w:pageBreakBefore w:val="0"/>
        <w:widowControl w:val="0"/>
        <w:kinsoku/>
        <w:wordWrap/>
        <w:bidi w:val="0"/>
        <w:spacing w:before="50" w:beforeLines="50" w:line="240" w:lineRule="auto"/>
        <w:ind w:firstLine="0" w:firstLineChars="0"/>
        <w:jc w:val="center"/>
        <w:rPr>
          <w:rFonts w:hint="eastAsia" w:ascii="宋体" w:hAnsi="宋体" w:eastAsia="宋体" w:cs="宋体"/>
          <w:b/>
          <w:kern w:val="2"/>
          <w:sz w:val="24"/>
          <w:szCs w:val="28"/>
          <w:lang w:val="en-US" w:eastAsia="zh-CN" w:bidi="ar-SA"/>
        </w:rPr>
      </w:pPr>
      <w:r>
        <w:rPr>
          <w:rFonts w:hint="eastAsia" w:ascii="宋体" w:hAnsi="宋体" w:eastAsia="宋体" w:cs="宋体"/>
          <w:b/>
          <w:kern w:val="2"/>
          <w:sz w:val="24"/>
          <w:szCs w:val="28"/>
          <w:lang w:val="en-US" w:eastAsia="zh-CN" w:bidi="ar-SA"/>
        </w:rPr>
        <w:t>表</w:t>
      </w:r>
      <w:r>
        <w:rPr>
          <w:rFonts w:hint="eastAsia" w:ascii="宋体" w:hAnsi="宋体" w:eastAsia="宋体" w:cs="宋体"/>
          <w:b/>
          <w:kern w:val="2"/>
          <w:sz w:val="24"/>
          <w:szCs w:val="28"/>
          <w:lang w:val="en-US" w:eastAsia="zh-CN" w:bidi="ar-SA"/>
        </w:rPr>
        <w:fldChar w:fldCharType="begin"/>
      </w:r>
      <w:r>
        <w:rPr>
          <w:rFonts w:hint="eastAsia" w:ascii="宋体" w:hAnsi="宋体" w:eastAsia="宋体" w:cs="宋体"/>
          <w:b/>
          <w:kern w:val="2"/>
          <w:sz w:val="24"/>
          <w:szCs w:val="28"/>
          <w:lang w:val="en-US" w:eastAsia="zh-CN" w:bidi="ar-SA"/>
        </w:rPr>
        <w:instrText xml:space="preserve"> STYLEREF 1 \s </w:instrText>
      </w:r>
      <w:r>
        <w:rPr>
          <w:rFonts w:hint="eastAsia" w:ascii="宋体" w:hAnsi="宋体" w:eastAsia="宋体" w:cs="宋体"/>
          <w:b/>
          <w:kern w:val="2"/>
          <w:sz w:val="24"/>
          <w:szCs w:val="28"/>
          <w:lang w:val="en-US" w:eastAsia="zh-CN" w:bidi="ar-SA"/>
        </w:rPr>
        <w:fldChar w:fldCharType="separate"/>
      </w:r>
      <w:r>
        <w:rPr>
          <w:rFonts w:hint="eastAsia" w:ascii="宋体" w:hAnsi="宋体" w:eastAsia="宋体" w:cs="宋体"/>
          <w:b/>
          <w:kern w:val="2"/>
          <w:sz w:val="24"/>
          <w:szCs w:val="28"/>
          <w:lang w:val="en-US" w:eastAsia="zh-CN" w:bidi="ar-SA"/>
        </w:rPr>
        <w:t>2</w:t>
      </w:r>
      <w:r>
        <w:rPr>
          <w:rFonts w:hint="eastAsia" w:ascii="宋体" w:hAnsi="宋体" w:eastAsia="宋体" w:cs="宋体"/>
          <w:b/>
          <w:kern w:val="2"/>
          <w:sz w:val="24"/>
          <w:szCs w:val="28"/>
          <w:lang w:val="en-US" w:eastAsia="zh-CN" w:bidi="ar-SA"/>
        </w:rPr>
        <w:fldChar w:fldCharType="end"/>
      </w:r>
      <w:r>
        <w:rPr>
          <w:rFonts w:hint="eastAsia" w:ascii="宋体" w:hAnsi="宋体" w:eastAsia="宋体" w:cs="宋体"/>
          <w:b/>
          <w:kern w:val="2"/>
          <w:sz w:val="24"/>
          <w:szCs w:val="28"/>
          <w:lang w:val="en-US" w:eastAsia="zh-CN" w:bidi="ar-SA"/>
        </w:rPr>
        <w:t>-</w:t>
      </w:r>
      <w:r>
        <w:rPr>
          <w:rFonts w:hint="eastAsia" w:ascii="宋体" w:hAnsi="宋体" w:eastAsia="宋体" w:cs="宋体"/>
          <w:b/>
          <w:kern w:val="2"/>
          <w:sz w:val="24"/>
          <w:szCs w:val="28"/>
          <w:lang w:val="en-US" w:eastAsia="zh-CN" w:bidi="ar-SA"/>
        </w:rPr>
        <w:fldChar w:fldCharType="begin"/>
      </w:r>
      <w:r>
        <w:rPr>
          <w:rFonts w:hint="eastAsia" w:ascii="宋体" w:hAnsi="宋体" w:eastAsia="宋体" w:cs="宋体"/>
          <w:b/>
          <w:kern w:val="2"/>
          <w:sz w:val="24"/>
          <w:szCs w:val="28"/>
          <w:lang w:val="en-US" w:eastAsia="zh-CN" w:bidi="ar-SA"/>
        </w:rPr>
        <w:instrText xml:space="preserve"> SEQ 表 \* ARABIC \s 1 </w:instrText>
      </w:r>
      <w:r>
        <w:rPr>
          <w:rFonts w:hint="eastAsia" w:ascii="宋体" w:hAnsi="宋体" w:eastAsia="宋体" w:cs="宋体"/>
          <w:b/>
          <w:kern w:val="2"/>
          <w:sz w:val="24"/>
          <w:szCs w:val="28"/>
          <w:lang w:val="en-US" w:eastAsia="zh-CN" w:bidi="ar-SA"/>
        </w:rPr>
        <w:fldChar w:fldCharType="separate"/>
      </w:r>
      <w:r>
        <w:rPr>
          <w:rFonts w:hint="eastAsia" w:ascii="宋体" w:hAnsi="宋体" w:eastAsia="宋体" w:cs="宋体"/>
          <w:b/>
          <w:kern w:val="2"/>
          <w:sz w:val="24"/>
          <w:szCs w:val="28"/>
          <w:lang w:val="en-US" w:eastAsia="zh-CN" w:bidi="ar-SA"/>
        </w:rPr>
        <w:t>18</w:t>
      </w:r>
      <w:r>
        <w:rPr>
          <w:rFonts w:hint="eastAsia" w:ascii="宋体" w:hAnsi="宋体" w:eastAsia="宋体" w:cs="宋体"/>
          <w:b/>
          <w:kern w:val="2"/>
          <w:sz w:val="24"/>
          <w:szCs w:val="28"/>
          <w:lang w:val="en-US" w:eastAsia="zh-CN" w:bidi="ar-SA"/>
        </w:rPr>
        <w:fldChar w:fldCharType="end"/>
      </w:r>
      <w:r>
        <w:rPr>
          <w:rFonts w:hint="eastAsia" w:ascii="宋体" w:hAnsi="宋体" w:eastAsia="宋体" w:cs="宋体"/>
          <w:b/>
          <w:kern w:val="2"/>
          <w:sz w:val="24"/>
          <w:szCs w:val="28"/>
          <w:lang w:val="en-US" w:eastAsia="zh-CN" w:bidi="ar-SA"/>
        </w:rPr>
        <w:t>应急物资清单</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40"/>
        <w:gridCol w:w="1716"/>
        <w:gridCol w:w="714"/>
        <w:gridCol w:w="702"/>
        <w:gridCol w:w="831"/>
        <w:gridCol w:w="1326"/>
        <w:gridCol w:w="829"/>
        <w:gridCol w:w="1574"/>
      </w:tblGrid>
      <w:tr w14:paraId="17B71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384" w:type="pct"/>
            <w:tcMar>
              <w:top w:w="15" w:type="dxa"/>
              <w:left w:w="15" w:type="dxa"/>
              <w:right w:w="15" w:type="dxa"/>
            </w:tcMar>
            <w:vAlign w:val="center"/>
          </w:tcPr>
          <w:p w14:paraId="5518F37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b/>
                <w:sz w:val="21"/>
                <w:szCs w:val="21"/>
                <w:highlight w:val="none"/>
              </w:rPr>
            </w:pPr>
            <w:r>
              <w:rPr>
                <w:rFonts w:hint="eastAsia" w:ascii="宋体" w:hAnsi="宋体" w:eastAsia="宋体" w:cs="宋体"/>
                <w:b/>
                <w:kern w:val="0"/>
                <w:sz w:val="21"/>
                <w:szCs w:val="21"/>
                <w:highlight w:val="none"/>
                <w:lang w:bidi="ar"/>
              </w:rPr>
              <w:t>序号</w:t>
            </w:r>
          </w:p>
        </w:tc>
        <w:tc>
          <w:tcPr>
            <w:tcW w:w="1029" w:type="pct"/>
            <w:tcMar>
              <w:top w:w="15" w:type="dxa"/>
              <w:left w:w="15" w:type="dxa"/>
              <w:right w:w="15" w:type="dxa"/>
            </w:tcMar>
            <w:vAlign w:val="center"/>
          </w:tcPr>
          <w:p w14:paraId="57F6668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b/>
                <w:kern w:val="0"/>
                <w:sz w:val="21"/>
                <w:szCs w:val="21"/>
                <w:highlight w:val="none"/>
                <w:lang w:bidi="ar"/>
              </w:rPr>
            </w:pPr>
            <w:r>
              <w:rPr>
                <w:rFonts w:hint="eastAsia" w:ascii="宋体" w:hAnsi="宋体" w:eastAsia="宋体" w:cs="宋体"/>
                <w:b/>
                <w:kern w:val="0"/>
                <w:sz w:val="21"/>
                <w:szCs w:val="21"/>
                <w:highlight w:val="none"/>
                <w:lang w:bidi="ar"/>
              </w:rPr>
              <w:t>物资装备</w:t>
            </w:r>
          </w:p>
          <w:p w14:paraId="4B242BC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b/>
                <w:sz w:val="21"/>
                <w:szCs w:val="21"/>
                <w:highlight w:val="none"/>
              </w:rPr>
            </w:pPr>
            <w:r>
              <w:rPr>
                <w:rFonts w:hint="eastAsia" w:ascii="宋体" w:hAnsi="宋体" w:eastAsia="宋体" w:cs="宋体"/>
                <w:b/>
                <w:kern w:val="0"/>
                <w:sz w:val="21"/>
                <w:szCs w:val="21"/>
                <w:highlight w:val="none"/>
                <w:lang w:bidi="ar"/>
              </w:rPr>
              <w:t>名称</w:t>
            </w:r>
          </w:p>
        </w:tc>
        <w:tc>
          <w:tcPr>
            <w:tcW w:w="428" w:type="pct"/>
            <w:tcMar>
              <w:top w:w="15" w:type="dxa"/>
              <w:left w:w="15" w:type="dxa"/>
              <w:right w:w="15" w:type="dxa"/>
            </w:tcMar>
            <w:vAlign w:val="center"/>
          </w:tcPr>
          <w:p w14:paraId="3331C0D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数量</w:t>
            </w:r>
          </w:p>
        </w:tc>
        <w:tc>
          <w:tcPr>
            <w:tcW w:w="421" w:type="pct"/>
            <w:tcMar>
              <w:top w:w="15" w:type="dxa"/>
              <w:left w:w="15" w:type="dxa"/>
              <w:right w:w="15" w:type="dxa"/>
            </w:tcMar>
            <w:vAlign w:val="center"/>
          </w:tcPr>
          <w:p w14:paraId="623A7F9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单位</w:t>
            </w:r>
          </w:p>
        </w:tc>
        <w:tc>
          <w:tcPr>
            <w:tcW w:w="498" w:type="pct"/>
            <w:tcMar>
              <w:top w:w="15" w:type="dxa"/>
              <w:left w:w="15" w:type="dxa"/>
              <w:right w:w="15" w:type="dxa"/>
            </w:tcMar>
            <w:vAlign w:val="center"/>
          </w:tcPr>
          <w:p w14:paraId="31F2DD4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完好</w:t>
            </w:r>
          </w:p>
          <w:p w14:paraId="3337579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程度</w:t>
            </w:r>
          </w:p>
        </w:tc>
        <w:tc>
          <w:tcPr>
            <w:tcW w:w="795" w:type="pct"/>
            <w:tcMar>
              <w:top w:w="15" w:type="dxa"/>
              <w:left w:w="15" w:type="dxa"/>
              <w:right w:w="15" w:type="dxa"/>
            </w:tcMar>
            <w:vAlign w:val="center"/>
          </w:tcPr>
          <w:p w14:paraId="19DF9B3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存放地点</w:t>
            </w:r>
          </w:p>
        </w:tc>
        <w:tc>
          <w:tcPr>
            <w:tcW w:w="497" w:type="pct"/>
            <w:tcMar>
              <w:top w:w="15" w:type="dxa"/>
              <w:left w:w="15" w:type="dxa"/>
              <w:right w:w="15" w:type="dxa"/>
            </w:tcMar>
            <w:vAlign w:val="center"/>
          </w:tcPr>
          <w:p w14:paraId="1F97611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b/>
                <w:sz w:val="21"/>
                <w:szCs w:val="21"/>
                <w:highlight w:val="none"/>
                <w:lang w:val="en-US" w:eastAsia="zh-CN"/>
              </w:rPr>
            </w:pPr>
            <w:r>
              <w:rPr>
                <w:rFonts w:hint="eastAsia" w:ascii="宋体" w:hAnsi="宋体" w:eastAsia="宋体" w:cs="宋体"/>
                <w:b/>
                <w:sz w:val="21"/>
                <w:szCs w:val="21"/>
                <w:highlight w:val="none"/>
                <w:lang w:val="en-US" w:eastAsia="zh-CN"/>
              </w:rPr>
              <w:t>联系人</w:t>
            </w:r>
          </w:p>
        </w:tc>
        <w:tc>
          <w:tcPr>
            <w:tcW w:w="944" w:type="pct"/>
            <w:tcMar>
              <w:top w:w="15" w:type="dxa"/>
              <w:left w:w="15" w:type="dxa"/>
              <w:right w:w="15" w:type="dxa"/>
            </w:tcMar>
            <w:vAlign w:val="center"/>
          </w:tcPr>
          <w:p w14:paraId="6966259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b/>
                <w:sz w:val="21"/>
                <w:szCs w:val="21"/>
                <w:highlight w:val="none"/>
                <w:lang w:val="en-US" w:eastAsia="zh-CN"/>
              </w:rPr>
            </w:pPr>
            <w:r>
              <w:rPr>
                <w:rFonts w:hint="eastAsia" w:ascii="宋体" w:hAnsi="宋体" w:eastAsia="宋体" w:cs="宋体"/>
                <w:b/>
                <w:sz w:val="21"/>
                <w:szCs w:val="21"/>
                <w:highlight w:val="none"/>
                <w:lang w:val="en-US" w:eastAsia="zh-CN"/>
              </w:rPr>
              <w:t>联系电话</w:t>
            </w:r>
          </w:p>
        </w:tc>
      </w:tr>
      <w:tr w14:paraId="28541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jc w:val="center"/>
        </w:trPr>
        <w:tc>
          <w:tcPr>
            <w:tcW w:w="384" w:type="pct"/>
            <w:tcMar>
              <w:top w:w="15" w:type="dxa"/>
              <w:left w:w="15" w:type="dxa"/>
              <w:right w:w="15" w:type="dxa"/>
            </w:tcMar>
            <w:vAlign w:val="center"/>
          </w:tcPr>
          <w:p w14:paraId="6FBF9526">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674AB3B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防尘口罩</w:t>
            </w:r>
          </w:p>
        </w:tc>
        <w:tc>
          <w:tcPr>
            <w:tcW w:w="428" w:type="pct"/>
            <w:tcMar>
              <w:top w:w="15" w:type="dxa"/>
              <w:left w:w="15" w:type="dxa"/>
              <w:right w:w="15" w:type="dxa"/>
            </w:tcMar>
            <w:vAlign w:val="center"/>
          </w:tcPr>
          <w:p w14:paraId="1BE50B2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70</w:t>
            </w:r>
          </w:p>
        </w:tc>
        <w:tc>
          <w:tcPr>
            <w:tcW w:w="421" w:type="pct"/>
            <w:tcMar>
              <w:top w:w="15" w:type="dxa"/>
              <w:left w:w="15" w:type="dxa"/>
              <w:right w:w="15" w:type="dxa"/>
            </w:tcMar>
            <w:vAlign w:val="center"/>
          </w:tcPr>
          <w:p w14:paraId="46C2A0B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个</w:t>
            </w:r>
          </w:p>
        </w:tc>
        <w:tc>
          <w:tcPr>
            <w:tcW w:w="498" w:type="pct"/>
            <w:tcMar>
              <w:top w:w="15" w:type="dxa"/>
              <w:left w:w="15" w:type="dxa"/>
              <w:right w:w="15" w:type="dxa"/>
            </w:tcMar>
            <w:vAlign w:val="center"/>
          </w:tcPr>
          <w:p w14:paraId="20AFF2E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0BFB184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5A717CD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4C15EC1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7CC38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384" w:type="pct"/>
            <w:tcMar>
              <w:top w:w="15" w:type="dxa"/>
              <w:left w:w="15" w:type="dxa"/>
              <w:right w:w="15" w:type="dxa"/>
            </w:tcMar>
            <w:vAlign w:val="center"/>
          </w:tcPr>
          <w:p w14:paraId="6DC7EDA9">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2C5A844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便携式可燃气体浓度报警仪</w:t>
            </w:r>
          </w:p>
        </w:tc>
        <w:tc>
          <w:tcPr>
            <w:tcW w:w="428" w:type="pct"/>
            <w:tcMar>
              <w:top w:w="15" w:type="dxa"/>
              <w:left w:w="15" w:type="dxa"/>
              <w:right w:w="15" w:type="dxa"/>
            </w:tcMar>
            <w:vAlign w:val="center"/>
          </w:tcPr>
          <w:p w14:paraId="27E2C48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w:t>
            </w:r>
          </w:p>
        </w:tc>
        <w:tc>
          <w:tcPr>
            <w:tcW w:w="421" w:type="pct"/>
            <w:tcMar>
              <w:top w:w="15" w:type="dxa"/>
              <w:left w:w="15" w:type="dxa"/>
              <w:right w:w="15" w:type="dxa"/>
            </w:tcMar>
            <w:vAlign w:val="center"/>
          </w:tcPr>
          <w:p w14:paraId="0188FFA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个</w:t>
            </w:r>
          </w:p>
        </w:tc>
        <w:tc>
          <w:tcPr>
            <w:tcW w:w="498" w:type="pct"/>
            <w:tcMar>
              <w:top w:w="15" w:type="dxa"/>
              <w:left w:w="15" w:type="dxa"/>
              <w:right w:w="15" w:type="dxa"/>
            </w:tcMar>
            <w:vAlign w:val="center"/>
          </w:tcPr>
          <w:p w14:paraId="1E81441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2177991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1DADAD4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40EFE4E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65A03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05E411B0">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2E015CD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安全帽</w:t>
            </w:r>
          </w:p>
        </w:tc>
        <w:tc>
          <w:tcPr>
            <w:tcW w:w="428" w:type="pct"/>
            <w:tcMar>
              <w:top w:w="15" w:type="dxa"/>
              <w:left w:w="15" w:type="dxa"/>
              <w:right w:w="15" w:type="dxa"/>
            </w:tcMar>
            <w:vAlign w:val="center"/>
          </w:tcPr>
          <w:p w14:paraId="041ACE2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70</w:t>
            </w:r>
          </w:p>
        </w:tc>
        <w:tc>
          <w:tcPr>
            <w:tcW w:w="421" w:type="pct"/>
            <w:tcMar>
              <w:top w:w="15" w:type="dxa"/>
              <w:left w:w="15" w:type="dxa"/>
              <w:right w:w="15" w:type="dxa"/>
            </w:tcMar>
            <w:vAlign w:val="center"/>
          </w:tcPr>
          <w:p w14:paraId="57C9D20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顶</w:t>
            </w:r>
          </w:p>
        </w:tc>
        <w:tc>
          <w:tcPr>
            <w:tcW w:w="498" w:type="pct"/>
            <w:tcMar>
              <w:top w:w="15" w:type="dxa"/>
              <w:left w:w="15" w:type="dxa"/>
              <w:right w:w="15" w:type="dxa"/>
            </w:tcMar>
            <w:vAlign w:val="center"/>
          </w:tcPr>
          <w:p w14:paraId="0E6CBDD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5D2030B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256CDD5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7A6AA82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0C6D3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jc w:val="center"/>
        </w:trPr>
        <w:tc>
          <w:tcPr>
            <w:tcW w:w="384" w:type="pct"/>
            <w:tcMar>
              <w:top w:w="15" w:type="dxa"/>
              <w:left w:w="15" w:type="dxa"/>
              <w:right w:w="15" w:type="dxa"/>
            </w:tcMar>
            <w:vAlign w:val="center"/>
          </w:tcPr>
          <w:p w14:paraId="7CC4A652">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4373324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防护眼镜</w:t>
            </w:r>
          </w:p>
        </w:tc>
        <w:tc>
          <w:tcPr>
            <w:tcW w:w="428" w:type="pct"/>
            <w:tcMar>
              <w:top w:w="15" w:type="dxa"/>
              <w:left w:w="15" w:type="dxa"/>
              <w:right w:w="15" w:type="dxa"/>
            </w:tcMar>
            <w:vAlign w:val="center"/>
          </w:tcPr>
          <w:p w14:paraId="547653E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70</w:t>
            </w:r>
          </w:p>
        </w:tc>
        <w:tc>
          <w:tcPr>
            <w:tcW w:w="421" w:type="pct"/>
            <w:tcMar>
              <w:top w:w="15" w:type="dxa"/>
              <w:left w:w="15" w:type="dxa"/>
              <w:right w:w="15" w:type="dxa"/>
            </w:tcMar>
            <w:vAlign w:val="center"/>
          </w:tcPr>
          <w:p w14:paraId="4222B2A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副</w:t>
            </w:r>
          </w:p>
        </w:tc>
        <w:tc>
          <w:tcPr>
            <w:tcW w:w="498" w:type="pct"/>
            <w:tcMar>
              <w:top w:w="15" w:type="dxa"/>
              <w:left w:w="15" w:type="dxa"/>
              <w:right w:w="15" w:type="dxa"/>
            </w:tcMar>
            <w:vAlign w:val="center"/>
          </w:tcPr>
          <w:p w14:paraId="4D3A6DD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63335EB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5A237A6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243A4F1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647B2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10AD1CE3">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20D78F3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手提式干粉灭火器</w:t>
            </w:r>
          </w:p>
        </w:tc>
        <w:tc>
          <w:tcPr>
            <w:tcW w:w="428" w:type="pct"/>
            <w:tcMar>
              <w:top w:w="15" w:type="dxa"/>
              <w:left w:w="15" w:type="dxa"/>
              <w:right w:w="15" w:type="dxa"/>
            </w:tcMar>
            <w:vAlign w:val="center"/>
          </w:tcPr>
          <w:p w14:paraId="5E8A790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140</w:t>
            </w:r>
          </w:p>
        </w:tc>
        <w:tc>
          <w:tcPr>
            <w:tcW w:w="421" w:type="pct"/>
            <w:tcMar>
              <w:top w:w="15" w:type="dxa"/>
              <w:left w:w="15" w:type="dxa"/>
              <w:right w:w="15" w:type="dxa"/>
            </w:tcMar>
            <w:vAlign w:val="center"/>
          </w:tcPr>
          <w:p w14:paraId="7CDFB44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个</w:t>
            </w:r>
          </w:p>
        </w:tc>
        <w:tc>
          <w:tcPr>
            <w:tcW w:w="498" w:type="pct"/>
            <w:tcMar>
              <w:top w:w="15" w:type="dxa"/>
              <w:left w:w="15" w:type="dxa"/>
              <w:right w:w="15" w:type="dxa"/>
            </w:tcMar>
            <w:vAlign w:val="center"/>
          </w:tcPr>
          <w:p w14:paraId="54747D4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7F7CCB2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厂区</w:t>
            </w:r>
          </w:p>
        </w:tc>
        <w:tc>
          <w:tcPr>
            <w:tcW w:w="497" w:type="pct"/>
            <w:tcMar>
              <w:top w:w="15" w:type="dxa"/>
              <w:left w:w="15" w:type="dxa"/>
              <w:right w:w="15" w:type="dxa"/>
            </w:tcMar>
            <w:vAlign w:val="center"/>
          </w:tcPr>
          <w:p w14:paraId="3983AEB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10157E5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004F5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0B4595A9">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2CF963C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棉纱</w:t>
            </w:r>
          </w:p>
        </w:tc>
        <w:tc>
          <w:tcPr>
            <w:tcW w:w="428" w:type="pct"/>
            <w:tcMar>
              <w:top w:w="15" w:type="dxa"/>
              <w:left w:w="15" w:type="dxa"/>
              <w:right w:w="15" w:type="dxa"/>
            </w:tcMar>
            <w:vAlign w:val="center"/>
          </w:tcPr>
          <w:p w14:paraId="51D1C64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w:t>
            </w:r>
          </w:p>
        </w:tc>
        <w:tc>
          <w:tcPr>
            <w:tcW w:w="421" w:type="pct"/>
            <w:tcMar>
              <w:top w:w="15" w:type="dxa"/>
              <w:left w:w="15" w:type="dxa"/>
              <w:right w:w="15" w:type="dxa"/>
            </w:tcMar>
            <w:vAlign w:val="center"/>
          </w:tcPr>
          <w:p w14:paraId="6D8D6E4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捆</w:t>
            </w:r>
          </w:p>
        </w:tc>
        <w:tc>
          <w:tcPr>
            <w:tcW w:w="498" w:type="pct"/>
            <w:tcMar>
              <w:top w:w="15" w:type="dxa"/>
              <w:left w:w="15" w:type="dxa"/>
              <w:right w:w="15" w:type="dxa"/>
            </w:tcMar>
            <w:vAlign w:val="center"/>
          </w:tcPr>
          <w:p w14:paraId="36DE270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0ACF701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72BF9CD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6431FA3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3E772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46A1D411">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0B27BAD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编织袋</w:t>
            </w:r>
          </w:p>
        </w:tc>
        <w:tc>
          <w:tcPr>
            <w:tcW w:w="428" w:type="pct"/>
            <w:tcMar>
              <w:top w:w="15" w:type="dxa"/>
              <w:left w:w="15" w:type="dxa"/>
              <w:right w:w="15" w:type="dxa"/>
            </w:tcMar>
            <w:vAlign w:val="center"/>
          </w:tcPr>
          <w:p w14:paraId="783B171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10</w:t>
            </w:r>
          </w:p>
        </w:tc>
        <w:tc>
          <w:tcPr>
            <w:tcW w:w="421" w:type="pct"/>
            <w:tcMar>
              <w:top w:w="15" w:type="dxa"/>
              <w:left w:w="15" w:type="dxa"/>
              <w:right w:w="15" w:type="dxa"/>
            </w:tcMar>
            <w:vAlign w:val="center"/>
          </w:tcPr>
          <w:p w14:paraId="07179B6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条</w:t>
            </w:r>
          </w:p>
        </w:tc>
        <w:tc>
          <w:tcPr>
            <w:tcW w:w="498" w:type="pct"/>
            <w:tcMar>
              <w:top w:w="15" w:type="dxa"/>
              <w:left w:w="15" w:type="dxa"/>
              <w:right w:w="15" w:type="dxa"/>
            </w:tcMar>
            <w:vAlign w:val="center"/>
          </w:tcPr>
          <w:p w14:paraId="7395B9C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6067156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1B2D2CE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06DCF15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08BEC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1497B637">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3D17562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尼龙绳</w:t>
            </w:r>
          </w:p>
        </w:tc>
        <w:tc>
          <w:tcPr>
            <w:tcW w:w="428" w:type="pct"/>
            <w:tcMar>
              <w:top w:w="15" w:type="dxa"/>
              <w:left w:w="15" w:type="dxa"/>
              <w:right w:w="15" w:type="dxa"/>
            </w:tcMar>
            <w:vAlign w:val="center"/>
          </w:tcPr>
          <w:p w14:paraId="2E61411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30</w:t>
            </w:r>
          </w:p>
        </w:tc>
        <w:tc>
          <w:tcPr>
            <w:tcW w:w="421" w:type="pct"/>
            <w:tcMar>
              <w:top w:w="15" w:type="dxa"/>
              <w:left w:w="15" w:type="dxa"/>
              <w:right w:w="15" w:type="dxa"/>
            </w:tcMar>
            <w:vAlign w:val="center"/>
          </w:tcPr>
          <w:p w14:paraId="708DA49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米</w:t>
            </w:r>
          </w:p>
        </w:tc>
        <w:tc>
          <w:tcPr>
            <w:tcW w:w="498" w:type="pct"/>
            <w:tcMar>
              <w:top w:w="15" w:type="dxa"/>
              <w:left w:w="15" w:type="dxa"/>
              <w:right w:w="15" w:type="dxa"/>
            </w:tcMar>
            <w:vAlign w:val="center"/>
          </w:tcPr>
          <w:p w14:paraId="2149C81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73E4DDC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5C427EC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47F174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6BBB3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3D7230AE">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2EF5984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五点式安全带</w:t>
            </w:r>
          </w:p>
        </w:tc>
        <w:tc>
          <w:tcPr>
            <w:tcW w:w="428" w:type="pct"/>
            <w:tcMar>
              <w:top w:w="15" w:type="dxa"/>
              <w:left w:w="15" w:type="dxa"/>
              <w:right w:w="15" w:type="dxa"/>
            </w:tcMar>
            <w:vAlign w:val="center"/>
          </w:tcPr>
          <w:p w14:paraId="2660FC3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p>
        </w:tc>
        <w:tc>
          <w:tcPr>
            <w:tcW w:w="421" w:type="pct"/>
            <w:tcMar>
              <w:top w:w="15" w:type="dxa"/>
              <w:left w:w="15" w:type="dxa"/>
              <w:right w:w="15" w:type="dxa"/>
            </w:tcMar>
            <w:vAlign w:val="center"/>
          </w:tcPr>
          <w:p w14:paraId="3C79C28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套</w:t>
            </w:r>
          </w:p>
        </w:tc>
        <w:tc>
          <w:tcPr>
            <w:tcW w:w="498" w:type="pct"/>
            <w:tcMar>
              <w:top w:w="15" w:type="dxa"/>
              <w:left w:w="15" w:type="dxa"/>
              <w:right w:w="15" w:type="dxa"/>
            </w:tcMar>
            <w:vAlign w:val="center"/>
          </w:tcPr>
          <w:p w14:paraId="2879A22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791F832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437E0D0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5DB25EA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4630E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3B1B6756">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7026264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自锁器/速差自控器</w:t>
            </w:r>
          </w:p>
        </w:tc>
        <w:tc>
          <w:tcPr>
            <w:tcW w:w="428" w:type="pct"/>
            <w:tcMar>
              <w:top w:w="15" w:type="dxa"/>
              <w:left w:w="15" w:type="dxa"/>
              <w:right w:w="15" w:type="dxa"/>
            </w:tcMar>
            <w:vAlign w:val="center"/>
          </w:tcPr>
          <w:p w14:paraId="4581122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6</w:t>
            </w:r>
          </w:p>
        </w:tc>
        <w:tc>
          <w:tcPr>
            <w:tcW w:w="421" w:type="pct"/>
            <w:tcMar>
              <w:top w:w="15" w:type="dxa"/>
              <w:left w:w="15" w:type="dxa"/>
              <w:right w:w="15" w:type="dxa"/>
            </w:tcMar>
            <w:vAlign w:val="center"/>
          </w:tcPr>
          <w:p w14:paraId="1203157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套</w:t>
            </w:r>
          </w:p>
        </w:tc>
        <w:tc>
          <w:tcPr>
            <w:tcW w:w="498" w:type="pct"/>
            <w:tcMar>
              <w:top w:w="15" w:type="dxa"/>
              <w:left w:w="15" w:type="dxa"/>
              <w:right w:w="15" w:type="dxa"/>
            </w:tcMar>
            <w:vAlign w:val="center"/>
          </w:tcPr>
          <w:p w14:paraId="7CC6B3F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4FE9DD7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008D5CB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307AF60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6C802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5A26EC7E">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7AF7F9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急救药箱</w:t>
            </w:r>
          </w:p>
        </w:tc>
        <w:tc>
          <w:tcPr>
            <w:tcW w:w="428" w:type="pct"/>
            <w:tcMar>
              <w:top w:w="15" w:type="dxa"/>
              <w:left w:w="15" w:type="dxa"/>
              <w:right w:w="15" w:type="dxa"/>
            </w:tcMar>
            <w:vAlign w:val="center"/>
          </w:tcPr>
          <w:p w14:paraId="49E3457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w:t>
            </w:r>
          </w:p>
        </w:tc>
        <w:tc>
          <w:tcPr>
            <w:tcW w:w="421" w:type="pct"/>
            <w:tcMar>
              <w:top w:w="15" w:type="dxa"/>
              <w:left w:w="15" w:type="dxa"/>
              <w:right w:w="15" w:type="dxa"/>
            </w:tcMar>
            <w:vAlign w:val="center"/>
          </w:tcPr>
          <w:p w14:paraId="5F82EF2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个</w:t>
            </w:r>
          </w:p>
        </w:tc>
        <w:tc>
          <w:tcPr>
            <w:tcW w:w="498" w:type="pct"/>
            <w:tcMar>
              <w:top w:w="15" w:type="dxa"/>
              <w:left w:w="15" w:type="dxa"/>
              <w:right w:w="15" w:type="dxa"/>
            </w:tcMar>
            <w:vAlign w:val="center"/>
          </w:tcPr>
          <w:p w14:paraId="51A3520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506C3B6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综合部</w:t>
            </w:r>
          </w:p>
        </w:tc>
        <w:tc>
          <w:tcPr>
            <w:tcW w:w="497" w:type="pct"/>
            <w:tcMar>
              <w:top w:w="15" w:type="dxa"/>
              <w:left w:w="15" w:type="dxa"/>
              <w:right w:w="15" w:type="dxa"/>
            </w:tcMar>
            <w:vAlign w:val="center"/>
          </w:tcPr>
          <w:p w14:paraId="1B24417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233D735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4FDF8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0D867446">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4E7DA0F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急救药箱</w:t>
            </w:r>
          </w:p>
        </w:tc>
        <w:tc>
          <w:tcPr>
            <w:tcW w:w="428" w:type="pct"/>
            <w:tcMar>
              <w:top w:w="15" w:type="dxa"/>
              <w:left w:w="15" w:type="dxa"/>
              <w:right w:w="15" w:type="dxa"/>
            </w:tcMar>
            <w:vAlign w:val="center"/>
          </w:tcPr>
          <w:p w14:paraId="076120D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2</w:t>
            </w:r>
          </w:p>
        </w:tc>
        <w:tc>
          <w:tcPr>
            <w:tcW w:w="421" w:type="pct"/>
            <w:tcMar>
              <w:top w:w="15" w:type="dxa"/>
              <w:left w:w="15" w:type="dxa"/>
              <w:right w:w="15" w:type="dxa"/>
            </w:tcMar>
            <w:vAlign w:val="center"/>
          </w:tcPr>
          <w:p w14:paraId="26474BD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个</w:t>
            </w:r>
          </w:p>
        </w:tc>
        <w:tc>
          <w:tcPr>
            <w:tcW w:w="498" w:type="pct"/>
            <w:tcMar>
              <w:top w:w="15" w:type="dxa"/>
              <w:left w:w="15" w:type="dxa"/>
              <w:right w:w="15" w:type="dxa"/>
            </w:tcMar>
            <w:vAlign w:val="center"/>
          </w:tcPr>
          <w:p w14:paraId="307B3F3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5AFF1CE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厂区</w:t>
            </w:r>
          </w:p>
        </w:tc>
        <w:tc>
          <w:tcPr>
            <w:tcW w:w="497" w:type="pct"/>
            <w:tcMar>
              <w:top w:w="15" w:type="dxa"/>
              <w:left w:w="15" w:type="dxa"/>
              <w:right w:w="15" w:type="dxa"/>
            </w:tcMar>
            <w:vAlign w:val="center"/>
          </w:tcPr>
          <w:p w14:paraId="1850C9E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7F9B209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15716525387</w:t>
            </w:r>
          </w:p>
        </w:tc>
      </w:tr>
      <w:tr w14:paraId="5EA6F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2AA86AED">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1A16012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梯子</w:t>
            </w:r>
          </w:p>
        </w:tc>
        <w:tc>
          <w:tcPr>
            <w:tcW w:w="428" w:type="pct"/>
            <w:tcMar>
              <w:top w:w="15" w:type="dxa"/>
              <w:left w:w="15" w:type="dxa"/>
              <w:right w:w="15" w:type="dxa"/>
            </w:tcMar>
            <w:vAlign w:val="center"/>
          </w:tcPr>
          <w:p w14:paraId="5C076B0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w:t>
            </w:r>
          </w:p>
        </w:tc>
        <w:tc>
          <w:tcPr>
            <w:tcW w:w="421" w:type="pct"/>
            <w:tcMar>
              <w:top w:w="15" w:type="dxa"/>
              <w:left w:w="15" w:type="dxa"/>
              <w:right w:w="15" w:type="dxa"/>
            </w:tcMar>
            <w:vAlign w:val="center"/>
          </w:tcPr>
          <w:p w14:paraId="06B7FA5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把</w:t>
            </w:r>
          </w:p>
        </w:tc>
        <w:tc>
          <w:tcPr>
            <w:tcW w:w="498" w:type="pct"/>
            <w:tcMar>
              <w:top w:w="15" w:type="dxa"/>
              <w:left w:w="15" w:type="dxa"/>
              <w:right w:w="15" w:type="dxa"/>
            </w:tcMar>
            <w:vAlign w:val="center"/>
          </w:tcPr>
          <w:p w14:paraId="1757485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138DAE7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7F02F28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367E3CE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40A26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47ADD2ED">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36D6490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电筒</w:t>
            </w:r>
          </w:p>
        </w:tc>
        <w:tc>
          <w:tcPr>
            <w:tcW w:w="428" w:type="pct"/>
            <w:tcMar>
              <w:top w:w="15" w:type="dxa"/>
              <w:left w:w="15" w:type="dxa"/>
              <w:right w:w="15" w:type="dxa"/>
            </w:tcMar>
            <w:vAlign w:val="center"/>
          </w:tcPr>
          <w:p w14:paraId="19DE4CB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5</w:t>
            </w:r>
          </w:p>
        </w:tc>
        <w:tc>
          <w:tcPr>
            <w:tcW w:w="421" w:type="pct"/>
            <w:tcMar>
              <w:top w:w="15" w:type="dxa"/>
              <w:left w:w="15" w:type="dxa"/>
              <w:right w:w="15" w:type="dxa"/>
            </w:tcMar>
            <w:vAlign w:val="center"/>
          </w:tcPr>
          <w:p w14:paraId="1AFF355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只</w:t>
            </w:r>
          </w:p>
        </w:tc>
        <w:tc>
          <w:tcPr>
            <w:tcW w:w="498" w:type="pct"/>
            <w:tcMar>
              <w:top w:w="15" w:type="dxa"/>
              <w:left w:w="15" w:type="dxa"/>
              <w:right w:w="15" w:type="dxa"/>
            </w:tcMar>
            <w:vAlign w:val="center"/>
          </w:tcPr>
          <w:p w14:paraId="254A718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738707C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综合部</w:t>
            </w:r>
          </w:p>
        </w:tc>
        <w:tc>
          <w:tcPr>
            <w:tcW w:w="497" w:type="pct"/>
            <w:tcMar>
              <w:top w:w="15" w:type="dxa"/>
              <w:left w:w="15" w:type="dxa"/>
              <w:right w:w="15" w:type="dxa"/>
            </w:tcMar>
            <w:vAlign w:val="center"/>
          </w:tcPr>
          <w:p w14:paraId="763AB99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7324866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62015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2163E139">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1A5074A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担架</w:t>
            </w:r>
          </w:p>
        </w:tc>
        <w:tc>
          <w:tcPr>
            <w:tcW w:w="428" w:type="pct"/>
            <w:tcMar>
              <w:top w:w="15" w:type="dxa"/>
              <w:left w:w="15" w:type="dxa"/>
              <w:right w:w="15" w:type="dxa"/>
            </w:tcMar>
            <w:vAlign w:val="center"/>
          </w:tcPr>
          <w:p w14:paraId="3429D82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w:t>
            </w:r>
          </w:p>
        </w:tc>
        <w:tc>
          <w:tcPr>
            <w:tcW w:w="421" w:type="pct"/>
            <w:tcMar>
              <w:top w:w="15" w:type="dxa"/>
              <w:left w:w="15" w:type="dxa"/>
              <w:right w:w="15" w:type="dxa"/>
            </w:tcMar>
            <w:vAlign w:val="center"/>
          </w:tcPr>
          <w:p w14:paraId="00CF124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付</w:t>
            </w:r>
          </w:p>
        </w:tc>
        <w:tc>
          <w:tcPr>
            <w:tcW w:w="498" w:type="pct"/>
            <w:tcMar>
              <w:top w:w="15" w:type="dxa"/>
              <w:left w:w="15" w:type="dxa"/>
              <w:right w:w="15" w:type="dxa"/>
            </w:tcMar>
            <w:vAlign w:val="center"/>
          </w:tcPr>
          <w:p w14:paraId="043DE3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7A01A5A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2CAF84E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4C43ADC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25634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366D6E41">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5F2C7DD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喇叭</w:t>
            </w:r>
          </w:p>
        </w:tc>
        <w:tc>
          <w:tcPr>
            <w:tcW w:w="428" w:type="pct"/>
            <w:tcMar>
              <w:top w:w="15" w:type="dxa"/>
              <w:left w:w="15" w:type="dxa"/>
              <w:right w:w="15" w:type="dxa"/>
            </w:tcMar>
            <w:vAlign w:val="center"/>
          </w:tcPr>
          <w:p w14:paraId="2529F63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w:t>
            </w:r>
          </w:p>
        </w:tc>
        <w:tc>
          <w:tcPr>
            <w:tcW w:w="421" w:type="pct"/>
            <w:tcMar>
              <w:top w:w="15" w:type="dxa"/>
              <w:left w:w="15" w:type="dxa"/>
              <w:right w:w="15" w:type="dxa"/>
            </w:tcMar>
            <w:vAlign w:val="center"/>
          </w:tcPr>
          <w:p w14:paraId="28FDFF0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个</w:t>
            </w:r>
          </w:p>
        </w:tc>
        <w:tc>
          <w:tcPr>
            <w:tcW w:w="498" w:type="pct"/>
            <w:tcMar>
              <w:top w:w="15" w:type="dxa"/>
              <w:left w:w="15" w:type="dxa"/>
              <w:right w:w="15" w:type="dxa"/>
            </w:tcMar>
            <w:vAlign w:val="center"/>
          </w:tcPr>
          <w:p w14:paraId="6A16274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644BECA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1AC86B7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0F64715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4AF52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63AFF141">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592B0B6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反光背心</w:t>
            </w:r>
          </w:p>
        </w:tc>
        <w:tc>
          <w:tcPr>
            <w:tcW w:w="428" w:type="pct"/>
            <w:tcMar>
              <w:top w:w="15" w:type="dxa"/>
              <w:left w:w="15" w:type="dxa"/>
              <w:right w:w="15" w:type="dxa"/>
            </w:tcMar>
            <w:vAlign w:val="center"/>
          </w:tcPr>
          <w:p w14:paraId="1778BA9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70</w:t>
            </w:r>
          </w:p>
        </w:tc>
        <w:tc>
          <w:tcPr>
            <w:tcW w:w="421" w:type="pct"/>
            <w:tcMar>
              <w:top w:w="15" w:type="dxa"/>
              <w:left w:w="15" w:type="dxa"/>
              <w:right w:w="15" w:type="dxa"/>
            </w:tcMar>
            <w:vAlign w:val="center"/>
          </w:tcPr>
          <w:p w14:paraId="7830ABD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件</w:t>
            </w:r>
          </w:p>
        </w:tc>
        <w:tc>
          <w:tcPr>
            <w:tcW w:w="498" w:type="pct"/>
            <w:tcMar>
              <w:top w:w="15" w:type="dxa"/>
              <w:left w:w="15" w:type="dxa"/>
              <w:right w:w="15" w:type="dxa"/>
            </w:tcMar>
            <w:vAlign w:val="center"/>
          </w:tcPr>
          <w:p w14:paraId="6336744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19E452E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3F6A0EB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208925E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1A0E0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487CF816">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3FD4B1A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对讲机</w:t>
            </w:r>
          </w:p>
        </w:tc>
        <w:tc>
          <w:tcPr>
            <w:tcW w:w="428" w:type="pct"/>
            <w:tcMar>
              <w:top w:w="15" w:type="dxa"/>
              <w:left w:w="15" w:type="dxa"/>
              <w:right w:w="15" w:type="dxa"/>
            </w:tcMar>
            <w:vAlign w:val="center"/>
          </w:tcPr>
          <w:p w14:paraId="7CB820F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w:t>
            </w:r>
          </w:p>
        </w:tc>
        <w:tc>
          <w:tcPr>
            <w:tcW w:w="421" w:type="pct"/>
            <w:tcMar>
              <w:top w:w="15" w:type="dxa"/>
              <w:left w:w="15" w:type="dxa"/>
              <w:right w:w="15" w:type="dxa"/>
            </w:tcMar>
            <w:vAlign w:val="center"/>
          </w:tcPr>
          <w:p w14:paraId="4AB5891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个</w:t>
            </w:r>
          </w:p>
        </w:tc>
        <w:tc>
          <w:tcPr>
            <w:tcW w:w="498" w:type="pct"/>
            <w:tcMar>
              <w:top w:w="15" w:type="dxa"/>
              <w:left w:w="15" w:type="dxa"/>
              <w:right w:w="15" w:type="dxa"/>
            </w:tcMar>
            <w:vAlign w:val="center"/>
          </w:tcPr>
          <w:p w14:paraId="7324A1F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25C0142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综合部</w:t>
            </w:r>
          </w:p>
        </w:tc>
        <w:tc>
          <w:tcPr>
            <w:tcW w:w="497" w:type="pct"/>
            <w:tcMar>
              <w:top w:w="15" w:type="dxa"/>
              <w:left w:w="15" w:type="dxa"/>
              <w:right w:w="15" w:type="dxa"/>
            </w:tcMar>
            <w:vAlign w:val="center"/>
          </w:tcPr>
          <w:p w14:paraId="7E6E559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00450DF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5D777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13C21664">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2A42889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绝缘手套</w:t>
            </w:r>
          </w:p>
        </w:tc>
        <w:tc>
          <w:tcPr>
            <w:tcW w:w="428" w:type="pct"/>
            <w:tcMar>
              <w:top w:w="15" w:type="dxa"/>
              <w:left w:w="15" w:type="dxa"/>
              <w:right w:w="15" w:type="dxa"/>
            </w:tcMar>
            <w:vAlign w:val="center"/>
          </w:tcPr>
          <w:p w14:paraId="6C5C23E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w:t>
            </w:r>
          </w:p>
        </w:tc>
        <w:tc>
          <w:tcPr>
            <w:tcW w:w="421" w:type="pct"/>
            <w:tcMar>
              <w:top w:w="15" w:type="dxa"/>
              <w:left w:w="15" w:type="dxa"/>
              <w:right w:w="15" w:type="dxa"/>
            </w:tcMar>
            <w:vAlign w:val="center"/>
          </w:tcPr>
          <w:p w14:paraId="648BCD9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双</w:t>
            </w:r>
          </w:p>
        </w:tc>
        <w:tc>
          <w:tcPr>
            <w:tcW w:w="498" w:type="pct"/>
            <w:tcMar>
              <w:top w:w="15" w:type="dxa"/>
              <w:left w:w="15" w:type="dxa"/>
              <w:right w:w="15" w:type="dxa"/>
            </w:tcMar>
            <w:vAlign w:val="center"/>
          </w:tcPr>
          <w:p w14:paraId="7D8C0F2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2E1BDFC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配电室</w:t>
            </w:r>
          </w:p>
        </w:tc>
        <w:tc>
          <w:tcPr>
            <w:tcW w:w="497" w:type="pct"/>
            <w:tcMar>
              <w:top w:w="15" w:type="dxa"/>
              <w:left w:w="15" w:type="dxa"/>
              <w:right w:w="15" w:type="dxa"/>
            </w:tcMar>
            <w:vAlign w:val="center"/>
          </w:tcPr>
          <w:p w14:paraId="34A2017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01D80DC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0663C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639302AE">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42E96EA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绝缘鞋</w:t>
            </w:r>
          </w:p>
        </w:tc>
        <w:tc>
          <w:tcPr>
            <w:tcW w:w="428" w:type="pct"/>
            <w:tcMar>
              <w:top w:w="15" w:type="dxa"/>
              <w:left w:w="15" w:type="dxa"/>
              <w:right w:w="15" w:type="dxa"/>
            </w:tcMar>
            <w:vAlign w:val="center"/>
          </w:tcPr>
          <w:p w14:paraId="1E7624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w:t>
            </w:r>
          </w:p>
        </w:tc>
        <w:tc>
          <w:tcPr>
            <w:tcW w:w="421" w:type="pct"/>
            <w:tcMar>
              <w:top w:w="15" w:type="dxa"/>
              <w:left w:w="15" w:type="dxa"/>
              <w:right w:w="15" w:type="dxa"/>
            </w:tcMar>
            <w:vAlign w:val="center"/>
          </w:tcPr>
          <w:p w14:paraId="5F0A8A2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双</w:t>
            </w:r>
          </w:p>
        </w:tc>
        <w:tc>
          <w:tcPr>
            <w:tcW w:w="498" w:type="pct"/>
            <w:tcMar>
              <w:top w:w="15" w:type="dxa"/>
              <w:left w:w="15" w:type="dxa"/>
              <w:right w:w="15" w:type="dxa"/>
            </w:tcMar>
            <w:vAlign w:val="center"/>
          </w:tcPr>
          <w:p w14:paraId="6A02806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4693A51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配电室</w:t>
            </w:r>
          </w:p>
        </w:tc>
        <w:tc>
          <w:tcPr>
            <w:tcW w:w="497" w:type="pct"/>
            <w:tcMar>
              <w:top w:w="15" w:type="dxa"/>
              <w:left w:w="15" w:type="dxa"/>
              <w:right w:w="15" w:type="dxa"/>
            </w:tcMar>
            <w:vAlign w:val="center"/>
          </w:tcPr>
          <w:p w14:paraId="7AACF6C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78CB65D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15716525387</w:t>
            </w:r>
          </w:p>
        </w:tc>
      </w:tr>
      <w:tr w14:paraId="1C9AA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29DA4360">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511A865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default" w:ascii="宋体" w:hAnsi="宋体" w:eastAsia="宋体" w:cs="宋体"/>
                <w:sz w:val="21"/>
                <w:szCs w:val="21"/>
                <w:highlight w:val="none"/>
                <w:lang w:val="en-US" w:eastAsia="zh-CN"/>
              </w:rPr>
            </w:pPr>
            <w:r>
              <w:rPr>
                <w:rFonts w:hint="eastAsia" w:asciiTheme="minorEastAsia" w:hAnsiTheme="minorEastAsia" w:eastAsiaTheme="minorEastAsia" w:cstheme="minorEastAsia"/>
                <w:sz w:val="21"/>
                <w:szCs w:val="21"/>
                <w:lang w:val="en-US" w:eastAsia="zh-CN"/>
              </w:rPr>
              <w:t>正压长管式呼吸器</w:t>
            </w:r>
          </w:p>
        </w:tc>
        <w:tc>
          <w:tcPr>
            <w:tcW w:w="428" w:type="pct"/>
            <w:tcMar>
              <w:top w:w="15" w:type="dxa"/>
              <w:left w:w="15" w:type="dxa"/>
              <w:right w:w="15" w:type="dxa"/>
            </w:tcMar>
            <w:vAlign w:val="center"/>
          </w:tcPr>
          <w:p w14:paraId="5C73FD0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w:t>
            </w:r>
          </w:p>
        </w:tc>
        <w:tc>
          <w:tcPr>
            <w:tcW w:w="421" w:type="pct"/>
            <w:tcMar>
              <w:top w:w="15" w:type="dxa"/>
              <w:left w:w="15" w:type="dxa"/>
              <w:right w:w="15" w:type="dxa"/>
            </w:tcMar>
            <w:vAlign w:val="center"/>
          </w:tcPr>
          <w:p w14:paraId="4CC7FBF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套</w:t>
            </w:r>
          </w:p>
        </w:tc>
        <w:tc>
          <w:tcPr>
            <w:tcW w:w="498" w:type="pct"/>
            <w:tcMar>
              <w:top w:w="15" w:type="dxa"/>
              <w:left w:w="15" w:type="dxa"/>
              <w:right w:w="15" w:type="dxa"/>
            </w:tcMar>
            <w:vAlign w:val="center"/>
          </w:tcPr>
          <w:p w14:paraId="61E8DA0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0C1C669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3A01EBD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2D41B87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15716525387</w:t>
            </w:r>
          </w:p>
        </w:tc>
      </w:tr>
      <w:tr w14:paraId="272BE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7EE7A174">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4A82D9C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防噪耳塞</w:t>
            </w:r>
          </w:p>
        </w:tc>
        <w:tc>
          <w:tcPr>
            <w:tcW w:w="428" w:type="pct"/>
            <w:tcMar>
              <w:top w:w="15" w:type="dxa"/>
              <w:left w:w="15" w:type="dxa"/>
              <w:right w:w="15" w:type="dxa"/>
            </w:tcMar>
            <w:vAlign w:val="center"/>
          </w:tcPr>
          <w:p w14:paraId="779F118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100</w:t>
            </w:r>
          </w:p>
        </w:tc>
        <w:tc>
          <w:tcPr>
            <w:tcW w:w="421" w:type="pct"/>
            <w:tcMar>
              <w:top w:w="15" w:type="dxa"/>
              <w:left w:w="15" w:type="dxa"/>
              <w:right w:w="15" w:type="dxa"/>
            </w:tcMar>
            <w:vAlign w:val="center"/>
          </w:tcPr>
          <w:p w14:paraId="5DE7DD1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付</w:t>
            </w:r>
          </w:p>
        </w:tc>
        <w:tc>
          <w:tcPr>
            <w:tcW w:w="498" w:type="pct"/>
            <w:tcMar>
              <w:top w:w="15" w:type="dxa"/>
              <w:left w:w="15" w:type="dxa"/>
              <w:right w:w="15" w:type="dxa"/>
            </w:tcMar>
            <w:vAlign w:val="center"/>
          </w:tcPr>
          <w:p w14:paraId="5AB8A2F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1609F57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29B6D04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7109FBF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15716525387</w:t>
            </w:r>
          </w:p>
        </w:tc>
      </w:tr>
      <w:tr w14:paraId="4C4F5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11C24A42">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73384B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cs="宋体"/>
                <w:kern w:val="0"/>
                <w:sz w:val="20"/>
                <w:szCs w:val="20"/>
              </w:rPr>
              <w:t>消火栓</w:t>
            </w:r>
          </w:p>
        </w:tc>
        <w:tc>
          <w:tcPr>
            <w:tcW w:w="428" w:type="pct"/>
            <w:tcMar>
              <w:top w:w="15" w:type="dxa"/>
              <w:left w:w="15" w:type="dxa"/>
              <w:right w:w="15" w:type="dxa"/>
            </w:tcMar>
            <w:vAlign w:val="center"/>
          </w:tcPr>
          <w:p w14:paraId="6C8D7E9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46</w:t>
            </w:r>
          </w:p>
        </w:tc>
        <w:tc>
          <w:tcPr>
            <w:tcW w:w="421" w:type="pct"/>
            <w:tcMar>
              <w:top w:w="15" w:type="dxa"/>
              <w:left w:w="15" w:type="dxa"/>
              <w:right w:w="15" w:type="dxa"/>
            </w:tcMar>
            <w:vAlign w:val="center"/>
          </w:tcPr>
          <w:p w14:paraId="2B88CF6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个</w:t>
            </w:r>
          </w:p>
        </w:tc>
        <w:tc>
          <w:tcPr>
            <w:tcW w:w="498" w:type="pct"/>
            <w:tcMar>
              <w:top w:w="15" w:type="dxa"/>
              <w:left w:w="15" w:type="dxa"/>
              <w:right w:w="15" w:type="dxa"/>
            </w:tcMar>
            <w:vAlign w:val="center"/>
          </w:tcPr>
          <w:p w14:paraId="473D558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35DF615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厂区</w:t>
            </w:r>
          </w:p>
        </w:tc>
        <w:tc>
          <w:tcPr>
            <w:tcW w:w="497" w:type="pct"/>
            <w:tcMar>
              <w:top w:w="15" w:type="dxa"/>
              <w:left w:w="15" w:type="dxa"/>
              <w:right w:w="15" w:type="dxa"/>
            </w:tcMar>
            <w:vAlign w:val="center"/>
          </w:tcPr>
          <w:p w14:paraId="05345FD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24BC700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15716525387</w:t>
            </w:r>
          </w:p>
        </w:tc>
      </w:tr>
      <w:tr w14:paraId="79EEF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6" w:hRule="atLeast"/>
          <w:jc w:val="center"/>
        </w:trPr>
        <w:tc>
          <w:tcPr>
            <w:tcW w:w="384" w:type="pct"/>
            <w:tcMar>
              <w:top w:w="15" w:type="dxa"/>
              <w:left w:w="15" w:type="dxa"/>
              <w:right w:w="15" w:type="dxa"/>
            </w:tcMar>
            <w:vAlign w:val="center"/>
          </w:tcPr>
          <w:p w14:paraId="272D4402">
            <w:pPr>
              <w:keepNext w:val="0"/>
              <w:keepLines w:val="0"/>
              <w:pageBreakBefore w:val="0"/>
              <w:widowControl w:val="0"/>
              <w:numPr>
                <w:ilvl w:val="0"/>
                <w:numId w:val="36"/>
              </w:numPr>
              <w:suppressLineNumbers w:val="0"/>
              <w:tabs>
                <w:tab w:val="clear" w:pos="0"/>
              </w:tabs>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rPr>
            </w:pPr>
          </w:p>
        </w:tc>
        <w:tc>
          <w:tcPr>
            <w:tcW w:w="1029" w:type="pct"/>
            <w:tcMar>
              <w:top w:w="15" w:type="dxa"/>
              <w:left w:w="15" w:type="dxa"/>
              <w:right w:w="15" w:type="dxa"/>
            </w:tcMar>
            <w:vAlign w:val="center"/>
          </w:tcPr>
          <w:p w14:paraId="08ACBA5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jc w:val="center"/>
              <w:textAlignment w:val="center"/>
              <w:rPr>
                <w:rFonts w:hint="eastAsia" w:ascii="宋体" w:hAnsi="宋体" w:eastAsia="宋体" w:cs="宋体"/>
                <w:sz w:val="21"/>
                <w:szCs w:val="21"/>
                <w:highlight w:val="none"/>
                <w:lang w:val="en-US" w:eastAsia="zh-CN"/>
              </w:rPr>
            </w:pPr>
            <w:r>
              <w:rPr>
                <w:rFonts w:hint="eastAsia" w:asciiTheme="minorEastAsia" w:hAnsiTheme="minorEastAsia" w:eastAsiaTheme="minorEastAsia" w:cstheme="minorEastAsia"/>
                <w:sz w:val="21"/>
                <w:szCs w:val="21"/>
                <w:lang w:val="en-US" w:eastAsia="zh-CN"/>
              </w:rPr>
              <w:t>警示隔离带</w:t>
            </w:r>
          </w:p>
        </w:tc>
        <w:tc>
          <w:tcPr>
            <w:tcW w:w="428" w:type="pct"/>
            <w:tcMar>
              <w:top w:w="15" w:type="dxa"/>
              <w:left w:w="15" w:type="dxa"/>
              <w:right w:w="15" w:type="dxa"/>
            </w:tcMar>
            <w:vAlign w:val="center"/>
          </w:tcPr>
          <w:p w14:paraId="6EE4AB5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w:t>
            </w:r>
          </w:p>
        </w:tc>
        <w:tc>
          <w:tcPr>
            <w:tcW w:w="421" w:type="pct"/>
            <w:tcMar>
              <w:top w:w="15" w:type="dxa"/>
              <w:left w:w="15" w:type="dxa"/>
              <w:right w:w="15" w:type="dxa"/>
            </w:tcMar>
            <w:vAlign w:val="center"/>
          </w:tcPr>
          <w:p w14:paraId="548146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条</w:t>
            </w:r>
          </w:p>
        </w:tc>
        <w:tc>
          <w:tcPr>
            <w:tcW w:w="498" w:type="pct"/>
            <w:tcMar>
              <w:top w:w="15" w:type="dxa"/>
              <w:left w:w="15" w:type="dxa"/>
              <w:right w:w="15" w:type="dxa"/>
            </w:tcMar>
            <w:vAlign w:val="center"/>
          </w:tcPr>
          <w:p w14:paraId="0A8435D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有效</w:t>
            </w:r>
          </w:p>
        </w:tc>
        <w:tc>
          <w:tcPr>
            <w:tcW w:w="795" w:type="pct"/>
            <w:tcMar>
              <w:top w:w="15" w:type="dxa"/>
              <w:left w:w="15" w:type="dxa"/>
              <w:right w:w="15" w:type="dxa"/>
            </w:tcMar>
            <w:vAlign w:val="center"/>
          </w:tcPr>
          <w:p w14:paraId="0B1D49E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仓库</w:t>
            </w:r>
          </w:p>
        </w:tc>
        <w:tc>
          <w:tcPr>
            <w:tcW w:w="497" w:type="pct"/>
            <w:tcMar>
              <w:top w:w="15" w:type="dxa"/>
              <w:left w:w="15" w:type="dxa"/>
              <w:right w:w="15" w:type="dxa"/>
            </w:tcMar>
            <w:vAlign w:val="center"/>
          </w:tcPr>
          <w:p w14:paraId="420004B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张翊盟</w:t>
            </w:r>
          </w:p>
        </w:tc>
        <w:tc>
          <w:tcPr>
            <w:tcW w:w="944" w:type="pct"/>
            <w:tcMar>
              <w:top w:w="15" w:type="dxa"/>
              <w:left w:w="15" w:type="dxa"/>
              <w:right w:w="15" w:type="dxa"/>
            </w:tcMar>
            <w:vAlign w:val="center"/>
          </w:tcPr>
          <w:p w14:paraId="198669E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center"/>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val="en-US" w:eastAsia="zh-CN"/>
              </w:rPr>
              <w:t>15716525387</w:t>
            </w:r>
          </w:p>
        </w:tc>
      </w:tr>
    </w:tbl>
    <w:p w14:paraId="519AD0FE">
      <w:pPr>
        <w:pStyle w:val="4"/>
        <w:keepNext w:val="0"/>
        <w:keepLines w:val="0"/>
        <w:pageBreakBefore w:val="0"/>
        <w:widowControl w:val="0"/>
        <w:kinsoku/>
        <w:bidi w:val="0"/>
        <w:rPr>
          <w:lang w:val="en-US" w:eastAsia="zh-CN"/>
        </w:rPr>
      </w:pPr>
      <w:bookmarkStart w:id="429" w:name="_Toc32661"/>
      <w:bookmarkStart w:id="430" w:name="_Toc7806"/>
      <w:bookmarkStart w:id="431" w:name="_Toc4122"/>
      <w:r>
        <w:rPr>
          <w:lang w:val="en-US" w:eastAsia="zh-CN"/>
        </w:rPr>
        <w:t>工伤保险与劳动防护</w:t>
      </w:r>
      <w:bookmarkEnd w:id="429"/>
      <w:bookmarkEnd w:id="430"/>
      <w:bookmarkEnd w:id="431"/>
    </w:p>
    <w:p w14:paraId="1D119325">
      <w:pPr>
        <w:bidi w:val="0"/>
      </w:pPr>
      <w:r>
        <w:rPr>
          <w:rFonts w:hint="eastAsia"/>
        </w:rPr>
        <w:t>该</w:t>
      </w:r>
      <w:r>
        <w:t>公司为从业人员购买</w:t>
      </w:r>
      <w:r>
        <w:rPr>
          <w:rFonts w:hint="eastAsia"/>
        </w:rPr>
        <w:t>了</w:t>
      </w:r>
      <w:r>
        <w:t>工伤保险</w:t>
      </w:r>
      <w:r>
        <w:rPr>
          <w:rFonts w:hint="eastAsia"/>
          <w:lang w:eastAsia="zh-CN"/>
        </w:rPr>
        <w:t>（</w:t>
      </w:r>
      <w:r>
        <w:rPr>
          <w:rFonts w:hint="eastAsia"/>
          <w:lang w:val="en-US" w:eastAsia="zh-CN"/>
        </w:rPr>
        <w:t>见附件32）</w:t>
      </w:r>
      <w:r>
        <w:rPr>
          <w:rFonts w:hint="eastAsia"/>
          <w:lang w:eastAsia="zh-CN"/>
        </w:rPr>
        <w:t>，</w:t>
      </w:r>
      <w:r>
        <w:rPr>
          <w:rFonts w:hint="eastAsia"/>
          <w:lang w:val="en-US" w:eastAsia="zh-CN"/>
        </w:rPr>
        <w:t>并</w:t>
      </w:r>
      <w:r>
        <w:t>按要求为作业人员配置了安全帽、</w:t>
      </w:r>
      <w:r>
        <w:rPr>
          <w:rFonts w:hint="eastAsia"/>
          <w:lang w:val="en-US" w:eastAsia="zh-CN"/>
        </w:rPr>
        <w:t>防尘</w:t>
      </w:r>
      <w:r>
        <w:t>口罩</w:t>
      </w:r>
      <w:r>
        <w:rPr>
          <w:rFonts w:hint="eastAsia"/>
          <w:lang w:eastAsia="zh-CN"/>
        </w:rPr>
        <w:t>、</w:t>
      </w:r>
      <w:r>
        <w:rPr>
          <w:rFonts w:hint="eastAsia"/>
          <w:lang w:val="en-US" w:eastAsia="zh-CN"/>
        </w:rPr>
        <w:t>防护眼镜、</w:t>
      </w:r>
      <w:r>
        <w:t>工作服、防护手套、</w:t>
      </w:r>
      <w:r>
        <w:rPr>
          <w:rFonts w:hint="eastAsia"/>
          <w:lang w:val="en-US" w:eastAsia="zh-CN"/>
        </w:rPr>
        <w:t>防护鞋</w:t>
      </w:r>
      <w:r>
        <w:t>等劳动防护用品。劳动防护用品发放记录见附件</w:t>
      </w:r>
      <w:r>
        <w:rPr>
          <w:rFonts w:hint="eastAsia"/>
          <w:lang w:val="en-US" w:eastAsia="zh-CN"/>
        </w:rPr>
        <w:t>33</w:t>
      </w:r>
      <w:r>
        <w:rPr>
          <w:rFonts w:hint="eastAsia"/>
        </w:rPr>
        <w:t>。</w:t>
      </w:r>
    </w:p>
    <w:p w14:paraId="7A7938A7">
      <w:pPr>
        <w:pStyle w:val="4"/>
        <w:bidi w:val="0"/>
        <w:rPr>
          <w:lang w:val="en-US" w:eastAsia="zh-CN"/>
        </w:rPr>
      </w:pPr>
      <w:bookmarkStart w:id="432" w:name="_Toc17012"/>
      <w:bookmarkStart w:id="433" w:name="_Toc30552"/>
      <w:bookmarkStart w:id="434" w:name="_Toc17482"/>
      <w:r>
        <w:rPr>
          <w:rFonts w:hint="eastAsia"/>
          <w:lang w:val="en-US" w:eastAsia="zh-CN"/>
        </w:rPr>
        <w:t>安全投入</w:t>
      </w:r>
      <w:bookmarkEnd w:id="432"/>
      <w:bookmarkEnd w:id="433"/>
      <w:bookmarkEnd w:id="434"/>
    </w:p>
    <w:p w14:paraId="31DAE433">
      <w:pPr>
        <w:bidi w:val="0"/>
        <w:rPr>
          <w:rFonts w:hint="eastAsia"/>
        </w:rPr>
      </w:pPr>
      <w:bookmarkStart w:id="435" w:name="_Toc60925345"/>
      <w:bookmarkStart w:id="436" w:name="_Toc55945239"/>
      <w:bookmarkStart w:id="437" w:name="_Toc55567392"/>
      <w:bookmarkStart w:id="438" w:name="_Toc55033329"/>
      <w:r>
        <w:rPr>
          <w:rFonts w:hint="eastAsia"/>
          <w:lang w:eastAsia="zh-CN"/>
        </w:rPr>
        <w:t>云南东锆新材料有限公司年产3万吨电熔氧化锆陶瓷产业基地建设项目</w:t>
      </w:r>
      <w:r>
        <w:t>总投资</w:t>
      </w:r>
      <w:r>
        <w:rPr>
          <w:rFonts w:hint="eastAsia"/>
          <w:lang w:val="en-US" w:eastAsia="zh-CN"/>
        </w:rPr>
        <w:t>69796.30</w:t>
      </w:r>
      <w:r>
        <w:t>万元，</w:t>
      </w:r>
      <w:r>
        <w:rPr>
          <w:rFonts w:hint="eastAsia"/>
          <w:lang w:val="en-US" w:eastAsia="zh-CN"/>
        </w:rPr>
        <w:t>安全设施专项投资概算为</w:t>
      </w:r>
      <w:r>
        <w:rPr>
          <w:rFonts w:hint="default"/>
          <w:lang w:val="en-US" w:eastAsia="zh-CN"/>
        </w:rPr>
        <w:t>1668.224</w:t>
      </w:r>
      <w:r>
        <w:rPr>
          <w:rFonts w:hint="eastAsia"/>
          <w:lang w:val="en-US" w:eastAsia="zh-CN"/>
        </w:rPr>
        <w:t>万元。其中一期建设项目</w:t>
      </w:r>
      <w:r>
        <w:t>投资</w:t>
      </w:r>
      <w:r>
        <w:rPr>
          <w:rFonts w:hint="eastAsia"/>
          <w:lang w:val="en-US" w:eastAsia="zh-CN"/>
        </w:rPr>
        <w:t>金额8268.87</w:t>
      </w:r>
      <w:r>
        <w:t>万元</w:t>
      </w:r>
      <w:r>
        <w:t>，安全设施投资</w:t>
      </w:r>
      <w:r>
        <w:rPr>
          <w:rFonts w:hint="eastAsia"/>
        </w:rPr>
        <w:t>1146.964</w:t>
      </w:r>
      <w:r>
        <w:t>万元</w:t>
      </w:r>
      <w:bookmarkEnd w:id="435"/>
      <w:bookmarkEnd w:id="436"/>
      <w:bookmarkStart w:id="439" w:name="_Toc60925346"/>
      <w:bookmarkStart w:id="440" w:name="_Toc55945240"/>
      <w:bookmarkStart w:id="441" w:name="_Toc24517"/>
      <w:bookmarkStart w:id="442" w:name="_Toc29360"/>
      <w:r>
        <w:rPr>
          <w:rFonts w:hint="eastAsia"/>
          <w:lang w:eastAsia="zh-CN"/>
        </w:rPr>
        <w:t>，</w:t>
      </w:r>
      <w:r>
        <w:rPr>
          <w:rFonts w:hint="eastAsia"/>
          <w:lang w:val="en-US" w:eastAsia="zh-CN"/>
        </w:rPr>
        <w:t>占投资额的13.87%。</w:t>
      </w:r>
      <w:r>
        <w:rPr>
          <w:rFonts w:hint="eastAsia"/>
        </w:rPr>
        <w:t>主要</w:t>
      </w:r>
      <w:r>
        <w:rPr>
          <w:rFonts w:hint="eastAsia"/>
          <w:lang w:val="en-US" w:eastAsia="zh-CN"/>
        </w:rPr>
        <w:t>采用的</w:t>
      </w:r>
      <w:r>
        <w:rPr>
          <w:rFonts w:hint="eastAsia"/>
        </w:rPr>
        <w:t>安全设施如下表所示。</w:t>
      </w:r>
    </w:p>
    <w:p w14:paraId="0E197329">
      <w:pPr>
        <w:keepNext w:val="0"/>
        <w:keepLines w:val="0"/>
        <w:pageBreakBefore w:val="0"/>
        <w:widowControl w:val="0"/>
        <w:numPr>
          <w:ilvl w:val="0"/>
          <w:numId w:val="0"/>
        </w:numPr>
        <w:kinsoku/>
        <w:wordWrap/>
        <w:topLinePunct/>
        <w:bidi w:val="0"/>
        <w:ind w:left="0" w:leftChars="0" w:right="0" w:rightChars="0" w:firstLine="0" w:firstLineChars="0"/>
        <w:jc w:val="center"/>
        <w:rPr>
          <w:rFonts w:hint="eastAsia" w:ascii="Times New Roman" w:hAnsi="Times New Roman" w:eastAsia="宋体" w:cs="Times New Roman"/>
          <w:b/>
          <w:bCs w:val="0"/>
          <w:spacing w:val="8"/>
          <w:sz w:val="24"/>
        </w:rPr>
      </w:pPr>
      <w:bookmarkStart w:id="443" w:name="_Toc55464964"/>
      <w:r>
        <w:rPr>
          <w:rFonts w:hint="eastAsia" w:ascii="Times New Roman" w:hAnsi="Times New Roman" w:eastAsia="宋体" w:cs="Times New Roman"/>
          <w:b/>
          <w:bCs w:val="0"/>
          <w:spacing w:val="8"/>
          <w:sz w:val="24"/>
          <w:lang w:val="en-US" w:eastAsia="zh-CN"/>
        </w:rPr>
        <w:t>表</w:t>
      </w:r>
      <w:r>
        <w:rPr>
          <w:rFonts w:hint="eastAsia" w:ascii="Times New Roman" w:hAnsi="Times New Roman" w:eastAsia="宋体" w:cs="Times New Roman"/>
          <w:b/>
          <w:bCs w:val="0"/>
          <w:spacing w:val="8"/>
          <w:sz w:val="24"/>
          <w:lang w:val="en-US" w:eastAsia="zh-CN"/>
        </w:rPr>
        <w:fldChar w:fldCharType="begin"/>
      </w:r>
      <w:r>
        <w:rPr>
          <w:rFonts w:hint="eastAsia" w:ascii="Times New Roman" w:hAnsi="Times New Roman" w:eastAsia="宋体" w:cs="Times New Roman"/>
          <w:b/>
          <w:bCs w:val="0"/>
          <w:spacing w:val="8"/>
          <w:sz w:val="24"/>
          <w:lang w:val="en-US" w:eastAsia="zh-CN"/>
        </w:rPr>
        <w:instrText xml:space="preserve"> STYLEREF 1 \s </w:instrText>
      </w:r>
      <w:r>
        <w:rPr>
          <w:rFonts w:hint="eastAsia" w:ascii="Times New Roman" w:hAnsi="Times New Roman" w:eastAsia="宋体" w:cs="Times New Roman"/>
          <w:b/>
          <w:bCs w:val="0"/>
          <w:spacing w:val="8"/>
          <w:sz w:val="24"/>
          <w:lang w:val="en-US" w:eastAsia="zh-CN"/>
        </w:rPr>
        <w:fldChar w:fldCharType="separate"/>
      </w:r>
      <w:r>
        <w:rPr>
          <w:rFonts w:hint="eastAsia" w:ascii="Times New Roman" w:hAnsi="Times New Roman" w:eastAsia="宋体" w:cs="Times New Roman"/>
          <w:b/>
          <w:bCs w:val="0"/>
          <w:spacing w:val="8"/>
          <w:sz w:val="24"/>
          <w:lang w:val="en-US" w:eastAsia="zh-CN"/>
        </w:rPr>
        <w:t>2</w:t>
      </w:r>
      <w:r>
        <w:rPr>
          <w:rFonts w:hint="eastAsia" w:ascii="Times New Roman" w:hAnsi="Times New Roman" w:eastAsia="宋体" w:cs="Times New Roman"/>
          <w:b/>
          <w:bCs w:val="0"/>
          <w:spacing w:val="8"/>
          <w:sz w:val="24"/>
          <w:lang w:val="en-US" w:eastAsia="zh-CN"/>
        </w:rPr>
        <w:fldChar w:fldCharType="end"/>
      </w:r>
      <w:r>
        <w:rPr>
          <w:rFonts w:hint="eastAsia" w:ascii="Times New Roman" w:hAnsi="Times New Roman" w:eastAsia="宋体" w:cs="Times New Roman"/>
          <w:b/>
          <w:bCs w:val="0"/>
          <w:spacing w:val="8"/>
          <w:sz w:val="24"/>
          <w:lang w:val="en-US" w:eastAsia="zh-CN"/>
        </w:rPr>
        <w:t>-</w:t>
      </w:r>
      <w:r>
        <w:rPr>
          <w:rFonts w:hint="eastAsia" w:ascii="Times New Roman" w:hAnsi="Times New Roman" w:eastAsia="宋体" w:cs="Times New Roman"/>
          <w:b/>
          <w:bCs w:val="0"/>
          <w:spacing w:val="8"/>
          <w:sz w:val="24"/>
          <w:lang w:val="en-US" w:eastAsia="zh-CN"/>
        </w:rPr>
        <w:fldChar w:fldCharType="begin"/>
      </w:r>
      <w:r>
        <w:rPr>
          <w:rFonts w:hint="eastAsia" w:ascii="Times New Roman" w:hAnsi="Times New Roman" w:eastAsia="宋体" w:cs="Times New Roman"/>
          <w:b/>
          <w:bCs w:val="0"/>
          <w:spacing w:val="8"/>
          <w:sz w:val="24"/>
          <w:lang w:val="en-US" w:eastAsia="zh-CN"/>
        </w:rPr>
        <w:instrText xml:space="preserve"> SEQ 表 \* ARABIC \s 1 </w:instrText>
      </w:r>
      <w:r>
        <w:rPr>
          <w:rFonts w:hint="eastAsia" w:ascii="Times New Roman" w:hAnsi="Times New Roman" w:eastAsia="宋体" w:cs="Times New Roman"/>
          <w:b/>
          <w:bCs w:val="0"/>
          <w:spacing w:val="8"/>
          <w:sz w:val="24"/>
          <w:lang w:val="en-US" w:eastAsia="zh-CN"/>
        </w:rPr>
        <w:fldChar w:fldCharType="separate"/>
      </w:r>
      <w:r>
        <w:rPr>
          <w:rFonts w:hint="eastAsia" w:ascii="Times New Roman" w:hAnsi="Times New Roman" w:eastAsia="宋体" w:cs="Times New Roman"/>
          <w:b/>
          <w:bCs w:val="0"/>
          <w:spacing w:val="8"/>
          <w:sz w:val="24"/>
          <w:lang w:val="en-US" w:eastAsia="zh-CN"/>
        </w:rPr>
        <w:t>19</w:t>
      </w:r>
      <w:r>
        <w:rPr>
          <w:rFonts w:hint="eastAsia" w:ascii="Times New Roman" w:hAnsi="Times New Roman" w:eastAsia="宋体" w:cs="Times New Roman"/>
          <w:b/>
          <w:bCs w:val="0"/>
          <w:spacing w:val="8"/>
          <w:sz w:val="24"/>
          <w:lang w:val="en-US" w:eastAsia="zh-CN"/>
        </w:rPr>
        <w:fldChar w:fldCharType="end"/>
      </w:r>
      <w:r>
        <w:rPr>
          <w:rFonts w:hint="eastAsia" w:ascii="Times New Roman" w:hAnsi="Times New Roman" w:eastAsia="宋体" w:cs="Times New Roman"/>
          <w:b/>
          <w:bCs w:val="0"/>
          <w:spacing w:val="8"/>
          <w:sz w:val="24"/>
        </w:rPr>
        <w:t>主要安全设施一览表</w:t>
      </w:r>
      <w:bookmarkEnd w:id="443"/>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 w:type="dxa"/>
          <w:bottom w:w="0" w:type="dxa"/>
          <w:right w:w="10" w:type="dxa"/>
        </w:tblCellMar>
      </w:tblPr>
      <w:tblGrid>
        <w:gridCol w:w="473"/>
        <w:gridCol w:w="3507"/>
        <w:gridCol w:w="871"/>
        <w:gridCol w:w="876"/>
        <w:gridCol w:w="1282"/>
        <w:gridCol w:w="1315"/>
      </w:tblGrid>
      <w:tr w14:paraId="17F678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57" w:hRule="exact"/>
          <w:jc w:val="center"/>
        </w:trPr>
        <w:tc>
          <w:tcPr>
            <w:tcW w:w="284" w:type="pct"/>
            <w:tcBorders>
              <w:tl2br w:val="nil"/>
              <w:tr2bl w:val="nil"/>
            </w:tcBorders>
            <w:shd w:val="clear" w:color="auto" w:fill="auto"/>
            <w:vAlign w:val="center"/>
          </w:tcPr>
          <w:p w14:paraId="316F1C6E">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shd w:val="clear" w:color="auto" w:fill="auto"/>
              </w:rPr>
              <w:t>序号</w:t>
            </w:r>
          </w:p>
        </w:tc>
        <w:tc>
          <w:tcPr>
            <w:tcW w:w="2106" w:type="pct"/>
            <w:tcBorders>
              <w:tl2br w:val="nil"/>
              <w:tr2bl w:val="nil"/>
            </w:tcBorders>
            <w:shd w:val="clear" w:color="auto" w:fill="auto"/>
            <w:vAlign w:val="center"/>
          </w:tcPr>
          <w:p w14:paraId="41132049">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shd w:val="clear" w:color="auto" w:fill="auto"/>
              </w:rPr>
              <w:t>名称</w:t>
            </w:r>
          </w:p>
        </w:tc>
        <w:tc>
          <w:tcPr>
            <w:tcW w:w="523" w:type="pct"/>
            <w:tcBorders>
              <w:tl2br w:val="nil"/>
              <w:tr2bl w:val="nil"/>
            </w:tcBorders>
            <w:shd w:val="clear" w:color="auto" w:fill="auto"/>
            <w:vAlign w:val="center"/>
          </w:tcPr>
          <w:p w14:paraId="2D82D95F">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cs="宋体"/>
                <w:color w:val="000000"/>
                <w:spacing w:val="0"/>
                <w:w w:val="100"/>
                <w:position w:val="0"/>
                <w:sz w:val="21"/>
                <w:szCs w:val="21"/>
                <w:shd w:val="clear" w:color="auto" w:fill="auto"/>
                <w:lang w:val="en-US" w:eastAsia="zh-CN"/>
              </w:rPr>
              <w:t>单位</w:t>
            </w:r>
          </w:p>
        </w:tc>
        <w:tc>
          <w:tcPr>
            <w:tcW w:w="526" w:type="pct"/>
            <w:tcBorders>
              <w:tl2br w:val="nil"/>
              <w:tr2bl w:val="nil"/>
            </w:tcBorders>
            <w:shd w:val="clear" w:color="auto" w:fill="auto"/>
            <w:vAlign w:val="center"/>
          </w:tcPr>
          <w:p w14:paraId="46DF35B5">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pacing w:val="0"/>
                <w:w w:val="100"/>
                <w:position w:val="0"/>
                <w:sz w:val="21"/>
                <w:szCs w:val="21"/>
                <w:shd w:val="clear" w:color="auto" w:fill="auto"/>
              </w:rPr>
              <w:t>数量</w:t>
            </w:r>
          </w:p>
        </w:tc>
        <w:tc>
          <w:tcPr>
            <w:tcW w:w="770" w:type="pct"/>
            <w:tcBorders>
              <w:tl2br w:val="nil"/>
              <w:tr2bl w:val="nil"/>
            </w:tcBorders>
            <w:shd w:val="clear" w:color="auto" w:fill="auto"/>
            <w:vAlign w:val="center"/>
          </w:tcPr>
          <w:p w14:paraId="0E453466">
            <w:pPr>
              <w:pStyle w:val="46"/>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color w:val="auto"/>
                <w:sz w:val="21"/>
                <w:szCs w:val="21"/>
              </w:rPr>
              <w:t>投资（万元）</w:t>
            </w:r>
          </w:p>
        </w:tc>
        <w:tc>
          <w:tcPr>
            <w:tcW w:w="789" w:type="pct"/>
            <w:tcBorders>
              <w:tl2br w:val="nil"/>
              <w:tr2bl w:val="nil"/>
            </w:tcBorders>
            <w:shd w:val="clear" w:color="auto" w:fill="auto"/>
            <w:vAlign w:val="center"/>
          </w:tcPr>
          <w:p w14:paraId="288F6990">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shd w:val="clear" w:color="auto" w:fill="auto"/>
              </w:rPr>
            </w:pPr>
            <w:r>
              <w:rPr>
                <w:rFonts w:hint="eastAsia" w:ascii="宋体" w:hAnsi="宋体" w:eastAsia="宋体" w:cs="宋体"/>
                <w:color w:val="000000"/>
                <w:spacing w:val="0"/>
                <w:w w:val="100"/>
                <w:position w:val="0"/>
                <w:sz w:val="21"/>
                <w:szCs w:val="21"/>
                <w:shd w:val="clear" w:color="auto" w:fill="auto"/>
              </w:rPr>
              <w:t>备注</w:t>
            </w:r>
          </w:p>
        </w:tc>
      </w:tr>
      <w:tr w14:paraId="4BCD7B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57" w:hRule="exact"/>
          <w:jc w:val="center"/>
        </w:trPr>
        <w:tc>
          <w:tcPr>
            <w:tcW w:w="284" w:type="pct"/>
            <w:tcBorders>
              <w:tl2br w:val="nil"/>
              <w:tr2bl w:val="nil"/>
            </w:tcBorders>
            <w:shd w:val="clear" w:color="auto" w:fill="auto"/>
            <w:vAlign w:val="center"/>
          </w:tcPr>
          <w:p w14:paraId="0BB28DB9">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color w:val="000000"/>
                <w:spacing w:val="0"/>
                <w:w w:val="100"/>
                <w:position w:val="0"/>
                <w:sz w:val="21"/>
                <w:szCs w:val="21"/>
                <w:shd w:val="clear" w:color="auto" w:fill="auto"/>
              </w:rPr>
              <w:t>1</w:t>
            </w:r>
          </w:p>
        </w:tc>
        <w:tc>
          <w:tcPr>
            <w:tcW w:w="3155" w:type="pct"/>
            <w:gridSpan w:val="3"/>
            <w:tcBorders>
              <w:tl2br w:val="nil"/>
              <w:tr2bl w:val="nil"/>
            </w:tcBorders>
            <w:shd w:val="clear" w:color="auto" w:fill="auto"/>
            <w:vAlign w:val="center"/>
          </w:tcPr>
          <w:p w14:paraId="3376C2A3">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pacing w:val="0"/>
                <w:w w:val="100"/>
                <w:position w:val="0"/>
                <w:sz w:val="21"/>
                <w:szCs w:val="21"/>
                <w:shd w:val="clear" w:color="auto" w:fill="auto"/>
              </w:rPr>
            </w:pPr>
            <w:r>
              <w:rPr>
                <w:rFonts w:hint="eastAsia" w:ascii="宋体" w:hAnsi="宋体" w:eastAsia="宋体" w:cs="宋体"/>
                <w:b/>
                <w:bCs/>
                <w:color w:val="000000"/>
                <w:spacing w:val="0"/>
                <w:w w:val="100"/>
                <w:position w:val="0"/>
                <w:sz w:val="21"/>
                <w:szCs w:val="21"/>
                <w:shd w:val="clear" w:color="auto" w:fill="auto"/>
              </w:rPr>
              <w:t>事故预防设施</w:t>
            </w:r>
          </w:p>
        </w:tc>
        <w:tc>
          <w:tcPr>
            <w:tcW w:w="770" w:type="pct"/>
            <w:tcBorders>
              <w:tl2br w:val="nil"/>
              <w:tr2bl w:val="nil"/>
            </w:tcBorders>
            <w:shd w:val="clear" w:color="auto" w:fill="auto"/>
            <w:vAlign w:val="center"/>
          </w:tcPr>
          <w:p w14:paraId="0926A609">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pacing w:val="0"/>
                <w:w w:val="100"/>
                <w:position w:val="0"/>
                <w:sz w:val="21"/>
                <w:szCs w:val="21"/>
                <w:shd w:val="clear" w:color="auto" w:fill="auto"/>
              </w:rPr>
            </w:pPr>
            <w:r>
              <w:rPr>
                <w:rFonts w:hint="eastAsia" w:ascii="宋体" w:hAnsi="宋体" w:eastAsia="宋体" w:cs="宋体"/>
                <w:b/>
                <w:bCs/>
                <w:color w:val="000000"/>
                <w:spacing w:val="0"/>
                <w:w w:val="100"/>
                <w:position w:val="0"/>
                <w:sz w:val="21"/>
                <w:szCs w:val="21"/>
                <w:shd w:val="clear" w:color="auto" w:fill="auto"/>
              </w:rPr>
              <w:t>617.88</w:t>
            </w:r>
          </w:p>
        </w:tc>
        <w:tc>
          <w:tcPr>
            <w:tcW w:w="789" w:type="pct"/>
            <w:tcBorders>
              <w:tl2br w:val="nil"/>
              <w:tr2bl w:val="nil"/>
            </w:tcBorders>
            <w:shd w:val="clear" w:color="auto" w:fill="auto"/>
            <w:vAlign w:val="center"/>
          </w:tcPr>
          <w:p w14:paraId="04863250">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pacing w:val="0"/>
                <w:w w:val="100"/>
                <w:position w:val="0"/>
                <w:sz w:val="21"/>
                <w:szCs w:val="21"/>
                <w:shd w:val="clear" w:color="auto" w:fill="auto"/>
              </w:rPr>
            </w:pPr>
          </w:p>
        </w:tc>
      </w:tr>
      <w:tr w14:paraId="4A0D94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49" w:hRule="exact"/>
          <w:jc w:val="center"/>
        </w:trPr>
        <w:tc>
          <w:tcPr>
            <w:tcW w:w="284" w:type="pct"/>
            <w:tcBorders>
              <w:tl2br w:val="nil"/>
              <w:tr2bl w:val="nil"/>
            </w:tcBorders>
            <w:shd w:val="clear" w:color="auto" w:fill="auto"/>
            <w:vAlign w:val="center"/>
          </w:tcPr>
          <w:p w14:paraId="01570308">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shd w:val="clear" w:color="auto" w:fill="auto"/>
            <w:vAlign w:val="center"/>
          </w:tcPr>
          <w:p w14:paraId="3E058FD9">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防护罩</w:t>
            </w:r>
          </w:p>
        </w:tc>
        <w:tc>
          <w:tcPr>
            <w:tcW w:w="523" w:type="pct"/>
            <w:tcBorders>
              <w:tl2br w:val="nil"/>
              <w:tr2bl w:val="nil"/>
            </w:tcBorders>
            <w:shd w:val="clear" w:color="auto" w:fill="auto"/>
            <w:vAlign w:val="center"/>
          </w:tcPr>
          <w:p w14:paraId="61A3D837">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rPr>
              <w:t>个</w:t>
            </w:r>
          </w:p>
        </w:tc>
        <w:tc>
          <w:tcPr>
            <w:tcW w:w="526" w:type="pct"/>
            <w:tcBorders>
              <w:tl2br w:val="nil"/>
              <w:tr2bl w:val="nil"/>
            </w:tcBorders>
            <w:shd w:val="clear" w:color="auto" w:fill="auto"/>
            <w:vAlign w:val="center"/>
          </w:tcPr>
          <w:p w14:paraId="6CC2D991">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若干</w:t>
            </w:r>
          </w:p>
        </w:tc>
        <w:tc>
          <w:tcPr>
            <w:tcW w:w="770" w:type="pct"/>
            <w:tcBorders>
              <w:tl2br w:val="nil"/>
              <w:tr2bl w:val="nil"/>
            </w:tcBorders>
            <w:shd w:val="clear" w:color="auto" w:fill="auto"/>
            <w:vAlign w:val="center"/>
          </w:tcPr>
          <w:p w14:paraId="7E155A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161.4</w:t>
            </w:r>
          </w:p>
        </w:tc>
        <w:tc>
          <w:tcPr>
            <w:tcW w:w="789" w:type="pct"/>
            <w:tcBorders>
              <w:tl2br w:val="nil"/>
              <w:tr2bl w:val="nil"/>
            </w:tcBorders>
            <w:shd w:val="clear" w:color="auto" w:fill="auto"/>
            <w:vAlign w:val="center"/>
          </w:tcPr>
          <w:p w14:paraId="65B1A0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315ADB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49" w:hRule="exact"/>
          <w:jc w:val="center"/>
        </w:trPr>
        <w:tc>
          <w:tcPr>
            <w:tcW w:w="284" w:type="pct"/>
            <w:tcBorders>
              <w:tl2br w:val="nil"/>
              <w:tr2bl w:val="nil"/>
            </w:tcBorders>
            <w:shd w:val="clear" w:color="auto" w:fill="auto"/>
            <w:vAlign w:val="center"/>
          </w:tcPr>
          <w:p w14:paraId="02A857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shd w:val="clear" w:color="auto" w:fill="auto"/>
            <w:vAlign w:val="center"/>
          </w:tcPr>
          <w:p w14:paraId="6C7AB3BF">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防雷防静电设施（接地线等）</w:t>
            </w:r>
          </w:p>
        </w:tc>
        <w:tc>
          <w:tcPr>
            <w:tcW w:w="523" w:type="pct"/>
            <w:tcBorders>
              <w:tl2br w:val="nil"/>
              <w:tr2bl w:val="nil"/>
            </w:tcBorders>
            <w:shd w:val="clear" w:color="auto" w:fill="auto"/>
            <w:vAlign w:val="center"/>
          </w:tcPr>
          <w:p w14:paraId="68D7B384">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rPr>
              <w:t>套</w:t>
            </w:r>
          </w:p>
        </w:tc>
        <w:tc>
          <w:tcPr>
            <w:tcW w:w="526" w:type="pct"/>
            <w:tcBorders>
              <w:tl2br w:val="nil"/>
              <w:tr2bl w:val="nil"/>
            </w:tcBorders>
            <w:shd w:val="clear" w:color="auto" w:fill="auto"/>
            <w:vAlign w:val="center"/>
          </w:tcPr>
          <w:p w14:paraId="1BE985C6">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15</w:t>
            </w:r>
          </w:p>
        </w:tc>
        <w:tc>
          <w:tcPr>
            <w:tcW w:w="770" w:type="pct"/>
            <w:tcBorders>
              <w:tl2br w:val="nil"/>
              <w:tr2bl w:val="nil"/>
            </w:tcBorders>
            <w:shd w:val="clear" w:color="auto" w:fill="auto"/>
            <w:vAlign w:val="center"/>
          </w:tcPr>
          <w:p w14:paraId="127369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182.4</w:t>
            </w:r>
          </w:p>
        </w:tc>
        <w:tc>
          <w:tcPr>
            <w:tcW w:w="789" w:type="pct"/>
            <w:tcBorders>
              <w:tl2br w:val="nil"/>
              <w:tr2bl w:val="nil"/>
            </w:tcBorders>
            <w:shd w:val="clear" w:color="auto" w:fill="auto"/>
            <w:vAlign w:val="center"/>
          </w:tcPr>
          <w:p w14:paraId="1EC113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6D9DE5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57" w:hRule="exact"/>
          <w:jc w:val="center"/>
        </w:trPr>
        <w:tc>
          <w:tcPr>
            <w:tcW w:w="284" w:type="pct"/>
            <w:tcBorders>
              <w:tl2br w:val="nil"/>
              <w:tr2bl w:val="nil"/>
            </w:tcBorders>
            <w:shd w:val="clear" w:color="auto" w:fill="auto"/>
            <w:vAlign w:val="center"/>
          </w:tcPr>
          <w:p w14:paraId="3214B7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shd w:val="clear" w:color="auto" w:fill="auto"/>
            <w:vAlign w:val="center"/>
          </w:tcPr>
          <w:p w14:paraId="12C3281C">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安全</w:t>
            </w:r>
            <w:r>
              <w:rPr>
                <w:rFonts w:hint="eastAsia" w:cs="宋体"/>
                <w:sz w:val="21"/>
                <w:szCs w:val="21"/>
                <w:lang w:eastAsia="zh-CN"/>
              </w:rPr>
              <w:t>警示标识</w:t>
            </w:r>
          </w:p>
        </w:tc>
        <w:tc>
          <w:tcPr>
            <w:tcW w:w="523" w:type="pct"/>
            <w:tcBorders>
              <w:tl2br w:val="nil"/>
              <w:tr2bl w:val="nil"/>
            </w:tcBorders>
            <w:shd w:val="clear" w:color="auto" w:fill="auto"/>
            <w:vAlign w:val="center"/>
          </w:tcPr>
          <w:p w14:paraId="23E32799">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526" w:type="pct"/>
            <w:tcBorders>
              <w:tl2br w:val="nil"/>
              <w:tr2bl w:val="nil"/>
            </w:tcBorders>
            <w:shd w:val="clear" w:color="auto" w:fill="auto"/>
            <w:vAlign w:val="center"/>
          </w:tcPr>
          <w:p w14:paraId="6870CC1E">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86</w:t>
            </w:r>
          </w:p>
        </w:tc>
        <w:tc>
          <w:tcPr>
            <w:tcW w:w="770" w:type="pct"/>
            <w:tcBorders>
              <w:tl2br w:val="nil"/>
              <w:tr2bl w:val="nil"/>
            </w:tcBorders>
            <w:shd w:val="clear" w:color="auto" w:fill="auto"/>
            <w:vAlign w:val="center"/>
          </w:tcPr>
          <w:p w14:paraId="463DD2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12.5</w:t>
            </w:r>
          </w:p>
        </w:tc>
        <w:tc>
          <w:tcPr>
            <w:tcW w:w="789" w:type="pct"/>
            <w:tcBorders>
              <w:tl2br w:val="nil"/>
              <w:tr2bl w:val="nil"/>
            </w:tcBorders>
            <w:shd w:val="clear" w:color="auto" w:fill="auto"/>
            <w:vAlign w:val="center"/>
          </w:tcPr>
          <w:p w14:paraId="1D5A6B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49B008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49" w:hRule="exact"/>
          <w:jc w:val="center"/>
        </w:trPr>
        <w:tc>
          <w:tcPr>
            <w:tcW w:w="284" w:type="pct"/>
            <w:tcBorders>
              <w:tl2br w:val="nil"/>
              <w:tr2bl w:val="nil"/>
            </w:tcBorders>
            <w:shd w:val="clear" w:color="auto" w:fill="auto"/>
            <w:vAlign w:val="center"/>
          </w:tcPr>
          <w:p w14:paraId="704916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c>
          <w:tcPr>
            <w:tcW w:w="2106" w:type="pct"/>
            <w:tcBorders>
              <w:tl2br w:val="nil"/>
              <w:tr2bl w:val="nil"/>
            </w:tcBorders>
            <w:shd w:val="clear" w:color="auto" w:fill="auto"/>
            <w:vAlign w:val="center"/>
          </w:tcPr>
          <w:p w14:paraId="6476DC23">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高、低压设备防护屏</w:t>
            </w:r>
          </w:p>
        </w:tc>
        <w:tc>
          <w:tcPr>
            <w:tcW w:w="523" w:type="pct"/>
            <w:tcBorders>
              <w:tl2br w:val="nil"/>
              <w:tr2bl w:val="nil"/>
            </w:tcBorders>
            <w:shd w:val="clear" w:color="auto" w:fill="auto"/>
            <w:vAlign w:val="center"/>
          </w:tcPr>
          <w:p w14:paraId="6493A115">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具</w:t>
            </w:r>
          </w:p>
        </w:tc>
        <w:tc>
          <w:tcPr>
            <w:tcW w:w="526" w:type="pct"/>
            <w:tcBorders>
              <w:tl2br w:val="nil"/>
              <w:tr2bl w:val="nil"/>
            </w:tcBorders>
            <w:shd w:val="clear" w:color="auto" w:fill="auto"/>
            <w:vAlign w:val="center"/>
          </w:tcPr>
          <w:p w14:paraId="3D29B26C">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26</w:t>
            </w:r>
          </w:p>
        </w:tc>
        <w:tc>
          <w:tcPr>
            <w:tcW w:w="770" w:type="pct"/>
            <w:tcBorders>
              <w:tl2br w:val="nil"/>
              <w:tr2bl w:val="nil"/>
            </w:tcBorders>
            <w:shd w:val="clear" w:color="auto" w:fill="auto"/>
            <w:vAlign w:val="center"/>
          </w:tcPr>
          <w:p w14:paraId="78B88D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宋体"/>
                <w:sz w:val="21"/>
                <w:szCs w:val="21"/>
                <w:lang w:val="en-US" w:eastAsia="zh-CN"/>
              </w:rPr>
            </w:pPr>
            <w:r>
              <w:rPr>
                <w:rFonts w:hint="eastAsia" w:cs="宋体"/>
                <w:sz w:val="21"/>
                <w:szCs w:val="21"/>
                <w:lang w:val="en-US" w:eastAsia="zh-CN"/>
              </w:rPr>
              <w:t>36.8</w:t>
            </w:r>
          </w:p>
        </w:tc>
        <w:tc>
          <w:tcPr>
            <w:tcW w:w="789" w:type="pct"/>
            <w:tcBorders>
              <w:tl2br w:val="nil"/>
              <w:tr2bl w:val="nil"/>
            </w:tcBorders>
            <w:shd w:val="clear" w:color="auto" w:fill="auto"/>
            <w:vAlign w:val="center"/>
          </w:tcPr>
          <w:p w14:paraId="09E529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r>
      <w:tr w14:paraId="797867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49" w:hRule="exact"/>
          <w:jc w:val="center"/>
        </w:trPr>
        <w:tc>
          <w:tcPr>
            <w:tcW w:w="284" w:type="pct"/>
            <w:tcBorders>
              <w:tl2br w:val="nil"/>
              <w:tr2bl w:val="nil"/>
            </w:tcBorders>
            <w:shd w:val="clear" w:color="auto" w:fill="auto"/>
            <w:vAlign w:val="center"/>
          </w:tcPr>
          <w:p w14:paraId="69AE0D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c>
          <w:tcPr>
            <w:tcW w:w="2106" w:type="pct"/>
            <w:tcBorders>
              <w:tl2br w:val="nil"/>
              <w:tr2bl w:val="nil"/>
            </w:tcBorders>
            <w:shd w:val="clear" w:color="auto" w:fill="auto"/>
            <w:vAlign w:val="center"/>
          </w:tcPr>
          <w:p w14:paraId="24420863">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电器过载保护设施</w:t>
            </w:r>
          </w:p>
        </w:tc>
        <w:tc>
          <w:tcPr>
            <w:tcW w:w="523" w:type="pct"/>
            <w:tcBorders>
              <w:tl2br w:val="nil"/>
              <w:tr2bl w:val="nil"/>
            </w:tcBorders>
            <w:shd w:val="clear" w:color="auto" w:fill="auto"/>
            <w:vAlign w:val="center"/>
          </w:tcPr>
          <w:p w14:paraId="7BA05289">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具</w:t>
            </w:r>
          </w:p>
        </w:tc>
        <w:tc>
          <w:tcPr>
            <w:tcW w:w="526" w:type="pct"/>
            <w:tcBorders>
              <w:tl2br w:val="nil"/>
              <w:tr2bl w:val="nil"/>
            </w:tcBorders>
            <w:shd w:val="clear" w:color="auto" w:fill="auto"/>
            <w:vAlign w:val="center"/>
          </w:tcPr>
          <w:p w14:paraId="32A06924">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26</w:t>
            </w:r>
          </w:p>
        </w:tc>
        <w:tc>
          <w:tcPr>
            <w:tcW w:w="770" w:type="pct"/>
            <w:tcBorders>
              <w:tl2br w:val="nil"/>
              <w:tr2bl w:val="nil"/>
            </w:tcBorders>
            <w:shd w:val="clear" w:color="auto" w:fill="auto"/>
            <w:vAlign w:val="center"/>
          </w:tcPr>
          <w:p w14:paraId="5912F5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宋体"/>
                <w:sz w:val="21"/>
                <w:szCs w:val="21"/>
                <w:lang w:val="en-US" w:eastAsia="zh-CN"/>
              </w:rPr>
            </w:pPr>
            <w:r>
              <w:rPr>
                <w:rFonts w:hint="eastAsia" w:cs="宋体"/>
                <w:sz w:val="21"/>
                <w:szCs w:val="21"/>
                <w:lang w:val="en-US" w:eastAsia="zh-CN"/>
              </w:rPr>
              <w:t>36.5</w:t>
            </w:r>
          </w:p>
        </w:tc>
        <w:tc>
          <w:tcPr>
            <w:tcW w:w="789" w:type="pct"/>
            <w:tcBorders>
              <w:tl2br w:val="nil"/>
              <w:tr2bl w:val="nil"/>
            </w:tcBorders>
            <w:shd w:val="clear" w:color="auto" w:fill="auto"/>
            <w:vAlign w:val="center"/>
          </w:tcPr>
          <w:p w14:paraId="7DCFDE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r>
      <w:tr w14:paraId="2A387B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49" w:hRule="exact"/>
          <w:jc w:val="center"/>
        </w:trPr>
        <w:tc>
          <w:tcPr>
            <w:tcW w:w="284" w:type="pct"/>
            <w:tcBorders>
              <w:tl2br w:val="nil"/>
              <w:tr2bl w:val="nil"/>
            </w:tcBorders>
            <w:shd w:val="clear" w:color="auto" w:fill="auto"/>
            <w:vAlign w:val="center"/>
          </w:tcPr>
          <w:p w14:paraId="6A0644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c>
          <w:tcPr>
            <w:tcW w:w="2106" w:type="pct"/>
            <w:tcBorders>
              <w:tl2br w:val="nil"/>
              <w:tr2bl w:val="nil"/>
            </w:tcBorders>
            <w:shd w:val="clear" w:color="auto" w:fill="auto"/>
            <w:vAlign w:val="center"/>
          </w:tcPr>
          <w:p w14:paraId="290094CF">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过压保护装置</w:t>
            </w:r>
          </w:p>
        </w:tc>
        <w:tc>
          <w:tcPr>
            <w:tcW w:w="523" w:type="pct"/>
            <w:tcBorders>
              <w:tl2br w:val="nil"/>
              <w:tr2bl w:val="nil"/>
            </w:tcBorders>
            <w:shd w:val="clear" w:color="auto" w:fill="auto"/>
            <w:vAlign w:val="center"/>
          </w:tcPr>
          <w:p w14:paraId="282CBE41">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具</w:t>
            </w:r>
          </w:p>
        </w:tc>
        <w:tc>
          <w:tcPr>
            <w:tcW w:w="526" w:type="pct"/>
            <w:tcBorders>
              <w:tl2br w:val="nil"/>
              <w:tr2bl w:val="nil"/>
            </w:tcBorders>
            <w:shd w:val="clear" w:color="auto" w:fill="auto"/>
            <w:vAlign w:val="center"/>
          </w:tcPr>
          <w:p w14:paraId="63FD74F3">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26</w:t>
            </w:r>
          </w:p>
        </w:tc>
        <w:tc>
          <w:tcPr>
            <w:tcW w:w="770" w:type="pct"/>
            <w:tcBorders>
              <w:tl2br w:val="nil"/>
              <w:tr2bl w:val="nil"/>
            </w:tcBorders>
            <w:shd w:val="clear" w:color="auto" w:fill="auto"/>
            <w:vAlign w:val="center"/>
          </w:tcPr>
          <w:p w14:paraId="5D32EC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宋体"/>
                <w:sz w:val="21"/>
                <w:szCs w:val="21"/>
                <w:lang w:val="en-US" w:eastAsia="zh-CN"/>
              </w:rPr>
            </w:pPr>
            <w:r>
              <w:rPr>
                <w:rFonts w:hint="eastAsia" w:cs="宋体"/>
                <w:sz w:val="21"/>
                <w:szCs w:val="21"/>
                <w:lang w:val="en-US" w:eastAsia="zh-CN"/>
              </w:rPr>
              <w:t>36.5</w:t>
            </w:r>
          </w:p>
        </w:tc>
        <w:tc>
          <w:tcPr>
            <w:tcW w:w="789" w:type="pct"/>
            <w:tcBorders>
              <w:tl2br w:val="nil"/>
              <w:tr2bl w:val="nil"/>
            </w:tcBorders>
            <w:shd w:val="clear" w:color="auto" w:fill="auto"/>
            <w:vAlign w:val="center"/>
          </w:tcPr>
          <w:p w14:paraId="2684D6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r>
      <w:tr w14:paraId="0FEE39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70" w:hRule="exact"/>
          <w:jc w:val="center"/>
        </w:trPr>
        <w:tc>
          <w:tcPr>
            <w:tcW w:w="284" w:type="pct"/>
            <w:tcBorders>
              <w:tl2br w:val="nil"/>
              <w:tr2bl w:val="nil"/>
            </w:tcBorders>
            <w:shd w:val="clear" w:color="auto" w:fill="auto"/>
            <w:vAlign w:val="center"/>
          </w:tcPr>
          <w:p w14:paraId="2C6DAA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c>
          <w:tcPr>
            <w:tcW w:w="2106" w:type="pct"/>
            <w:tcBorders>
              <w:tl2br w:val="nil"/>
              <w:tr2bl w:val="nil"/>
            </w:tcBorders>
            <w:shd w:val="clear" w:color="auto" w:fill="auto"/>
            <w:vAlign w:val="center"/>
          </w:tcPr>
          <w:p w14:paraId="046676C6">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机械通风（风机）</w:t>
            </w:r>
          </w:p>
        </w:tc>
        <w:tc>
          <w:tcPr>
            <w:tcW w:w="523" w:type="pct"/>
            <w:tcBorders>
              <w:tl2br w:val="nil"/>
              <w:tr2bl w:val="nil"/>
            </w:tcBorders>
            <w:shd w:val="clear" w:color="auto" w:fill="auto"/>
            <w:vAlign w:val="center"/>
          </w:tcPr>
          <w:p w14:paraId="1A4902E1">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台</w:t>
            </w:r>
          </w:p>
        </w:tc>
        <w:tc>
          <w:tcPr>
            <w:tcW w:w="526" w:type="pct"/>
            <w:tcBorders>
              <w:tl2br w:val="nil"/>
              <w:tr2bl w:val="nil"/>
            </w:tcBorders>
            <w:shd w:val="clear" w:color="auto" w:fill="auto"/>
            <w:vAlign w:val="center"/>
          </w:tcPr>
          <w:p w14:paraId="151F426B">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12</w:t>
            </w:r>
          </w:p>
        </w:tc>
        <w:tc>
          <w:tcPr>
            <w:tcW w:w="770" w:type="pct"/>
            <w:tcBorders>
              <w:tl2br w:val="nil"/>
              <w:tr2bl w:val="nil"/>
            </w:tcBorders>
            <w:shd w:val="clear" w:color="auto" w:fill="auto"/>
            <w:vAlign w:val="center"/>
          </w:tcPr>
          <w:p w14:paraId="6D64AA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宋体"/>
                <w:sz w:val="21"/>
                <w:szCs w:val="21"/>
                <w:lang w:val="en-US" w:eastAsia="zh-CN"/>
              </w:rPr>
            </w:pPr>
            <w:r>
              <w:rPr>
                <w:rFonts w:hint="eastAsia" w:cs="宋体"/>
                <w:sz w:val="21"/>
                <w:szCs w:val="21"/>
                <w:lang w:val="en-US" w:eastAsia="zh-CN"/>
              </w:rPr>
              <w:t>82.4</w:t>
            </w:r>
          </w:p>
        </w:tc>
        <w:tc>
          <w:tcPr>
            <w:tcW w:w="789" w:type="pct"/>
            <w:tcBorders>
              <w:tl2br w:val="nil"/>
              <w:tr2bl w:val="nil"/>
            </w:tcBorders>
            <w:shd w:val="clear" w:color="auto" w:fill="auto"/>
            <w:vAlign w:val="center"/>
          </w:tcPr>
          <w:p w14:paraId="4573CB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r>
      <w:tr w14:paraId="04C4B4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49" w:hRule="exact"/>
          <w:jc w:val="center"/>
        </w:trPr>
        <w:tc>
          <w:tcPr>
            <w:tcW w:w="284" w:type="pct"/>
            <w:tcBorders>
              <w:tl2br w:val="nil"/>
              <w:tr2bl w:val="nil"/>
            </w:tcBorders>
            <w:shd w:val="clear" w:color="auto" w:fill="auto"/>
            <w:vAlign w:val="center"/>
          </w:tcPr>
          <w:p w14:paraId="5938A6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c>
          <w:tcPr>
            <w:tcW w:w="2106" w:type="pct"/>
            <w:tcBorders>
              <w:tl2br w:val="nil"/>
              <w:tr2bl w:val="nil"/>
            </w:tcBorders>
            <w:shd w:val="clear" w:color="auto" w:fill="auto"/>
            <w:vAlign w:val="center"/>
          </w:tcPr>
          <w:p w14:paraId="66C6AC8A">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盖板</w:t>
            </w:r>
          </w:p>
        </w:tc>
        <w:tc>
          <w:tcPr>
            <w:tcW w:w="523" w:type="pct"/>
            <w:tcBorders>
              <w:tl2br w:val="nil"/>
              <w:tr2bl w:val="nil"/>
            </w:tcBorders>
            <w:shd w:val="clear" w:color="auto" w:fill="auto"/>
            <w:vAlign w:val="center"/>
          </w:tcPr>
          <w:p w14:paraId="7DCA32DC">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套</w:t>
            </w:r>
          </w:p>
        </w:tc>
        <w:tc>
          <w:tcPr>
            <w:tcW w:w="526" w:type="pct"/>
            <w:tcBorders>
              <w:tl2br w:val="nil"/>
              <w:tr2bl w:val="nil"/>
            </w:tcBorders>
            <w:shd w:val="clear" w:color="auto" w:fill="auto"/>
            <w:vAlign w:val="center"/>
          </w:tcPr>
          <w:p w14:paraId="706A209B">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若干</w:t>
            </w:r>
          </w:p>
        </w:tc>
        <w:tc>
          <w:tcPr>
            <w:tcW w:w="770" w:type="pct"/>
            <w:tcBorders>
              <w:tl2br w:val="nil"/>
              <w:tr2bl w:val="nil"/>
            </w:tcBorders>
            <w:shd w:val="clear" w:color="auto" w:fill="auto"/>
            <w:vAlign w:val="center"/>
          </w:tcPr>
          <w:p w14:paraId="3602D1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宋体"/>
                <w:sz w:val="21"/>
                <w:szCs w:val="21"/>
                <w:lang w:val="en-US" w:eastAsia="zh-CN"/>
              </w:rPr>
            </w:pPr>
            <w:r>
              <w:rPr>
                <w:rFonts w:hint="eastAsia" w:cs="宋体"/>
                <w:sz w:val="21"/>
                <w:szCs w:val="21"/>
                <w:lang w:val="en-US" w:eastAsia="zh-CN"/>
              </w:rPr>
              <w:t>22.4</w:t>
            </w:r>
          </w:p>
        </w:tc>
        <w:tc>
          <w:tcPr>
            <w:tcW w:w="789" w:type="pct"/>
            <w:tcBorders>
              <w:tl2br w:val="nil"/>
              <w:tr2bl w:val="nil"/>
            </w:tcBorders>
            <w:shd w:val="clear" w:color="auto" w:fill="auto"/>
            <w:vAlign w:val="center"/>
          </w:tcPr>
          <w:p w14:paraId="0AC610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r>
      <w:tr w14:paraId="7103F0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9" w:hRule="exact"/>
          <w:jc w:val="center"/>
        </w:trPr>
        <w:tc>
          <w:tcPr>
            <w:tcW w:w="284" w:type="pct"/>
            <w:tcBorders>
              <w:tl2br w:val="nil"/>
              <w:tr2bl w:val="nil"/>
            </w:tcBorders>
            <w:shd w:val="clear" w:color="auto" w:fill="auto"/>
            <w:vAlign w:val="center"/>
          </w:tcPr>
          <w:p w14:paraId="192E8B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c>
          <w:tcPr>
            <w:tcW w:w="2106" w:type="pct"/>
            <w:tcBorders>
              <w:tl2br w:val="nil"/>
              <w:tr2bl w:val="nil"/>
            </w:tcBorders>
            <w:shd w:val="clear" w:color="auto" w:fill="auto"/>
            <w:vAlign w:val="center"/>
          </w:tcPr>
          <w:p w14:paraId="10A84782">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防护栏</w:t>
            </w:r>
          </w:p>
        </w:tc>
        <w:tc>
          <w:tcPr>
            <w:tcW w:w="523" w:type="pct"/>
            <w:tcBorders>
              <w:tl2br w:val="nil"/>
              <w:tr2bl w:val="nil"/>
            </w:tcBorders>
            <w:shd w:val="clear" w:color="auto" w:fill="auto"/>
            <w:vAlign w:val="center"/>
          </w:tcPr>
          <w:p w14:paraId="5E22A16F">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m</w:t>
            </w:r>
          </w:p>
        </w:tc>
        <w:tc>
          <w:tcPr>
            <w:tcW w:w="526" w:type="pct"/>
            <w:tcBorders>
              <w:tl2br w:val="nil"/>
              <w:tr2bl w:val="nil"/>
            </w:tcBorders>
            <w:shd w:val="clear" w:color="auto" w:fill="auto"/>
            <w:vAlign w:val="center"/>
          </w:tcPr>
          <w:p w14:paraId="6D21ACA8">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60</w:t>
            </w:r>
          </w:p>
        </w:tc>
        <w:tc>
          <w:tcPr>
            <w:tcW w:w="770" w:type="pct"/>
            <w:tcBorders>
              <w:tl2br w:val="nil"/>
              <w:tr2bl w:val="nil"/>
            </w:tcBorders>
            <w:shd w:val="clear" w:color="auto" w:fill="auto"/>
            <w:vAlign w:val="center"/>
          </w:tcPr>
          <w:p w14:paraId="79ECE0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宋体"/>
                <w:sz w:val="21"/>
                <w:szCs w:val="21"/>
                <w:lang w:val="en-US" w:eastAsia="zh-CN"/>
              </w:rPr>
            </w:pPr>
            <w:r>
              <w:rPr>
                <w:rFonts w:hint="eastAsia" w:cs="宋体"/>
                <w:sz w:val="21"/>
                <w:szCs w:val="21"/>
                <w:lang w:val="en-US" w:eastAsia="zh-CN"/>
              </w:rPr>
              <w:t>32.4</w:t>
            </w:r>
          </w:p>
        </w:tc>
        <w:tc>
          <w:tcPr>
            <w:tcW w:w="789" w:type="pct"/>
            <w:tcBorders>
              <w:tl2br w:val="nil"/>
              <w:tr2bl w:val="nil"/>
            </w:tcBorders>
            <w:shd w:val="clear" w:color="auto" w:fill="auto"/>
            <w:vAlign w:val="center"/>
          </w:tcPr>
          <w:p w14:paraId="09EF44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r>
      <w:tr w14:paraId="13B825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49" w:hRule="exact"/>
          <w:jc w:val="center"/>
        </w:trPr>
        <w:tc>
          <w:tcPr>
            <w:tcW w:w="284" w:type="pct"/>
            <w:tcBorders>
              <w:tl2br w:val="nil"/>
              <w:tr2bl w:val="nil"/>
            </w:tcBorders>
            <w:shd w:val="clear" w:color="auto" w:fill="auto"/>
            <w:vAlign w:val="center"/>
          </w:tcPr>
          <w:p w14:paraId="43A824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c>
          <w:tcPr>
            <w:tcW w:w="2106" w:type="pct"/>
            <w:tcBorders>
              <w:tl2br w:val="nil"/>
              <w:tr2bl w:val="nil"/>
            </w:tcBorders>
            <w:shd w:val="clear" w:color="auto" w:fill="auto"/>
            <w:vAlign w:val="center"/>
          </w:tcPr>
          <w:p w14:paraId="64C20EBD">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安全阀</w:t>
            </w:r>
          </w:p>
        </w:tc>
        <w:tc>
          <w:tcPr>
            <w:tcW w:w="523" w:type="pct"/>
            <w:tcBorders>
              <w:tl2br w:val="nil"/>
              <w:tr2bl w:val="nil"/>
            </w:tcBorders>
            <w:shd w:val="clear" w:color="auto" w:fill="auto"/>
            <w:vAlign w:val="center"/>
          </w:tcPr>
          <w:p w14:paraId="49B0CAD6">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个</w:t>
            </w:r>
          </w:p>
        </w:tc>
        <w:tc>
          <w:tcPr>
            <w:tcW w:w="526" w:type="pct"/>
            <w:tcBorders>
              <w:tl2br w:val="nil"/>
              <w:tr2bl w:val="nil"/>
            </w:tcBorders>
            <w:shd w:val="clear" w:color="auto" w:fill="auto"/>
            <w:vAlign w:val="center"/>
          </w:tcPr>
          <w:p w14:paraId="50C0BD93">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4</w:t>
            </w:r>
          </w:p>
        </w:tc>
        <w:tc>
          <w:tcPr>
            <w:tcW w:w="770" w:type="pct"/>
            <w:tcBorders>
              <w:tl2br w:val="nil"/>
              <w:tr2bl w:val="nil"/>
            </w:tcBorders>
            <w:shd w:val="clear" w:color="auto" w:fill="auto"/>
            <w:vAlign w:val="center"/>
          </w:tcPr>
          <w:p w14:paraId="38CCA8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宋体"/>
                <w:sz w:val="21"/>
                <w:szCs w:val="21"/>
                <w:lang w:val="en-US" w:eastAsia="zh-CN"/>
              </w:rPr>
            </w:pPr>
            <w:r>
              <w:rPr>
                <w:rFonts w:hint="eastAsia" w:cs="宋体"/>
                <w:sz w:val="21"/>
                <w:szCs w:val="21"/>
                <w:lang w:val="en-US" w:eastAsia="zh-CN"/>
              </w:rPr>
              <w:t>0.6</w:t>
            </w:r>
          </w:p>
        </w:tc>
        <w:tc>
          <w:tcPr>
            <w:tcW w:w="789" w:type="pct"/>
            <w:tcBorders>
              <w:tl2br w:val="nil"/>
              <w:tr2bl w:val="nil"/>
            </w:tcBorders>
            <w:shd w:val="clear" w:color="auto" w:fill="auto"/>
            <w:vAlign w:val="center"/>
          </w:tcPr>
          <w:p w14:paraId="5004CD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r>
      <w:tr w14:paraId="71C449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49" w:hRule="exact"/>
          <w:jc w:val="center"/>
        </w:trPr>
        <w:tc>
          <w:tcPr>
            <w:tcW w:w="284" w:type="pct"/>
            <w:tcBorders>
              <w:tl2br w:val="nil"/>
              <w:tr2bl w:val="nil"/>
            </w:tcBorders>
            <w:shd w:val="clear" w:color="auto" w:fill="auto"/>
            <w:vAlign w:val="center"/>
          </w:tcPr>
          <w:p w14:paraId="47B4A8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c>
          <w:tcPr>
            <w:tcW w:w="2106" w:type="pct"/>
            <w:tcBorders>
              <w:tl2br w:val="nil"/>
              <w:tr2bl w:val="nil"/>
            </w:tcBorders>
            <w:shd w:val="clear" w:color="auto" w:fill="auto"/>
            <w:vAlign w:val="center"/>
          </w:tcPr>
          <w:p w14:paraId="102A6B54">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压力表</w:t>
            </w:r>
          </w:p>
        </w:tc>
        <w:tc>
          <w:tcPr>
            <w:tcW w:w="523" w:type="pct"/>
            <w:tcBorders>
              <w:tl2br w:val="nil"/>
              <w:tr2bl w:val="nil"/>
            </w:tcBorders>
            <w:shd w:val="clear" w:color="auto" w:fill="auto"/>
            <w:vAlign w:val="center"/>
          </w:tcPr>
          <w:p w14:paraId="2E91DAA7">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个</w:t>
            </w:r>
          </w:p>
        </w:tc>
        <w:tc>
          <w:tcPr>
            <w:tcW w:w="526" w:type="pct"/>
            <w:tcBorders>
              <w:tl2br w:val="nil"/>
              <w:tr2bl w:val="nil"/>
            </w:tcBorders>
            <w:shd w:val="clear" w:color="auto" w:fill="auto"/>
            <w:vAlign w:val="center"/>
          </w:tcPr>
          <w:p w14:paraId="3F758703">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15</w:t>
            </w:r>
          </w:p>
        </w:tc>
        <w:tc>
          <w:tcPr>
            <w:tcW w:w="770" w:type="pct"/>
            <w:tcBorders>
              <w:tl2br w:val="nil"/>
              <w:tr2bl w:val="nil"/>
            </w:tcBorders>
            <w:shd w:val="clear" w:color="auto" w:fill="auto"/>
            <w:vAlign w:val="center"/>
          </w:tcPr>
          <w:p w14:paraId="649772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宋体"/>
                <w:sz w:val="21"/>
                <w:szCs w:val="21"/>
                <w:lang w:val="en-US" w:eastAsia="zh-CN"/>
              </w:rPr>
            </w:pPr>
            <w:r>
              <w:rPr>
                <w:rFonts w:hint="eastAsia" w:cs="宋体"/>
                <w:sz w:val="21"/>
                <w:szCs w:val="21"/>
                <w:lang w:val="en-US" w:eastAsia="zh-CN"/>
              </w:rPr>
              <w:t>4.5</w:t>
            </w:r>
          </w:p>
        </w:tc>
        <w:tc>
          <w:tcPr>
            <w:tcW w:w="789" w:type="pct"/>
            <w:tcBorders>
              <w:tl2br w:val="nil"/>
              <w:tr2bl w:val="nil"/>
            </w:tcBorders>
            <w:shd w:val="clear" w:color="auto" w:fill="auto"/>
            <w:vAlign w:val="center"/>
          </w:tcPr>
          <w:p w14:paraId="55CBC0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r>
      <w:tr w14:paraId="601FE5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49" w:hRule="exact"/>
          <w:jc w:val="center"/>
        </w:trPr>
        <w:tc>
          <w:tcPr>
            <w:tcW w:w="284" w:type="pct"/>
            <w:tcBorders>
              <w:tl2br w:val="nil"/>
              <w:tr2bl w:val="nil"/>
            </w:tcBorders>
            <w:shd w:val="clear" w:color="auto" w:fill="auto"/>
            <w:vAlign w:val="center"/>
          </w:tcPr>
          <w:p w14:paraId="36DAB3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c>
          <w:tcPr>
            <w:tcW w:w="2106" w:type="pct"/>
            <w:tcBorders>
              <w:tl2br w:val="nil"/>
              <w:tr2bl w:val="nil"/>
            </w:tcBorders>
            <w:shd w:val="clear" w:color="auto" w:fill="auto"/>
            <w:vAlign w:val="center"/>
          </w:tcPr>
          <w:p w14:paraId="0B00CF37">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防护挡板</w:t>
            </w:r>
          </w:p>
        </w:tc>
        <w:tc>
          <w:tcPr>
            <w:tcW w:w="523" w:type="pct"/>
            <w:tcBorders>
              <w:tl2br w:val="nil"/>
              <w:tr2bl w:val="nil"/>
            </w:tcBorders>
            <w:shd w:val="clear" w:color="auto" w:fill="auto"/>
            <w:vAlign w:val="center"/>
          </w:tcPr>
          <w:p w14:paraId="52A024BA">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个</w:t>
            </w:r>
          </w:p>
        </w:tc>
        <w:tc>
          <w:tcPr>
            <w:tcW w:w="526" w:type="pct"/>
            <w:tcBorders>
              <w:tl2br w:val="nil"/>
              <w:tr2bl w:val="nil"/>
            </w:tcBorders>
            <w:shd w:val="clear" w:color="auto" w:fill="auto"/>
            <w:vAlign w:val="center"/>
          </w:tcPr>
          <w:p w14:paraId="4FA5149D">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12</w:t>
            </w:r>
          </w:p>
        </w:tc>
        <w:tc>
          <w:tcPr>
            <w:tcW w:w="770" w:type="pct"/>
            <w:tcBorders>
              <w:tl2br w:val="nil"/>
              <w:tr2bl w:val="nil"/>
            </w:tcBorders>
            <w:shd w:val="clear" w:color="auto" w:fill="auto"/>
            <w:vAlign w:val="center"/>
          </w:tcPr>
          <w:p w14:paraId="54F63D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宋体"/>
                <w:sz w:val="21"/>
                <w:szCs w:val="21"/>
                <w:lang w:val="en-US" w:eastAsia="zh-CN"/>
              </w:rPr>
            </w:pPr>
            <w:r>
              <w:rPr>
                <w:rFonts w:hint="eastAsia" w:cs="宋体"/>
                <w:sz w:val="21"/>
                <w:szCs w:val="21"/>
                <w:lang w:val="en-US" w:eastAsia="zh-CN"/>
              </w:rPr>
              <w:t>2.8</w:t>
            </w:r>
          </w:p>
        </w:tc>
        <w:tc>
          <w:tcPr>
            <w:tcW w:w="789" w:type="pct"/>
            <w:tcBorders>
              <w:tl2br w:val="nil"/>
              <w:tr2bl w:val="nil"/>
            </w:tcBorders>
            <w:shd w:val="clear" w:color="auto" w:fill="auto"/>
            <w:vAlign w:val="center"/>
          </w:tcPr>
          <w:p w14:paraId="53C2E4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r>
      <w:tr w14:paraId="7CDA04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49" w:hRule="exact"/>
          <w:jc w:val="center"/>
        </w:trPr>
        <w:tc>
          <w:tcPr>
            <w:tcW w:w="284" w:type="pct"/>
            <w:tcBorders>
              <w:tl2br w:val="nil"/>
              <w:tr2bl w:val="nil"/>
            </w:tcBorders>
            <w:shd w:val="clear" w:color="auto" w:fill="auto"/>
            <w:vAlign w:val="center"/>
          </w:tcPr>
          <w:p w14:paraId="0B89AF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c>
          <w:tcPr>
            <w:tcW w:w="2106" w:type="pct"/>
            <w:tcBorders>
              <w:tl2br w:val="nil"/>
              <w:tr2bl w:val="nil"/>
            </w:tcBorders>
            <w:shd w:val="clear" w:color="auto" w:fill="auto"/>
            <w:vAlign w:val="center"/>
          </w:tcPr>
          <w:p w14:paraId="72DD2555">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CO报警仪</w:t>
            </w:r>
          </w:p>
        </w:tc>
        <w:tc>
          <w:tcPr>
            <w:tcW w:w="523" w:type="pct"/>
            <w:tcBorders>
              <w:tl2br w:val="nil"/>
              <w:tr2bl w:val="nil"/>
            </w:tcBorders>
            <w:shd w:val="clear" w:color="auto" w:fill="auto"/>
            <w:vAlign w:val="center"/>
          </w:tcPr>
          <w:p w14:paraId="4B9F6177">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套</w:t>
            </w:r>
          </w:p>
        </w:tc>
        <w:tc>
          <w:tcPr>
            <w:tcW w:w="526" w:type="pct"/>
            <w:tcBorders>
              <w:tl2br w:val="nil"/>
              <w:tr2bl w:val="nil"/>
            </w:tcBorders>
            <w:shd w:val="clear" w:color="auto" w:fill="auto"/>
            <w:vAlign w:val="center"/>
          </w:tcPr>
          <w:p w14:paraId="13FC252C">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4</w:t>
            </w:r>
          </w:p>
        </w:tc>
        <w:tc>
          <w:tcPr>
            <w:tcW w:w="770" w:type="pct"/>
            <w:tcBorders>
              <w:tl2br w:val="nil"/>
              <w:tr2bl w:val="nil"/>
            </w:tcBorders>
            <w:shd w:val="clear" w:color="auto" w:fill="auto"/>
            <w:vAlign w:val="center"/>
          </w:tcPr>
          <w:p w14:paraId="364C6B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宋体"/>
                <w:sz w:val="21"/>
                <w:szCs w:val="21"/>
                <w:lang w:val="en-US" w:eastAsia="zh-CN"/>
              </w:rPr>
            </w:pPr>
            <w:r>
              <w:rPr>
                <w:rFonts w:hint="eastAsia" w:cs="宋体"/>
                <w:sz w:val="21"/>
                <w:szCs w:val="21"/>
                <w:lang w:val="en-US" w:eastAsia="zh-CN"/>
              </w:rPr>
              <w:t>6.68</w:t>
            </w:r>
          </w:p>
        </w:tc>
        <w:tc>
          <w:tcPr>
            <w:tcW w:w="789" w:type="pct"/>
            <w:tcBorders>
              <w:tl2br w:val="nil"/>
              <w:tr2bl w:val="nil"/>
            </w:tcBorders>
            <w:shd w:val="clear" w:color="auto" w:fill="auto"/>
            <w:vAlign w:val="center"/>
          </w:tcPr>
          <w:p w14:paraId="69935D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highlight w:val="yellow"/>
              </w:rPr>
            </w:pPr>
          </w:p>
        </w:tc>
      </w:tr>
      <w:tr w14:paraId="2923F5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63" w:hRule="atLeast"/>
          <w:jc w:val="center"/>
        </w:trPr>
        <w:tc>
          <w:tcPr>
            <w:tcW w:w="284" w:type="pct"/>
            <w:tcBorders>
              <w:tl2br w:val="nil"/>
              <w:tr2bl w:val="nil"/>
            </w:tcBorders>
            <w:shd w:val="clear" w:color="auto" w:fill="auto"/>
            <w:vAlign w:val="center"/>
          </w:tcPr>
          <w:p w14:paraId="24AD99F0">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eastAsia="zh-CN"/>
              </w:rPr>
            </w:pPr>
            <w:r>
              <w:rPr>
                <w:rFonts w:hint="eastAsia" w:cs="宋体"/>
                <w:b/>
                <w:bCs/>
                <w:color w:val="000000"/>
                <w:spacing w:val="0"/>
                <w:w w:val="100"/>
                <w:position w:val="0"/>
                <w:sz w:val="21"/>
                <w:szCs w:val="21"/>
                <w:shd w:val="clear" w:color="auto" w:fill="auto"/>
                <w:lang w:val="en-US" w:eastAsia="zh-CN"/>
              </w:rPr>
              <w:t>2</w:t>
            </w:r>
          </w:p>
        </w:tc>
        <w:tc>
          <w:tcPr>
            <w:tcW w:w="3155" w:type="pct"/>
            <w:gridSpan w:val="3"/>
            <w:tcBorders>
              <w:tl2br w:val="nil"/>
              <w:tr2bl w:val="nil"/>
            </w:tcBorders>
            <w:shd w:val="clear" w:color="auto" w:fill="auto"/>
            <w:vAlign w:val="center"/>
          </w:tcPr>
          <w:p w14:paraId="416845B6">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pacing w:val="0"/>
                <w:w w:val="100"/>
                <w:position w:val="0"/>
                <w:sz w:val="21"/>
                <w:szCs w:val="21"/>
                <w:shd w:val="clear" w:color="auto" w:fill="auto"/>
              </w:rPr>
            </w:pPr>
            <w:r>
              <w:rPr>
                <w:rFonts w:hint="eastAsia" w:ascii="宋体" w:hAnsi="宋体" w:eastAsia="宋体" w:cs="宋体"/>
                <w:b/>
                <w:bCs/>
                <w:color w:val="000000"/>
                <w:spacing w:val="0"/>
                <w:w w:val="100"/>
                <w:position w:val="0"/>
                <w:sz w:val="21"/>
                <w:szCs w:val="21"/>
                <w:shd w:val="clear" w:color="auto" w:fill="auto"/>
              </w:rPr>
              <w:t>控制事故设施</w:t>
            </w:r>
          </w:p>
        </w:tc>
        <w:tc>
          <w:tcPr>
            <w:tcW w:w="770" w:type="pct"/>
            <w:tcBorders>
              <w:tl2br w:val="nil"/>
              <w:tr2bl w:val="nil"/>
            </w:tcBorders>
            <w:shd w:val="clear" w:color="auto" w:fill="auto"/>
            <w:vAlign w:val="center"/>
          </w:tcPr>
          <w:p w14:paraId="388E5020">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pacing w:val="0"/>
                <w:w w:val="100"/>
                <w:position w:val="0"/>
                <w:sz w:val="21"/>
                <w:szCs w:val="21"/>
                <w:shd w:val="clear" w:color="auto" w:fill="auto"/>
              </w:rPr>
            </w:pPr>
            <w:r>
              <w:rPr>
                <w:rFonts w:hint="eastAsia" w:ascii="宋体" w:hAnsi="宋体" w:eastAsia="宋体" w:cs="宋体"/>
                <w:b/>
                <w:bCs/>
                <w:color w:val="000000"/>
                <w:spacing w:val="0"/>
                <w:w w:val="100"/>
                <w:position w:val="0"/>
                <w:sz w:val="21"/>
                <w:szCs w:val="21"/>
                <w:shd w:val="clear" w:color="auto" w:fill="auto"/>
              </w:rPr>
              <w:t>300.9</w:t>
            </w:r>
          </w:p>
        </w:tc>
        <w:tc>
          <w:tcPr>
            <w:tcW w:w="789" w:type="pct"/>
            <w:tcBorders>
              <w:tl2br w:val="nil"/>
              <w:tr2bl w:val="nil"/>
            </w:tcBorders>
            <w:shd w:val="clear" w:color="auto" w:fill="auto"/>
            <w:vAlign w:val="center"/>
          </w:tcPr>
          <w:p w14:paraId="03B3DAFC">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pacing w:val="0"/>
                <w:w w:val="100"/>
                <w:position w:val="0"/>
                <w:sz w:val="21"/>
                <w:szCs w:val="21"/>
                <w:shd w:val="clear" w:color="auto" w:fill="auto"/>
              </w:rPr>
            </w:pPr>
          </w:p>
        </w:tc>
      </w:tr>
      <w:tr w14:paraId="49ADEE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63" w:hRule="atLeast"/>
          <w:jc w:val="center"/>
        </w:trPr>
        <w:tc>
          <w:tcPr>
            <w:tcW w:w="284" w:type="pct"/>
            <w:tcBorders>
              <w:tl2br w:val="nil"/>
              <w:tr2bl w:val="nil"/>
            </w:tcBorders>
            <w:shd w:val="clear" w:color="auto" w:fill="auto"/>
            <w:vAlign w:val="center"/>
          </w:tcPr>
          <w:p w14:paraId="3B469CA7">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rPr>
            </w:pPr>
          </w:p>
        </w:tc>
        <w:tc>
          <w:tcPr>
            <w:tcW w:w="2106" w:type="pct"/>
            <w:tcBorders>
              <w:tl2br w:val="nil"/>
              <w:tr2bl w:val="nil"/>
            </w:tcBorders>
            <w:shd w:val="clear" w:color="auto" w:fill="auto"/>
            <w:vAlign w:val="center"/>
          </w:tcPr>
          <w:p w14:paraId="4B623A40">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紧急停车装置</w:t>
            </w:r>
          </w:p>
        </w:tc>
        <w:tc>
          <w:tcPr>
            <w:tcW w:w="523" w:type="pct"/>
            <w:tcBorders>
              <w:tl2br w:val="nil"/>
              <w:tr2bl w:val="nil"/>
            </w:tcBorders>
            <w:shd w:val="clear" w:color="auto" w:fill="auto"/>
            <w:vAlign w:val="center"/>
          </w:tcPr>
          <w:p w14:paraId="2DF94232">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个</w:t>
            </w:r>
          </w:p>
        </w:tc>
        <w:tc>
          <w:tcPr>
            <w:tcW w:w="526" w:type="pct"/>
            <w:tcBorders>
              <w:tl2br w:val="nil"/>
              <w:tr2bl w:val="nil"/>
            </w:tcBorders>
            <w:shd w:val="clear" w:color="auto" w:fill="auto"/>
            <w:vAlign w:val="center"/>
          </w:tcPr>
          <w:p w14:paraId="339832FA">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96</w:t>
            </w:r>
          </w:p>
        </w:tc>
        <w:tc>
          <w:tcPr>
            <w:tcW w:w="770" w:type="pct"/>
            <w:tcBorders>
              <w:tl2br w:val="nil"/>
              <w:tr2bl w:val="nil"/>
            </w:tcBorders>
            <w:shd w:val="clear" w:color="auto" w:fill="auto"/>
            <w:vAlign w:val="center"/>
          </w:tcPr>
          <w:p w14:paraId="43E4BEF5">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pacing w:val="0"/>
                <w:w w:val="100"/>
                <w:position w:val="0"/>
                <w:sz w:val="21"/>
                <w:szCs w:val="21"/>
                <w:highlight w:val="none"/>
                <w:shd w:val="clear" w:color="auto" w:fill="auto"/>
                <w:lang w:val="en-US" w:eastAsia="zh-CN"/>
              </w:rPr>
            </w:pPr>
            <w:r>
              <w:rPr>
                <w:rFonts w:hint="eastAsia" w:cs="宋体"/>
                <w:color w:val="000000"/>
                <w:spacing w:val="0"/>
                <w:w w:val="100"/>
                <w:position w:val="0"/>
                <w:sz w:val="21"/>
                <w:szCs w:val="21"/>
                <w:highlight w:val="none"/>
                <w:shd w:val="clear" w:color="auto" w:fill="auto"/>
                <w:lang w:val="en-US" w:eastAsia="zh-CN"/>
              </w:rPr>
              <w:t>145.5</w:t>
            </w:r>
          </w:p>
        </w:tc>
        <w:tc>
          <w:tcPr>
            <w:tcW w:w="789" w:type="pct"/>
            <w:tcBorders>
              <w:tl2br w:val="nil"/>
              <w:tr2bl w:val="nil"/>
            </w:tcBorders>
            <w:shd w:val="clear" w:color="auto" w:fill="auto"/>
            <w:vAlign w:val="center"/>
          </w:tcPr>
          <w:p w14:paraId="270A8FE9">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rPr>
            </w:pPr>
          </w:p>
        </w:tc>
      </w:tr>
      <w:tr w14:paraId="773F17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63" w:hRule="atLeast"/>
          <w:jc w:val="center"/>
        </w:trPr>
        <w:tc>
          <w:tcPr>
            <w:tcW w:w="284" w:type="pct"/>
            <w:tcBorders>
              <w:tl2br w:val="nil"/>
              <w:tr2bl w:val="nil"/>
            </w:tcBorders>
            <w:shd w:val="clear" w:color="auto" w:fill="auto"/>
            <w:vAlign w:val="center"/>
          </w:tcPr>
          <w:p w14:paraId="0054D20D">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rPr>
            </w:pPr>
          </w:p>
        </w:tc>
        <w:tc>
          <w:tcPr>
            <w:tcW w:w="2106" w:type="pct"/>
            <w:tcBorders>
              <w:tl2br w:val="nil"/>
              <w:tr2bl w:val="nil"/>
            </w:tcBorders>
            <w:shd w:val="clear" w:color="auto" w:fill="auto"/>
            <w:vAlign w:val="center"/>
          </w:tcPr>
          <w:p w14:paraId="7A7FE514">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PLC控制系统</w:t>
            </w:r>
          </w:p>
        </w:tc>
        <w:tc>
          <w:tcPr>
            <w:tcW w:w="523" w:type="pct"/>
            <w:tcBorders>
              <w:tl2br w:val="nil"/>
              <w:tr2bl w:val="nil"/>
            </w:tcBorders>
            <w:shd w:val="clear" w:color="auto" w:fill="auto"/>
            <w:vAlign w:val="center"/>
          </w:tcPr>
          <w:p w14:paraId="24637788">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526" w:type="pct"/>
            <w:tcBorders>
              <w:tl2br w:val="nil"/>
              <w:tr2bl w:val="nil"/>
            </w:tcBorders>
            <w:shd w:val="clear" w:color="auto" w:fill="auto"/>
            <w:vAlign w:val="center"/>
          </w:tcPr>
          <w:p w14:paraId="05503C9F">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2</w:t>
            </w:r>
          </w:p>
        </w:tc>
        <w:tc>
          <w:tcPr>
            <w:tcW w:w="770" w:type="pct"/>
            <w:tcBorders>
              <w:tl2br w:val="nil"/>
              <w:tr2bl w:val="nil"/>
            </w:tcBorders>
            <w:shd w:val="clear" w:color="auto" w:fill="auto"/>
            <w:vAlign w:val="center"/>
          </w:tcPr>
          <w:p w14:paraId="0C27B094">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pacing w:val="0"/>
                <w:w w:val="100"/>
                <w:position w:val="0"/>
                <w:sz w:val="21"/>
                <w:szCs w:val="21"/>
                <w:highlight w:val="none"/>
                <w:shd w:val="clear" w:color="auto" w:fill="auto"/>
                <w:lang w:val="en-US" w:eastAsia="zh-CN"/>
              </w:rPr>
            </w:pPr>
            <w:r>
              <w:rPr>
                <w:rFonts w:hint="eastAsia" w:cs="宋体"/>
                <w:color w:val="000000"/>
                <w:spacing w:val="0"/>
                <w:w w:val="100"/>
                <w:position w:val="0"/>
                <w:sz w:val="21"/>
                <w:szCs w:val="21"/>
                <w:highlight w:val="none"/>
                <w:shd w:val="clear" w:color="auto" w:fill="auto"/>
                <w:lang w:val="en-US" w:eastAsia="zh-CN"/>
              </w:rPr>
              <w:t>98.9</w:t>
            </w:r>
          </w:p>
        </w:tc>
        <w:tc>
          <w:tcPr>
            <w:tcW w:w="789" w:type="pct"/>
            <w:tcBorders>
              <w:tl2br w:val="nil"/>
              <w:tr2bl w:val="nil"/>
            </w:tcBorders>
            <w:shd w:val="clear" w:color="auto" w:fill="auto"/>
            <w:vAlign w:val="center"/>
          </w:tcPr>
          <w:p w14:paraId="55F7339B">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rPr>
            </w:pPr>
          </w:p>
        </w:tc>
      </w:tr>
      <w:tr w14:paraId="73D068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63" w:hRule="atLeast"/>
          <w:jc w:val="center"/>
        </w:trPr>
        <w:tc>
          <w:tcPr>
            <w:tcW w:w="284" w:type="pct"/>
            <w:tcBorders>
              <w:tl2br w:val="nil"/>
              <w:tr2bl w:val="nil"/>
            </w:tcBorders>
            <w:shd w:val="clear" w:color="auto" w:fill="auto"/>
            <w:vAlign w:val="center"/>
          </w:tcPr>
          <w:p w14:paraId="17819DFC">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rPr>
            </w:pPr>
          </w:p>
        </w:tc>
        <w:tc>
          <w:tcPr>
            <w:tcW w:w="2106" w:type="pct"/>
            <w:tcBorders>
              <w:tl2br w:val="nil"/>
              <w:tr2bl w:val="nil"/>
            </w:tcBorders>
            <w:shd w:val="clear" w:color="auto" w:fill="auto"/>
            <w:vAlign w:val="center"/>
          </w:tcPr>
          <w:p w14:paraId="579BEEA2">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事故围堰、事故坑</w:t>
            </w:r>
          </w:p>
        </w:tc>
        <w:tc>
          <w:tcPr>
            <w:tcW w:w="523" w:type="pct"/>
            <w:tcBorders>
              <w:tl2br w:val="nil"/>
              <w:tr2bl w:val="nil"/>
            </w:tcBorders>
            <w:shd w:val="clear" w:color="auto" w:fill="auto"/>
            <w:vAlign w:val="center"/>
          </w:tcPr>
          <w:p w14:paraId="70D6DFC3">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个</w:t>
            </w:r>
          </w:p>
        </w:tc>
        <w:tc>
          <w:tcPr>
            <w:tcW w:w="526" w:type="pct"/>
            <w:tcBorders>
              <w:tl2br w:val="nil"/>
              <w:tr2bl w:val="nil"/>
            </w:tcBorders>
            <w:shd w:val="clear" w:color="auto" w:fill="auto"/>
            <w:vAlign w:val="center"/>
          </w:tcPr>
          <w:p w14:paraId="05E36F1D">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2</w:t>
            </w:r>
          </w:p>
        </w:tc>
        <w:tc>
          <w:tcPr>
            <w:tcW w:w="770" w:type="pct"/>
            <w:tcBorders>
              <w:tl2br w:val="nil"/>
              <w:tr2bl w:val="nil"/>
            </w:tcBorders>
            <w:shd w:val="clear" w:color="auto" w:fill="auto"/>
            <w:vAlign w:val="center"/>
          </w:tcPr>
          <w:p w14:paraId="0C6B457F">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000000"/>
                <w:spacing w:val="0"/>
                <w:w w:val="100"/>
                <w:position w:val="0"/>
                <w:sz w:val="21"/>
                <w:szCs w:val="21"/>
                <w:highlight w:val="none"/>
                <w:shd w:val="clear" w:color="auto" w:fill="auto"/>
                <w:lang w:val="en-US" w:eastAsia="zh-CN"/>
              </w:rPr>
            </w:pPr>
            <w:r>
              <w:rPr>
                <w:rFonts w:hint="eastAsia" w:cs="宋体"/>
                <w:color w:val="000000"/>
                <w:spacing w:val="0"/>
                <w:w w:val="100"/>
                <w:position w:val="0"/>
                <w:sz w:val="21"/>
                <w:szCs w:val="21"/>
                <w:highlight w:val="none"/>
                <w:shd w:val="clear" w:color="auto" w:fill="auto"/>
                <w:lang w:val="en-US" w:eastAsia="zh-CN"/>
              </w:rPr>
              <w:t>56.5</w:t>
            </w:r>
          </w:p>
        </w:tc>
        <w:tc>
          <w:tcPr>
            <w:tcW w:w="789" w:type="pct"/>
            <w:tcBorders>
              <w:tl2br w:val="nil"/>
              <w:tr2bl w:val="nil"/>
            </w:tcBorders>
            <w:shd w:val="clear" w:color="auto" w:fill="auto"/>
            <w:vAlign w:val="center"/>
          </w:tcPr>
          <w:p w14:paraId="20B3C223">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rPr>
            </w:pPr>
          </w:p>
        </w:tc>
      </w:tr>
      <w:tr w14:paraId="668D56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63" w:hRule="atLeast"/>
          <w:jc w:val="center"/>
        </w:trPr>
        <w:tc>
          <w:tcPr>
            <w:tcW w:w="284" w:type="pct"/>
            <w:tcBorders>
              <w:tl2br w:val="nil"/>
              <w:tr2bl w:val="nil"/>
            </w:tcBorders>
            <w:shd w:val="clear" w:color="auto" w:fill="auto"/>
            <w:vAlign w:val="center"/>
          </w:tcPr>
          <w:p w14:paraId="29EA82A9">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eastAsia="zh-CN"/>
              </w:rPr>
            </w:pPr>
            <w:r>
              <w:rPr>
                <w:rFonts w:hint="eastAsia" w:cs="宋体"/>
                <w:b/>
                <w:bCs/>
                <w:color w:val="000000"/>
                <w:spacing w:val="0"/>
                <w:w w:val="100"/>
                <w:position w:val="0"/>
                <w:sz w:val="21"/>
                <w:szCs w:val="21"/>
                <w:shd w:val="clear" w:color="auto" w:fill="auto"/>
                <w:lang w:val="en-US" w:eastAsia="zh-CN" w:bidi="en-US"/>
              </w:rPr>
              <w:t>3</w:t>
            </w:r>
          </w:p>
        </w:tc>
        <w:tc>
          <w:tcPr>
            <w:tcW w:w="3155" w:type="pct"/>
            <w:gridSpan w:val="3"/>
            <w:tcBorders>
              <w:tl2br w:val="nil"/>
              <w:tr2bl w:val="nil"/>
            </w:tcBorders>
            <w:shd w:val="clear" w:color="auto" w:fill="auto"/>
            <w:vAlign w:val="center"/>
          </w:tcPr>
          <w:p w14:paraId="003556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pacing w:val="0"/>
                <w:w w:val="100"/>
                <w:position w:val="0"/>
                <w:sz w:val="21"/>
                <w:szCs w:val="21"/>
                <w:shd w:val="clear" w:color="auto" w:fill="auto"/>
              </w:rPr>
            </w:pPr>
            <w:r>
              <w:rPr>
                <w:rFonts w:hint="eastAsia" w:ascii="宋体" w:hAnsi="宋体" w:eastAsia="宋体" w:cs="宋体"/>
                <w:b/>
                <w:bCs/>
                <w:color w:val="000000"/>
                <w:spacing w:val="0"/>
                <w:w w:val="100"/>
                <w:position w:val="0"/>
                <w:sz w:val="21"/>
                <w:szCs w:val="21"/>
                <w:shd w:val="clear" w:color="auto" w:fill="auto"/>
              </w:rPr>
              <w:t>减少与消除事故影响设施</w:t>
            </w:r>
          </w:p>
        </w:tc>
        <w:tc>
          <w:tcPr>
            <w:tcW w:w="770" w:type="pct"/>
            <w:tcBorders>
              <w:tl2br w:val="nil"/>
              <w:tr2bl w:val="nil"/>
            </w:tcBorders>
            <w:shd w:val="clear" w:color="auto" w:fill="auto"/>
            <w:vAlign w:val="center"/>
          </w:tcPr>
          <w:p w14:paraId="1EB029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pacing w:val="0"/>
                <w:w w:val="100"/>
                <w:position w:val="0"/>
                <w:sz w:val="21"/>
                <w:szCs w:val="21"/>
                <w:shd w:val="clear" w:color="auto" w:fill="auto"/>
              </w:rPr>
            </w:pPr>
            <w:r>
              <w:rPr>
                <w:rFonts w:hint="eastAsia" w:ascii="宋体" w:hAnsi="宋体" w:eastAsia="宋体" w:cs="宋体"/>
                <w:b/>
                <w:bCs/>
                <w:color w:val="000000"/>
                <w:spacing w:val="0"/>
                <w:w w:val="100"/>
                <w:position w:val="0"/>
                <w:sz w:val="21"/>
                <w:szCs w:val="21"/>
                <w:shd w:val="clear" w:color="auto" w:fill="auto"/>
              </w:rPr>
              <w:t>228.184</w:t>
            </w:r>
          </w:p>
        </w:tc>
        <w:tc>
          <w:tcPr>
            <w:tcW w:w="789" w:type="pct"/>
            <w:tcBorders>
              <w:tl2br w:val="nil"/>
              <w:tr2bl w:val="nil"/>
            </w:tcBorders>
            <w:shd w:val="clear" w:color="auto" w:fill="auto"/>
            <w:vAlign w:val="center"/>
          </w:tcPr>
          <w:p w14:paraId="1D7D17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pacing w:val="0"/>
                <w:w w:val="100"/>
                <w:position w:val="0"/>
                <w:sz w:val="21"/>
                <w:szCs w:val="21"/>
                <w:shd w:val="clear" w:color="auto" w:fill="auto"/>
              </w:rPr>
            </w:pPr>
          </w:p>
        </w:tc>
      </w:tr>
      <w:tr w14:paraId="7F2795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63" w:hRule="exact"/>
          <w:jc w:val="center"/>
        </w:trPr>
        <w:tc>
          <w:tcPr>
            <w:tcW w:w="284" w:type="pct"/>
            <w:tcBorders>
              <w:tl2br w:val="nil"/>
              <w:tr2bl w:val="nil"/>
            </w:tcBorders>
            <w:shd w:val="clear" w:color="auto" w:fill="auto"/>
            <w:vAlign w:val="center"/>
          </w:tcPr>
          <w:p w14:paraId="303A881E">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shd w:val="clear" w:color="auto" w:fill="auto"/>
            <w:vAlign w:val="center"/>
          </w:tcPr>
          <w:p w14:paraId="1C664338">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手提式干粉灭火器</w:t>
            </w:r>
          </w:p>
        </w:tc>
        <w:tc>
          <w:tcPr>
            <w:tcW w:w="523" w:type="pct"/>
            <w:tcBorders>
              <w:tl2br w:val="nil"/>
              <w:tr2bl w:val="nil"/>
            </w:tcBorders>
            <w:shd w:val="clear" w:color="auto" w:fill="auto"/>
            <w:vAlign w:val="center"/>
          </w:tcPr>
          <w:p w14:paraId="3F173CD2">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具</w:t>
            </w:r>
          </w:p>
        </w:tc>
        <w:tc>
          <w:tcPr>
            <w:tcW w:w="526" w:type="pct"/>
            <w:tcBorders>
              <w:tl2br w:val="nil"/>
              <w:tr2bl w:val="nil"/>
            </w:tcBorders>
            <w:shd w:val="clear" w:color="auto" w:fill="auto"/>
            <w:vAlign w:val="center"/>
          </w:tcPr>
          <w:p w14:paraId="36EAA627">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140</w:t>
            </w:r>
          </w:p>
        </w:tc>
        <w:tc>
          <w:tcPr>
            <w:tcW w:w="770" w:type="pct"/>
            <w:tcBorders>
              <w:tl2br w:val="nil"/>
              <w:tr2bl w:val="nil"/>
            </w:tcBorders>
            <w:shd w:val="clear" w:color="auto" w:fill="auto"/>
            <w:vAlign w:val="center"/>
          </w:tcPr>
          <w:p w14:paraId="16E758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1.4</w:t>
            </w:r>
          </w:p>
        </w:tc>
        <w:tc>
          <w:tcPr>
            <w:tcW w:w="789" w:type="pct"/>
            <w:tcBorders>
              <w:tl2br w:val="nil"/>
              <w:tr2bl w:val="nil"/>
            </w:tcBorders>
            <w:shd w:val="clear" w:color="auto" w:fill="auto"/>
            <w:vAlign w:val="center"/>
          </w:tcPr>
          <w:p w14:paraId="488076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664E49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65" w:hRule="exact"/>
          <w:jc w:val="center"/>
        </w:trPr>
        <w:tc>
          <w:tcPr>
            <w:tcW w:w="284" w:type="pct"/>
            <w:tcBorders>
              <w:tl2br w:val="nil"/>
              <w:tr2bl w:val="nil"/>
            </w:tcBorders>
            <w:shd w:val="clear" w:color="auto" w:fill="auto"/>
            <w:vAlign w:val="center"/>
          </w:tcPr>
          <w:p w14:paraId="33FDBB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shd w:val="clear" w:color="auto" w:fill="auto"/>
            <w:vAlign w:val="center"/>
          </w:tcPr>
          <w:p w14:paraId="119A032D">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消防水泵</w:t>
            </w:r>
          </w:p>
        </w:tc>
        <w:tc>
          <w:tcPr>
            <w:tcW w:w="523" w:type="pct"/>
            <w:tcBorders>
              <w:tl2br w:val="nil"/>
              <w:tr2bl w:val="nil"/>
            </w:tcBorders>
            <w:shd w:val="clear" w:color="auto" w:fill="auto"/>
            <w:vAlign w:val="center"/>
          </w:tcPr>
          <w:p w14:paraId="62547904">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台</w:t>
            </w:r>
          </w:p>
        </w:tc>
        <w:tc>
          <w:tcPr>
            <w:tcW w:w="526" w:type="pct"/>
            <w:tcBorders>
              <w:tl2br w:val="nil"/>
              <w:tr2bl w:val="nil"/>
            </w:tcBorders>
            <w:shd w:val="clear" w:color="auto" w:fill="auto"/>
            <w:vAlign w:val="center"/>
          </w:tcPr>
          <w:p w14:paraId="1284F038">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770" w:type="pct"/>
            <w:tcBorders>
              <w:tl2br w:val="nil"/>
              <w:tr2bl w:val="nil"/>
            </w:tcBorders>
            <w:shd w:val="clear" w:color="auto" w:fill="auto"/>
            <w:vAlign w:val="center"/>
          </w:tcPr>
          <w:p w14:paraId="2E1251CC">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124.8</w:t>
            </w:r>
          </w:p>
        </w:tc>
        <w:tc>
          <w:tcPr>
            <w:tcW w:w="789" w:type="pct"/>
            <w:tcBorders>
              <w:tl2br w:val="nil"/>
              <w:tr2bl w:val="nil"/>
            </w:tcBorders>
            <w:shd w:val="clear" w:color="auto" w:fill="auto"/>
            <w:vAlign w:val="center"/>
          </w:tcPr>
          <w:p w14:paraId="707757E8">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072A79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42" w:hRule="exact"/>
          <w:jc w:val="center"/>
        </w:trPr>
        <w:tc>
          <w:tcPr>
            <w:tcW w:w="284" w:type="pct"/>
            <w:tcBorders>
              <w:tl2br w:val="nil"/>
              <w:tr2bl w:val="nil"/>
            </w:tcBorders>
            <w:shd w:val="clear" w:color="auto" w:fill="auto"/>
            <w:vAlign w:val="center"/>
          </w:tcPr>
          <w:p w14:paraId="45676F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shd w:val="clear" w:color="auto" w:fill="auto"/>
            <w:vAlign w:val="center"/>
          </w:tcPr>
          <w:p w14:paraId="1C6FECE1">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消火栓</w:t>
            </w:r>
          </w:p>
        </w:tc>
        <w:tc>
          <w:tcPr>
            <w:tcW w:w="523" w:type="pct"/>
            <w:tcBorders>
              <w:tl2br w:val="nil"/>
              <w:tr2bl w:val="nil"/>
            </w:tcBorders>
            <w:shd w:val="clear" w:color="auto" w:fill="auto"/>
            <w:vAlign w:val="center"/>
          </w:tcPr>
          <w:p w14:paraId="447A4567">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个</w:t>
            </w:r>
          </w:p>
        </w:tc>
        <w:tc>
          <w:tcPr>
            <w:tcW w:w="526" w:type="pct"/>
            <w:tcBorders>
              <w:tl2br w:val="nil"/>
              <w:tr2bl w:val="nil"/>
            </w:tcBorders>
            <w:shd w:val="clear" w:color="auto" w:fill="auto"/>
            <w:vAlign w:val="center"/>
          </w:tcPr>
          <w:p w14:paraId="18A65E8F">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46</w:t>
            </w:r>
          </w:p>
        </w:tc>
        <w:tc>
          <w:tcPr>
            <w:tcW w:w="770" w:type="pct"/>
            <w:tcBorders>
              <w:tl2br w:val="nil"/>
              <w:tr2bl w:val="nil"/>
            </w:tcBorders>
            <w:shd w:val="clear" w:color="auto" w:fill="auto"/>
            <w:vAlign w:val="center"/>
          </w:tcPr>
          <w:p w14:paraId="6308F585">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14.6</w:t>
            </w:r>
          </w:p>
        </w:tc>
        <w:tc>
          <w:tcPr>
            <w:tcW w:w="789" w:type="pct"/>
            <w:tcBorders>
              <w:tl2br w:val="nil"/>
              <w:tr2bl w:val="nil"/>
            </w:tcBorders>
            <w:shd w:val="clear" w:color="auto" w:fill="auto"/>
            <w:vAlign w:val="center"/>
          </w:tcPr>
          <w:p w14:paraId="46F443A7">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4708D9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57" w:hRule="exact"/>
          <w:jc w:val="center"/>
        </w:trPr>
        <w:tc>
          <w:tcPr>
            <w:tcW w:w="284" w:type="pct"/>
            <w:tcBorders>
              <w:tl2br w:val="nil"/>
              <w:tr2bl w:val="nil"/>
            </w:tcBorders>
            <w:shd w:val="clear" w:color="auto" w:fill="auto"/>
            <w:vAlign w:val="center"/>
          </w:tcPr>
          <w:p w14:paraId="3E70C3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shd w:val="clear" w:color="auto" w:fill="auto"/>
            <w:vAlign w:val="center"/>
          </w:tcPr>
          <w:p w14:paraId="342F58F0">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应急照明灯</w:t>
            </w:r>
          </w:p>
        </w:tc>
        <w:tc>
          <w:tcPr>
            <w:tcW w:w="523" w:type="pct"/>
            <w:tcBorders>
              <w:tl2br w:val="nil"/>
              <w:tr2bl w:val="nil"/>
            </w:tcBorders>
            <w:shd w:val="clear" w:color="auto" w:fill="auto"/>
            <w:vAlign w:val="center"/>
          </w:tcPr>
          <w:p w14:paraId="548FF003">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个</w:t>
            </w:r>
          </w:p>
        </w:tc>
        <w:tc>
          <w:tcPr>
            <w:tcW w:w="526" w:type="pct"/>
            <w:tcBorders>
              <w:tl2br w:val="nil"/>
              <w:tr2bl w:val="nil"/>
            </w:tcBorders>
            <w:shd w:val="clear" w:color="auto" w:fill="auto"/>
            <w:vAlign w:val="center"/>
          </w:tcPr>
          <w:p w14:paraId="140882A9">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w:t>
            </w:r>
          </w:p>
        </w:tc>
        <w:tc>
          <w:tcPr>
            <w:tcW w:w="770" w:type="pct"/>
            <w:tcBorders>
              <w:tl2br w:val="nil"/>
              <w:tr2bl w:val="nil"/>
            </w:tcBorders>
            <w:shd w:val="clear" w:color="auto" w:fill="auto"/>
            <w:vAlign w:val="center"/>
          </w:tcPr>
          <w:p w14:paraId="305B97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0.24</w:t>
            </w:r>
          </w:p>
        </w:tc>
        <w:tc>
          <w:tcPr>
            <w:tcW w:w="789" w:type="pct"/>
            <w:tcBorders>
              <w:tl2br w:val="nil"/>
              <w:tr2bl w:val="nil"/>
            </w:tcBorders>
            <w:shd w:val="clear" w:color="auto" w:fill="auto"/>
            <w:vAlign w:val="center"/>
          </w:tcPr>
          <w:p w14:paraId="507CEB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352DDA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57" w:hRule="exact"/>
          <w:jc w:val="center"/>
        </w:trPr>
        <w:tc>
          <w:tcPr>
            <w:tcW w:w="284" w:type="pct"/>
            <w:tcBorders>
              <w:tl2br w:val="nil"/>
              <w:tr2bl w:val="nil"/>
            </w:tcBorders>
          </w:tcPr>
          <w:p w14:paraId="08C056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vAlign w:val="center"/>
          </w:tcPr>
          <w:p w14:paraId="07CFBAB1">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急救药箱</w:t>
            </w:r>
          </w:p>
        </w:tc>
        <w:tc>
          <w:tcPr>
            <w:tcW w:w="523" w:type="pct"/>
            <w:tcBorders>
              <w:tl2br w:val="nil"/>
              <w:tr2bl w:val="nil"/>
            </w:tcBorders>
            <w:vAlign w:val="center"/>
          </w:tcPr>
          <w:p w14:paraId="7997249A">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个</w:t>
            </w:r>
          </w:p>
        </w:tc>
        <w:tc>
          <w:tcPr>
            <w:tcW w:w="526" w:type="pct"/>
            <w:tcBorders>
              <w:tl2br w:val="nil"/>
              <w:tr2bl w:val="nil"/>
            </w:tcBorders>
            <w:vAlign w:val="center"/>
          </w:tcPr>
          <w:p w14:paraId="4DB84B38">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770" w:type="pct"/>
            <w:tcBorders>
              <w:tl2br w:val="nil"/>
              <w:tr2bl w:val="nil"/>
            </w:tcBorders>
          </w:tcPr>
          <w:p w14:paraId="163F5A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0.2</w:t>
            </w:r>
          </w:p>
        </w:tc>
        <w:tc>
          <w:tcPr>
            <w:tcW w:w="789" w:type="pct"/>
            <w:tcBorders>
              <w:tl2br w:val="nil"/>
              <w:tr2bl w:val="nil"/>
            </w:tcBorders>
          </w:tcPr>
          <w:p w14:paraId="4104D3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0C8610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57" w:hRule="exact"/>
          <w:jc w:val="center"/>
        </w:trPr>
        <w:tc>
          <w:tcPr>
            <w:tcW w:w="284" w:type="pct"/>
            <w:tcBorders>
              <w:tl2br w:val="nil"/>
              <w:tr2bl w:val="nil"/>
            </w:tcBorders>
          </w:tcPr>
          <w:p w14:paraId="09E6EA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vAlign w:val="center"/>
          </w:tcPr>
          <w:p w14:paraId="7979B0BD">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事故箱</w:t>
            </w:r>
          </w:p>
        </w:tc>
        <w:tc>
          <w:tcPr>
            <w:tcW w:w="523" w:type="pct"/>
            <w:tcBorders>
              <w:tl2br w:val="nil"/>
              <w:tr2bl w:val="nil"/>
            </w:tcBorders>
            <w:vAlign w:val="center"/>
          </w:tcPr>
          <w:p w14:paraId="1A125464">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个</w:t>
            </w:r>
          </w:p>
        </w:tc>
        <w:tc>
          <w:tcPr>
            <w:tcW w:w="526" w:type="pct"/>
            <w:tcBorders>
              <w:tl2br w:val="nil"/>
              <w:tr2bl w:val="nil"/>
            </w:tcBorders>
            <w:vAlign w:val="center"/>
          </w:tcPr>
          <w:p w14:paraId="1E79AD41">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770" w:type="pct"/>
            <w:tcBorders>
              <w:tl2br w:val="nil"/>
              <w:tr2bl w:val="nil"/>
            </w:tcBorders>
          </w:tcPr>
          <w:p w14:paraId="110F96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0.4</w:t>
            </w:r>
          </w:p>
        </w:tc>
        <w:tc>
          <w:tcPr>
            <w:tcW w:w="789" w:type="pct"/>
            <w:tcBorders>
              <w:tl2br w:val="nil"/>
              <w:tr2bl w:val="nil"/>
            </w:tcBorders>
          </w:tcPr>
          <w:p w14:paraId="041D17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56512A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57" w:hRule="exact"/>
          <w:jc w:val="center"/>
        </w:trPr>
        <w:tc>
          <w:tcPr>
            <w:tcW w:w="284" w:type="pct"/>
            <w:tcBorders>
              <w:tl2br w:val="nil"/>
              <w:tr2bl w:val="nil"/>
            </w:tcBorders>
          </w:tcPr>
          <w:p w14:paraId="4E0798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vAlign w:val="center"/>
          </w:tcPr>
          <w:p w14:paraId="16C5A3CE">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担架</w:t>
            </w:r>
          </w:p>
        </w:tc>
        <w:tc>
          <w:tcPr>
            <w:tcW w:w="523" w:type="pct"/>
            <w:tcBorders>
              <w:tl2br w:val="nil"/>
              <w:tr2bl w:val="nil"/>
            </w:tcBorders>
            <w:vAlign w:val="center"/>
          </w:tcPr>
          <w:p w14:paraId="2E45517C">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副</w:t>
            </w:r>
          </w:p>
        </w:tc>
        <w:tc>
          <w:tcPr>
            <w:tcW w:w="526" w:type="pct"/>
            <w:tcBorders>
              <w:tl2br w:val="nil"/>
              <w:tr2bl w:val="nil"/>
            </w:tcBorders>
            <w:vAlign w:val="center"/>
          </w:tcPr>
          <w:p w14:paraId="65421F6B">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770" w:type="pct"/>
            <w:tcBorders>
              <w:tl2br w:val="nil"/>
              <w:tr2bl w:val="nil"/>
            </w:tcBorders>
          </w:tcPr>
          <w:p w14:paraId="5F307E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0.04</w:t>
            </w:r>
          </w:p>
        </w:tc>
        <w:tc>
          <w:tcPr>
            <w:tcW w:w="789" w:type="pct"/>
            <w:tcBorders>
              <w:tl2br w:val="nil"/>
              <w:tr2bl w:val="nil"/>
            </w:tcBorders>
          </w:tcPr>
          <w:p w14:paraId="145ADE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0A50F1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57" w:hRule="exact"/>
          <w:jc w:val="center"/>
        </w:trPr>
        <w:tc>
          <w:tcPr>
            <w:tcW w:w="284" w:type="pct"/>
            <w:tcBorders>
              <w:tl2br w:val="nil"/>
              <w:tr2bl w:val="nil"/>
            </w:tcBorders>
          </w:tcPr>
          <w:p w14:paraId="46705E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vAlign w:val="center"/>
          </w:tcPr>
          <w:p w14:paraId="597F5BE2">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活动扳手</w:t>
            </w:r>
          </w:p>
        </w:tc>
        <w:tc>
          <w:tcPr>
            <w:tcW w:w="523" w:type="pct"/>
            <w:tcBorders>
              <w:tl2br w:val="nil"/>
              <w:tr2bl w:val="nil"/>
            </w:tcBorders>
            <w:vAlign w:val="center"/>
          </w:tcPr>
          <w:p w14:paraId="1E219D10">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把</w:t>
            </w:r>
          </w:p>
        </w:tc>
        <w:tc>
          <w:tcPr>
            <w:tcW w:w="526" w:type="pct"/>
            <w:tcBorders>
              <w:tl2br w:val="nil"/>
              <w:tr2bl w:val="nil"/>
            </w:tcBorders>
            <w:vAlign w:val="center"/>
          </w:tcPr>
          <w:p w14:paraId="58EB5D1C">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770" w:type="pct"/>
            <w:tcBorders>
              <w:tl2br w:val="nil"/>
              <w:tr2bl w:val="nil"/>
            </w:tcBorders>
          </w:tcPr>
          <w:p w14:paraId="78962F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0.004</w:t>
            </w:r>
          </w:p>
        </w:tc>
        <w:tc>
          <w:tcPr>
            <w:tcW w:w="789" w:type="pct"/>
            <w:tcBorders>
              <w:tl2br w:val="nil"/>
              <w:tr2bl w:val="nil"/>
            </w:tcBorders>
          </w:tcPr>
          <w:p w14:paraId="20096F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5B41F0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57" w:hRule="exact"/>
          <w:jc w:val="center"/>
        </w:trPr>
        <w:tc>
          <w:tcPr>
            <w:tcW w:w="284" w:type="pct"/>
            <w:tcBorders>
              <w:tl2br w:val="nil"/>
              <w:tr2bl w:val="nil"/>
            </w:tcBorders>
          </w:tcPr>
          <w:p w14:paraId="0A51D5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vAlign w:val="center"/>
          </w:tcPr>
          <w:p w14:paraId="0E616F63">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工作服</w:t>
            </w:r>
          </w:p>
        </w:tc>
        <w:tc>
          <w:tcPr>
            <w:tcW w:w="523" w:type="pct"/>
            <w:tcBorders>
              <w:tl2br w:val="nil"/>
              <w:tr2bl w:val="nil"/>
            </w:tcBorders>
            <w:vAlign w:val="center"/>
          </w:tcPr>
          <w:p w14:paraId="321929FC">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526" w:type="pct"/>
            <w:tcBorders>
              <w:tl2br w:val="nil"/>
              <w:tr2bl w:val="nil"/>
            </w:tcBorders>
            <w:vAlign w:val="center"/>
          </w:tcPr>
          <w:p w14:paraId="03337108">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300</w:t>
            </w:r>
          </w:p>
        </w:tc>
        <w:tc>
          <w:tcPr>
            <w:tcW w:w="770" w:type="pct"/>
            <w:tcBorders>
              <w:tl2br w:val="nil"/>
              <w:tr2bl w:val="nil"/>
            </w:tcBorders>
          </w:tcPr>
          <w:p w14:paraId="607C86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32</w:t>
            </w:r>
          </w:p>
        </w:tc>
        <w:tc>
          <w:tcPr>
            <w:tcW w:w="789" w:type="pct"/>
            <w:tcBorders>
              <w:tl2br w:val="nil"/>
              <w:tr2bl w:val="nil"/>
            </w:tcBorders>
          </w:tcPr>
          <w:p w14:paraId="14D166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086E92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57" w:hRule="exact"/>
          <w:jc w:val="center"/>
        </w:trPr>
        <w:tc>
          <w:tcPr>
            <w:tcW w:w="284" w:type="pct"/>
            <w:tcBorders>
              <w:tl2br w:val="nil"/>
              <w:tr2bl w:val="nil"/>
            </w:tcBorders>
          </w:tcPr>
          <w:p w14:paraId="0D671A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vAlign w:val="center"/>
          </w:tcPr>
          <w:p w14:paraId="376C39C7">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安全帽</w:t>
            </w:r>
          </w:p>
        </w:tc>
        <w:tc>
          <w:tcPr>
            <w:tcW w:w="523" w:type="pct"/>
            <w:tcBorders>
              <w:tl2br w:val="nil"/>
              <w:tr2bl w:val="nil"/>
            </w:tcBorders>
            <w:vAlign w:val="center"/>
          </w:tcPr>
          <w:p w14:paraId="6613C494">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顶</w:t>
            </w:r>
          </w:p>
        </w:tc>
        <w:tc>
          <w:tcPr>
            <w:tcW w:w="526" w:type="pct"/>
            <w:tcBorders>
              <w:tl2br w:val="nil"/>
              <w:tr2bl w:val="nil"/>
            </w:tcBorders>
            <w:vAlign w:val="center"/>
          </w:tcPr>
          <w:p w14:paraId="3C1665AB">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300</w:t>
            </w:r>
          </w:p>
        </w:tc>
        <w:tc>
          <w:tcPr>
            <w:tcW w:w="770" w:type="pct"/>
            <w:tcBorders>
              <w:tl2br w:val="nil"/>
              <w:tr2bl w:val="nil"/>
            </w:tcBorders>
          </w:tcPr>
          <w:p w14:paraId="1C64DE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20</w:t>
            </w:r>
          </w:p>
        </w:tc>
        <w:tc>
          <w:tcPr>
            <w:tcW w:w="789" w:type="pct"/>
            <w:tcBorders>
              <w:tl2br w:val="nil"/>
              <w:tr2bl w:val="nil"/>
            </w:tcBorders>
          </w:tcPr>
          <w:p w14:paraId="341E33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571E49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57" w:hRule="exact"/>
          <w:jc w:val="center"/>
        </w:trPr>
        <w:tc>
          <w:tcPr>
            <w:tcW w:w="284" w:type="pct"/>
            <w:tcBorders>
              <w:tl2br w:val="nil"/>
              <w:tr2bl w:val="nil"/>
            </w:tcBorders>
          </w:tcPr>
          <w:p w14:paraId="2ED7CA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vAlign w:val="center"/>
          </w:tcPr>
          <w:p w14:paraId="5E497FDA">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工作鞋</w:t>
            </w:r>
          </w:p>
        </w:tc>
        <w:tc>
          <w:tcPr>
            <w:tcW w:w="523" w:type="pct"/>
            <w:tcBorders>
              <w:tl2br w:val="nil"/>
              <w:tr2bl w:val="nil"/>
            </w:tcBorders>
            <w:vAlign w:val="center"/>
          </w:tcPr>
          <w:p w14:paraId="46DBD2A1">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双</w:t>
            </w:r>
          </w:p>
        </w:tc>
        <w:tc>
          <w:tcPr>
            <w:tcW w:w="526" w:type="pct"/>
            <w:tcBorders>
              <w:tl2br w:val="nil"/>
              <w:tr2bl w:val="nil"/>
            </w:tcBorders>
            <w:vAlign w:val="center"/>
          </w:tcPr>
          <w:p w14:paraId="38BFD7A3">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300</w:t>
            </w:r>
          </w:p>
        </w:tc>
        <w:tc>
          <w:tcPr>
            <w:tcW w:w="770" w:type="pct"/>
            <w:tcBorders>
              <w:tl2br w:val="nil"/>
              <w:tr2bl w:val="nil"/>
            </w:tcBorders>
          </w:tcPr>
          <w:p w14:paraId="4C5E19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33</w:t>
            </w:r>
          </w:p>
        </w:tc>
        <w:tc>
          <w:tcPr>
            <w:tcW w:w="789" w:type="pct"/>
            <w:tcBorders>
              <w:tl2br w:val="nil"/>
              <w:tr2bl w:val="nil"/>
            </w:tcBorders>
          </w:tcPr>
          <w:p w14:paraId="183CC4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179729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57" w:hRule="exact"/>
          <w:jc w:val="center"/>
        </w:trPr>
        <w:tc>
          <w:tcPr>
            <w:tcW w:w="284" w:type="pct"/>
            <w:tcBorders>
              <w:tl2br w:val="nil"/>
              <w:tr2bl w:val="nil"/>
            </w:tcBorders>
          </w:tcPr>
          <w:p w14:paraId="44C526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106" w:type="pct"/>
            <w:tcBorders>
              <w:tl2br w:val="nil"/>
              <w:tr2bl w:val="nil"/>
            </w:tcBorders>
            <w:vAlign w:val="center"/>
          </w:tcPr>
          <w:p w14:paraId="79E23258">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ascii="宋体" w:hAnsi="宋体" w:eastAsia="宋体" w:cs="宋体"/>
                <w:color w:val="000000"/>
                <w:spacing w:val="0"/>
                <w:w w:val="100"/>
                <w:position w:val="0"/>
                <w:sz w:val="21"/>
                <w:szCs w:val="21"/>
                <w:highlight w:val="none"/>
                <w:shd w:val="clear" w:color="auto" w:fill="auto"/>
              </w:rPr>
              <w:t>防尘口罩</w:t>
            </w:r>
          </w:p>
        </w:tc>
        <w:tc>
          <w:tcPr>
            <w:tcW w:w="523" w:type="pct"/>
            <w:tcBorders>
              <w:tl2br w:val="nil"/>
              <w:tr2bl w:val="nil"/>
            </w:tcBorders>
            <w:vAlign w:val="center"/>
          </w:tcPr>
          <w:p w14:paraId="2776007A">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套</w:t>
            </w:r>
          </w:p>
        </w:tc>
        <w:tc>
          <w:tcPr>
            <w:tcW w:w="526" w:type="pct"/>
            <w:tcBorders>
              <w:tl2br w:val="nil"/>
              <w:tr2bl w:val="nil"/>
            </w:tcBorders>
            <w:vAlign w:val="center"/>
          </w:tcPr>
          <w:p w14:paraId="2364E12F">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300</w:t>
            </w:r>
          </w:p>
        </w:tc>
        <w:tc>
          <w:tcPr>
            <w:tcW w:w="770" w:type="pct"/>
            <w:tcBorders>
              <w:tl2br w:val="nil"/>
              <w:tr2bl w:val="nil"/>
            </w:tcBorders>
          </w:tcPr>
          <w:p w14:paraId="67E0ED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1.5</w:t>
            </w:r>
          </w:p>
        </w:tc>
        <w:tc>
          <w:tcPr>
            <w:tcW w:w="789" w:type="pct"/>
            <w:tcBorders>
              <w:tl2br w:val="nil"/>
              <w:tr2bl w:val="nil"/>
            </w:tcBorders>
          </w:tcPr>
          <w:p w14:paraId="26FC3C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r w14:paraId="6C5438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357" w:hRule="exact"/>
          <w:jc w:val="center"/>
        </w:trPr>
        <w:tc>
          <w:tcPr>
            <w:tcW w:w="284" w:type="pct"/>
            <w:tcBorders>
              <w:tl2br w:val="nil"/>
              <w:tr2bl w:val="nil"/>
            </w:tcBorders>
          </w:tcPr>
          <w:p w14:paraId="597A8A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4</w:t>
            </w:r>
          </w:p>
        </w:tc>
        <w:tc>
          <w:tcPr>
            <w:tcW w:w="2106" w:type="pct"/>
            <w:tcBorders>
              <w:tl2br w:val="nil"/>
              <w:tr2bl w:val="nil"/>
            </w:tcBorders>
            <w:vAlign w:val="center"/>
          </w:tcPr>
          <w:p w14:paraId="40E1522C">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pacing w:val="0"/>
                <w:w w:val="100"/>
                <w:position w:val="0"/>
                <w:sz w:val="21"/>
                <w:szCs w:val="21"/>
                <w:highlight w:val="none"/>
                <w:shd w:val="clear" w:color="auto" w:fill="auto"/>
                <w:lang w:val="en-US" w:eastAsia="zh-CN"/>
              </w:rPr>
            </w:pPr>
            <w:r>
              <w:rPr>
                <w:rFonts w:hint="eastAsia" w:cs="宋体"/>
                <w:b/>
                <w:bCs/>
                <w:color w:val="000000"/>
                <w:spacing w:val="0"/>
                <w:w w:val="100"/>
                <w:position w:val="0"/>
                <w:sz w:val="21"/>
                <w:szCs w:val="21"/>
                <w:highlight w:val="none"/>
                <w:shd w:val="clear" w:color="auto" w:fill="auto"/>
                <w:lang w:val="en-US" w:eastAsia="zh-CN"/>
              </w:rPr>
              <w:t>合计</w:t>
            </w:r>
          </w:p>
        </w:tc>
        <w:tc>
          <w:tcPr>
            <w:tcW w:w="523" w:type="pct"/>
            <w:tcBorders>
              <w:tl2br w:val="nil"/>
              <w:tr2bl w:val="nil"/>
            </w:tcBorders>
            <w:vAlign w:val="center"/>
          </w:tcPr>
          <w:p w14:paraId="28E1A554">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p>
        </w:tc>
        <w:tc>
          <w:tcPr>
            <w:tcW w:w="526" w:type="pct"/>
            <w:tcBorders>
              <w:tl2br w:val="nil"/>
              <w:tr2bl w:val="nil"/>
            </w:tcBorders>
            <w:vAlign w:val="center"/>
          </w:tcPr>
          <w:p w14:paraId="00665335">
            <w:pPr>
              <w:pStyle w:val="92"/>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p>
        </w:tc>
        <w:tc>
          <w:tcPr>
            <w:tcW w:w="770" w:type="pct"/>
            <w:tcBorders>
              <w:tl2br w:val="nil"/>
              <w:tr2bl w:val="nil"/>
            </w:tcBorders>
          </w:tcPr>
          <w:p w14:paraId="7E7EBE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宋体"/>
                <w:sz w:val="21"/>
                <w:szCs w:val="21"/>
                <w:lang w:val="en-US" w:eastAsia="zh-CN"/>
              </w:rPr>
            </w:pPr>
            <w:r>
              <w:rPr>
                <w:rFonts w:hint="eastAsia" w:cs="宋体"/>
                <w:sz w:val="21"/>
                <w:szCs w:val="21"/>
                <w:lang w:val="en-US" w:eastAsia="zh-CN"/>
              </w:rPr>
              <w:t>1,146.964</w:t>
            </w:r>
          </w:p>
        </w:tc>
        <w:tc>
          <w:tcPr>
            <w:tcW w:w="789" w:type="pct"/>
            <w:tcBorders>
              <w:tl2br w:val="nil"/>
              <w:tr2bl w:val="nil"/>
            </w:tcBorders>
          </w:tcPr>
          <w:p w14:paraId="639099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r>
    </w:tbl>
    <w:p w14:paraId="02E968CA">
      <w:pPr>
        <w:pStyle w:val="3"/>
        <w:keepNext w:val="0"/>
        <w:keepLines w:val="0"/>
        <w:pageBreakBefore w:val="0"/>
        <w:widowControl w:val="0"/>
        <w:kinsoku/>
        <w:wordWrap/>
        <w:overflowPunct/>
        <w:topLinePunct w:val="0"/>
        <w:autoSpaceDE/>
        <w:autoSpaceDN/>
        <w:bidi w:val="0"/>
        <w:adjustRightInd/>
        <w:snapToGrid w:val="0"/>
        <w:ind w:left="573" w:hanging="573"/>
        <w:textAlignment w:val="auto"/>
        <w:rPr>
          <w:rFonts w:hint="eastAsia"/>
          <w:lang w:val="en-US" w:eastAsia="zh-CN"/>
        </w:rPr>
      </w:pPr>
      <w:bookmarkStart w:id="444" w:name="_Toc30851"/>
      <w:r>
        <w:rPr>
          <w:rFonts w:hint="eastAsia"/>
          <w:lang w:val="en-US" w:eastAsia="zh-CN"/>
        </w:rPr>
        <w:t>设计变更</w:t>
      </w:r>
      <w:bookmarkEnd w:id="439"/>
      <w:bookmarkEnd w:id="440"/>
      <w:bookmarkEnd w:id="441"/>
      <w:bookmarkEnd w:id="442"/>
      <w:bookmarkEnd w:id="444"/>
    </w:p>
    <w:p w14:paraId="3C81DAE1">
      <w:pPr>
        <w:bidi w:val="0"/>
        <w:rPr>
          <w:rFonts w:hint="eastAsia"/>
        </w:rPr>
      </w:pPr>
      <w:r>
        <w:rPr>
          <w:rFonts w:hint="eastAsia"/>
        </w:rPr>
        <w:t>本项目</w:t>
      </w:r>
      <w:r>
        <w:rPr>
          <w:rFonts w:hint="eastAsia"/>
          <w:lang w:val="en-US" w:eastAsia="zh-CN"/>
        </w:rPr>
        <w:t>未发生</w:t>
      </w:r>
      <w:r>
        <w:rPr>
          <w:rFonts w:hint="eastAsia"/>
        </w:rPr>
        <w:t>设计变更。</w:t>
      </w:r>
    </w:p>
    <w:p w14:paraId="43A5D222">
      <w:pPr>
        <w:pStyle w:val="3"/>
        <w:bidi w:val="0"/>
        <w:rPr>
          <w:rFonts w:hint="eastAsia"/>
          <w:lang w:val="en-US" w:eastAsia="zh-CN"/>
        </w:rPr>
      </w:pPr>
      <w:bookmarkStart w:id="445" w:name="_Toc55945241"/>
      <w:bookmarkStart w:id="446" w:name="_Toc5538"/>
      <w:bookmarkStart w:id="447" w:name="_Toc60925347"/>
      <w:bookmarkStart w:id="448" w:name="_Toc5964"/>
      <w:bookmarkStart w:id="449" w:name="_Toc17192"/>
      <w:r>
        <w:rPr>
          <w:rFonts w:hint="eastAsia"/>
          <w:lang w:val="en-US" w:eastAsia="zh-CN"/>
        </w:rPr>
        <w:t>施工、监理单位资质</w:t>
      </w:r>
      <w:bookmarkEnd w:id="445"/>
      <w:bookmarkEnd w:id="446"/>
      <w:bookmarkEnd w:id="447"/>
      <w:bookmarkEnd w:id="448"/>
      <w:bookmarkEnd w:id="449"/>
    </w:p>
    <w:p w14:paraId="45863711">
      <w:pPr>
        <w:keepNext w:val="0"/>
        <w:keepLines w:val="0"/>
        <w:pageBreakBefore w:val="0"/>
        <w:widowControl w:val="0"/>
        <w:numPr>
          <w:ilvl w:val="0"/>
          <w:numId w:val="0"/>
        </w:numPr>
        <w:kinsoku/>
        <w:wordWrap/>
        <w:topLinePunct/>
        <w:bidi w:val="0"/>
        <w:ind w:left="0" w:leftChars="0" w:right="0" w:rightChars="0" w:firstLine="0" w:firstLineChars="0"/>
        <w:jc w:val="center"/>
        <w:rPr>
          <w:rFonts w:hint="eastAsia" w:ascii="Times New Roman" w:hAnsi="Times New Roman" w:eastAsia="宋体" w:cs="Times New Roman"/>
          <w:b/>
          <w:bCs w:val="0"/>
          <w:color w:val="auto"/>
          <w:spacing w:val="8"/>
          <w:sz w:val="24"/>
          <w:highlight w:val="none"/>
        </w:rPr>
      </w:pPr>
      <w:r>
        <w:rPr>
          <w:rFonts w:hint="eastAsia" w:ascii="Times New Roman" w:hAnsi="Times New Roman" w:eastAsia="宋体" w:cs="Times New Roman"/>
          <w:b/>
          <w:bCs w:val="0"/>
          <w:color w:val="auto"/>
          <w:spacing w:val="8"/>
          <w:sz w:val="24"/>
          <w:highlight w:val="none"/>
          <w:lang w:val="en-US" w:eastAsia="zh-CN"/>
        </w:rPr>
        <w:t>表</w:t>
      </w:r>
      <w:r>
        <w:rPr>
          <w:rFonts w:hint="eastAsia" w:ascii="Times New Roman" w:hAnsi="Times New Roman" w:eastAsia="宋体" w:cs="Times New Roman"/>
          <w:b/>
          <w:bCs w:val="0"/>
          <w:color w:val="auto"/>
          <w:spacing w:val="8"/>
          <w:sz w:val="24"/>
          <w:highlight w:val="none"/>
          <w:lang w:val="en-US" w:eastAsia="zh-CN"/>
        </w:rPr>
        <w:fldChar w:fldCharType="begin"/>
      </w:r>
      <w:r>
        <w:rPr>
          <w:rFonts w:hint="eastAsia" w:ascii="Times New Roman" w:hAnsi="Times New Roman" w:eastAsia="宋体" w:cs="Times New Roman"/>
          <w:b/>
          <w:bCs w:val="0"/>
          <w:color w:val="auto"/>
          <w:spacing w:val="8"/>
          <w:sz w:val="24"/>
          <w:highlight w:val="none"/>
          <w:lang w:val="en-US" w:eastAsia="zh-CN"/>
        </w:rPr>
        <w:instrText xml:space="preserve"> STYLEREF 1 \s </w:instrText>
      </w:r>
      <w:r>
        <w:rPr>
          <w:rFonts w:hint="eastAsia" w:ascii="Times New Roman" w:hAnsi="Times New Roman" w:eastAsia="宋体" w:cs="Times New Roman"/>
          <w:b/>
          <w:bCs w:val="0"/>
          <w:color w:val="auto"/>
          <w:spacing w:val="8"/>
          <w:sz w:val="24"/>
          <w:highlight w:val="none"/>
          <w:lang w:val="en-US" w:eastAsia="zh-CN"/>
        </w:rPr>
        <w:fldChar w:fldCharType="separate"/>
      </w:r>
      <w:r>
        <w:rPr>
          <w:rFonts w:hint="eastAsia" w:ascii="Times New Roman" w:hAnsi="Times New Roman" w:eastAsia="宋体" w:cs="Times New Roman"/>
          <w:b/>
          <w:bCs w:val="0"/>
          <w:color w:val="auto"/>
          <w:spacing w:val="8"/>
          <w:sz w:val="24"/>
          <w:highlight w:val="none"/>
          <w:lang w:val="en-US" w:eastAsia="zh-CN"/>
        </w:rPr>
        <w:t>2</w:t>
      </w:r>
      <w:r>
        <w:rPr>
          <w:rFonts w:hint="eastAsia" w:ascii="Times New Roman" w:hAnsi="Times New Roman" w:eastAsia="宋体" w:cs="Times New Roman"/>
          <w:b/>
          <w:bCs w:val="0"/>
          <w:color w:val="auto"/>
          <w:spacing w:val="8"/>
          <w:sz w:val="24"/>
          <w:highlight w:val="none"/>
          <w:lang w:val="en-US" w:eastAsia="zh-CN"/>
        </w:rPr>
        <w:fldChar w:fldCharType="end"/>
      </w:r>
      <w:r>
        <w:rPr>
          <w:rFonts w:hint="eastAsia" w:ascii="Times New Roman" w:hAnsi="Times New Roman" w:eastAsia="宋体" w:cs="Times New Roman"/>
          <w:b/>
          <w:bCs w:val="0"/>
          <w:color w:val="auto"/>
          <w:spacing w:val="8"/>
          <w:sz w:val="24"/>
          <w:highlight w:val="none"/>
          <w:lang w:val="en-US" w:eastAsia="zh-CN"/>
        </w:rPr>
        <w:t>-</w:t>
      </w:r>
      <w:r>
        <w:rPr>
          <w:rFonts w:hint="eastAsia" w:ascii="Times New Roman" w:hAnsi="Times New Roman" w:eastAsia="宋体" w:cs="Times New Roman"/>
          <w:b/>
          <w:bCs w:val="0"/>
          <w:color w:val="auto"/>
          <w:spacing w:val="8"/>
          <w:sz w:val="24"/>
          <w:highlight w:val="none"/>
          <w:lang w:val="en-US" w:eastAsia="zh-CN"/>
        </w:rPr>
        <w:fldChar w:fldCharType="begin"/>
      </w:r>
      <w:r>
        <w:rPr>
          <w:rFonts w:hint="eastAsia" w:ascii="Times New Roman" w:hAnsi="Times New Roman" w:eastAsia="宋体" w:cs="Times New Roman"/>
          <w:b/>
          <w:bCs w:val="0"/>
          <w:color w:val="auto"/>
          <w:spacing w:val="8"/>
          <w:sz w:val="24"/>
          <w:highlight w:val="none"/>
          <w:lang w:val="en-US" w:eastAsia="zh-CN"/>
        </w:rPr>
        <w:instrText xml:space="preserve"> SEQ 表 \* ARABIC \s 1 </w:instrText>
      </w:r>
      <w:r>
        <w:rPr>
          <w:rFonts w:hint="eastAsia" w:ascii="Times New Roman" w:hAnsi="Times New Roman" w:eastAsia="宋体" w:cs="Times New Roman"/>
          <w:b/>
          <w:bCs w:val="0"/>
          <w:color w:val="auto"/>
          <w:spacing w:val="8"/>
          <w:sz w:val="24"/>
          <w:highlight w:val="none"/>
          <w:lang w:val="en-US" w:eastAsia="zh-CN"/>
        </w:rPr>
        <w:fldChar w:fldCharType="separate"/>
      </w:r>
      <w:r>
        <w:rPr>
          <w:rFonts w:hint="eastAsia" w:ascii="Times New Roman" w:hAnsi="Times New Roman" w:eastAsia="宋体" w:cs="Times New Roman"/>
          <w:b/>
          <w:bCs w:val="0"/>
          <w:color w:val="auto"/>
          <w:spacing w:val="8"/>
          <w:sz w:val="24"/>
          <w:highlight w:val="none"/>
          <w:lang w:val="en-US" w:eastAsia="zh-CN"/>
        </w:rPr>
        <w:t>20</w:t>
      </w:r>
      <w:r>
        <w:rPr>
          <w:rFonts w:hint="eastAsia" w:ascii="Times New Roman" w:hAnsi="Times New Roman" w:eastAsia="宋体" w:cs="Times New Roman"/>
          <w:b/>
          <w:bCs w:val="0"/>
          <w:color w:val="auto"/>
          <w:spacing w:val="8"/>
          <w:sz w:val="24"/>
          <w:highlight w:val="none"/>
          <w:lang w:val="en-US" w:eastAsia="zh-CN"/>
        </w:rPr>
        <w:fldChar w:fldCharType="end"/>
      </w:r>
      <w:r>
        <w:rPr>
          <w:rFonts w:hint="eastAsia" w:ascii="Times New Roman" w:hAnsi="Times New Roman" w:eastAsia="宋体" w:cs="Times New Roman"/>
          <w:b/>
          <w:bCs w:val="0"/>
          <w:color w:val="auto"/>
          <w:spacing w:val="8"/>
          <w:sz w:val="24"/>
          <w:highlight w:val="none"/>
        </w:rPr>
        <w:t>施工</w:t>
      </w:r>
      <w:r>
        <w:rPr>
          <w:rFonts w:hint="eastAsia" w:ascii="Times New Roman" w:hAnsi="Times New Roman" w:eastAsia="宋体" w:cs="Times New Roman"/>
          <w:b/>
          <w:bCs w:val="0"/>
          <w:color w:val="auto"/>
          <w:spacing w:val="8"/>
          <w:sz w:val="24"/>
          <w:highlight w:val="none"/>
          <w:lang w:val="en-US" w:eastAsia="zh-CN"/>
        </w:rPr>
        <w:t>单位</w:t>
      </w:r>
      <w:r>
        <w:rPr>
          <w:rFonts w:hint="eastAsia" w:ascii="Times New Roman" w:hAnsi="Times New Roman" w:eastAsia="宋体" w:cs="Times New Roman"/>
          <w:b/>
          <w:bCs w:val="0"/>
          <w:color w:val="auto"/>
          <w:spacing w:val="8"/>
          <w:sz w:val="24"/>
          <w:highlight w:val="none"/>
        </w:rPr>
        <w:t>资质</w:t>
      </w:r>
    </w:p>
    <w:tbl>
      <w:tblPr>
        <w:tblStyle w:val="32"/>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075"/>
        <w:gridCol w:w="5446"/>
      </w:tblGrid>
      <w:tr w14:paraId="7929C7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804" w:type="pct"/>
            <w:tcBorders>
              <w:tl2br w:val="nil"/>
              <w:tr2bl w:val="nil"/>
            </w:tcBorders>
            <w:noWrap w:val="0"/>
            <w:vAlign w:val="center"/>
          </w:tcPr>
          <w:p w14:paraId="7E9D2841">
            <w:pPr>
              <w:pStyle w:val="86"/>
              <w:keepNext w:val="0"/>
              <w:keepLines w:val="0"/>
              <w:pageBreakBefore w:val="0"/>
              <w:widowControl w:val="0"/>
              <w:suppressLineNumbers w:val="0"/>
              <w:kinsoku/>
              <w:wordWrap/>
              <w:bidi w:val="0"/>
              <w:spacing w:before="0" w:beforeAutospacing="0" w:after="0" w:afterAutospacing="0"/>
              <w:ind w:left="0" w:right="0"/>
              <w:rPr>
                <w:rFonts w:hint="eastAsia" w:ascii="宋体" w:hAnsi="宋体" w:eastAsia="宋体" w:cs="宋体"/>
                <w:b/>
                <w:bCs/>
                <w:color w:val="auto"/>
                <w:sz w:val="21"/>
                <w:szCs w:val="21"/>
              </w:rPr>
            </w:pPr>
            <w:r>
              <w:rPr>
                <w:rFonts w:hint="eastAsia" w:ascii="宋体" w:hAnsi="宋体" w:eastAsia="宋体" w:cs="宋体"/>
                <w:b/>
                <w:bCs/>
                <w:color w:val="auto"/>
                <w:sz w:val="21"/>
                <w:szCs w:val="21"/>
              </w:rPr>
              <w:t>企业名称</w:t>
            </w:r>
          </w:p>
        </w:tc>
        <w:tc>
          <w:tcPr>
            <w:tcW w:w="3195" w:type="pct"/>
            <w:tcBorders>
              <w:tl2br w:val="nil"/>
              <w:tr2bl w:val="nil"/>
            </w:tcBorders>
            <w:noWrap w:val="0"/>
            <w:vAlign w:val="center"/>
          </w:tcPr>
          <w:p w14:paraId="69B6DD22">
            <w:pPr>
              <w:pStyle w:val="86"/>
              <w:keepNext w:val="0"/>
              <w:keepLines w:val="0"/>
              <w:pageBreakBefore w:val="0"/>
              <w:widowControl w:val="0"/>
              <w:suppressLineNumbers w:val="0"/>
              <w:kinsoku/>
              <w:bidi w:val="0"/>
              <w:spacing w:before="0" w:beforeAutospacing="0" w:after="0" w:afterAutospacing="0"/>
              <w:ind w:left="0" w:right="0"/>
              <w:rPr>
                <w:rFonts w:hint="eastAsia" w:ascii="宋体" w:hAnsi="宋体" w:eastAsia="宋体" w:cs="宋体"/>
                <w:sz w:val="21"/>
                <w:szCs w:val="21"/>
                <w:lang w:eastAsia="zh-CN"/>
              </w:rPr>
            </w:pPr>
            <w:r>
              <w:rPr>
                <w:rFonts w:hint="eastAsia" w:ascii="宋体" w:hAnsi="宋体" w:eastAsia="宋体" w:cs="宋体"/>
                <w:sz w:val="21"/>
                <w:szCs w:val="21"/>
                <w:lang w:val="en-US" w:eastAsia="zh-CN"/>
              </w:rPr>
              <w:t>河南敦厚建设有限公司</w:t>
            </w:r>
          </w:p>
        </w:tc>
      </w:tr>
      <w:tr w14:paraId="37A3B8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4" w:type="pct"/>
            <w:tcBorders>
              <w:tl2br w:val="nil"/>
              <w:tr2bl w:val="nil"/>
            </w:tcBorders>
            <w:noWrap w:val="0"/>
            <w:vAlign w:val="center"/>
          </w:tcPr>
          <w:p w14:paraId="2092319E">
            <w:pPr>
              <w:pStyle w:val="86"/>
              <w:keepNext w:val="0"/>
              <w:keepLines w:val="0"/>
              <w:pageBreakBefore w:val="0"/>
              <w:widowControl w:val="0"/>
              <w:suppressLineNumbers w:val="0"/>
              <w:kinsoku/>
              <w:wordWrap/>
              <w:bidi w:val="0"/>
              <w:spacing w:before="0" w:beforeAutospacing="0" w:after="0" w:afterAutospacing="0"/>
              <w:ind w:left="0" w:right="0"/>
              <w:rPr>
                <w:rFonts w:hint="eastAsia" w:ascii="宋体" w:hAnsi="宋体" w:eastAsia="宋体" w:cs="宋体"/>
                <w:b/>
                <w:bCs/>
                <w:color w:val="auto"/>
                <w:sz w:val="21"/>
                <w:szCs w:val="21"/>
              </w:rPr>
            </w:pPr>
            <w:r>
              <w:rPr>
                <w:rFonts w:hint="eastAsia" w:ascii="宋体" w:hAnsi="宋体" w:eastAsia="宋体" w:cs="宋体"/>
                <w:b/>
                <w:bCs/>
                <w:color w:val="auto"/>
                <w:sz w:val="21"/>
                <w:szCs w:val="21"/>
              </w:rPr>
              <w:t>资质类别及等级</w:t>
            </w:r>
          </w:p>
        </w:tc>
        <w:tc>
          <w:tcPr>
            <w:tcW w:w="3195" w:type="pct"/>
            <w:tcBorders>
              <w:tl2br w:val="nil"/>
              <w:tr2bl w:val="nil"/>
            </w:tcBorders>
            <w:noWrap w:val="0"/>
            <w:vAlign w:val="center"/>
          </w:tcPr>
          <w:p w14:paraId="422456B6">
            <w:pPr>
              <w:pStyle w:val="86"/>
              <w:keepNext w:val="0"/>
              <w:keepLines w:val="0"/>
              <w:pageBreakBefore w:val="0"/>
              <w:widowControl w:val="0"/>
              <w:suppressLineNumbers w:val="0"/>
              <w:kinsoku/>
              <w:bidi w:val="0"/>
              <w:spacing w:before="0" w:beforeAutospacing="0" w:after="0" w:afterAutospacing="0"/>
              <w:ind w:left="0" w:right="0"/>
              <w:rPr>
                <w:rFonts w:hint="eastAsia" w:ascii="宋体" w:hAnsi="宋体" w:eastAsia="宋体" w:cs="宋体"/>
                <w:sz w:val="21"/>
                <w:szCs w:val="21"/>
                <w:lang w:val="en-US" w:eastAsia="zh-CN"/>
              </w:rPr>
            </w:pPr>
            <w:r>
              <w:rPr>
                <w:rFonts w:hint="eastAsia" w:asciiTheme="minorEastAsia" w:hAnsiTheme="minorEastAsia" w:eastAsiaTheme="minorEastAsia" w:cstheme="minorEastAsia"/>
                <w:color w:val="auto"/>
                <w:kern w:val="0"/>
                <w:sz w:val="21"/>
                <w:szCs w:val="21"/>
                <w:highlight w:val="none"/>
                <w:lang w:val="en-US" w:eastAsia="zh-CN"/>
              </w:rPr>
              <w:t>建筑工程施工总承包叁级</w:t>
            </w:r>
          </w:p>
        </w:tc>
      </w:tr>
      <w:tr w14:paraId="566EF9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4" w:type="pct"/>
            <w:tcBorders>
              <w:tl2br w:val="nil"/>
              <w:tr2bl w:val="nil"/>
            </w:tcBorders>
            <w:noWrap w:val="0"/>
            <w:vAlign w:val="center"/>
          </w:tcPr>
          <w:p w14:paraId="38D94B24">
            <w:pPr>
              <w:pStyle w:val="86"/>
              <w:keepNext w:val="0"/>
              <w:keepLines w:val="0"/>
              <w:pageBreakBefore w:val="0"/>
              <w:widowControl w:val="0"/>
              <w:suppressLineNumbers w:val="0"/>
              <w:kinsoku/>
              <w:wordWrap/>
              <w:bidi w:val="0"/>
              <w:spacing w:before="0" w:beforeAutospacing="0" w:after="0" w:afterAutospacing="0"/>
              <w:ind w:left="0" w:right="0"/>
              <w:rPr>
                <w:rFonts w:hint="eastAsia" w:ascii="宋体" w:hAnsi="宋体" w:eastAsia="宋体" w:cs="宋体"/>
                <w:b/>
                <w:bCs/>
                <w:color w:val="auto"/>
                <w:sz w:val="21"/>
                <w:szCs w:val="21"/>
              </w:rPr>
            </w:pPr>
            <w:r>
              <w:rPr>
                <w:rFonts w:hint="eastAsia" w:ascii="宋体" w:hAnsi="宋体" w:eastAsia="宋体" w:cs="宋体"/>
                <w:b/>
                <w:bCs/>
                <w:color w:val="auto"/>
                <w:sz w:val="21"/>
                <w:szCs w:val="21"/>
              </w:rPr>
              <w:t>证书编号</w:t>
            </w:r>
          </w:p>
        </w:tc>
        <w:tc>
          <w:tcPr>
            <w:tcW w:w="3195" w:type="pct"/>
            <w:tcBorders>
              <w:tl2br w:val="nil"/>
              <w:tr2bl w:val="nil"/>
            </w:tcBorders>
            <w:noWrap w:val="0"/>
            <w:vAlign w:val="center"/>
          </w:tcPr>
          <w:p w14:paraId="3D82E580">
            <w:pPr>
              <w:pStyle w:val="86"/>
              <w:keepNext w:val="0"/>
              <w:keepLines w:val="0"/>
              <w:pageBreakBefore w:val="0"/>
              <w:widowControl w:val="0"/>
              <w:suppressLineNumbers w:val="0"/>
              <w:kinsoku/>
              <w:bidi w:val="0"/>
              <w:spacing w:before="0" w:beforeAutospacing="0" w:after="0" w:afterAutospacing="0"/>
              <w:ind w:left="0" w:right="0"/>
              <w:rPr>
                <w:rFonts w:hint="eastAsia" w:ascii="宋体" w:hAnsi="宋体" w:eastAsia="宋体" w:cs="宋体"/>
                <w:sz w:val="21"/>
                <w:szCs w:val="21"/>
                <w:lang w:eastAsia="zh-CN"/>
              </w:rPr>
            </w:pPr>
            <w:r>
              <w:rPr>
                <w:rFonts w:hint="eastAsia" w:ascii="宋体" w:hAnsi="宋体" w:eastAsia="宋体" w:cs="宋体"/>
                <w:sz w:val="21"/>
                <w:szCs w:val="21"/>
                <w:lang w:eastAsia="zh-CN"/>
              </w:rPr>
              <w:t>D441232443</w:t>
            </w:r>
          </w:p>
        </w:tc>
      </w:tr>
      <w:tr w14:paraId="13C27E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04" w:type="pct"/>
            <w:tcBorders>
              <w:tl2br w:val="nil"/>
              <w:tr2bl w:val="nil"/>
            </w:tcBorders>
            <w:noWrap w:val="0"/>
            <w:vAlign w:val="center"/>
          </w:tcPr>
          <w:p w14:paraId="7723514E">
            <w:pPr>
              <w:pStyle w:val="86"/>
              <w:keepNext w:val="0"/>
              <w:keepLines w:val="0"/>
              <w:pageBreakBefore w:val="0"/>
              <w:widowControl w:val="0"/>
              <w:suppressLineNumbers w:val="0"/>
              <w:kinsoku/>
              <w:wordWrap/>
              <w:bidi w:val="0"/>
              <w:spacing w:before="0" w:beforeAutospacing="0" w:after="0" w:afterAutospacing="0"/>
              <w:ind w:left="0" w:right="0"/>
              <w:rPr>
                <w:rFonts w:hint="eastAsia" w:ascii="宋体" w:hAnsi="宋体" w:eastAsia="宋体" w:cs="宋体"/>
                <w:b/>
                <w:bCs/>
                <w:color w:val="auto"/>
                <w:sz w:val="21"/>
                <w:szCs w:val="21"/>
              </w:rPr>
            </w:pPr>
            <w:r>
              <w:rPr>
                <w:rFonts w:hint="eastAsia" w:ascii="宋体" w:hAnsi="宋体" w:eastAsia="宋体" w:cs="宋体"/>
                <w:b/>
                <w:bCs/>
                <w:color w:val="auto"/>
                <w:sz w:val="21"/>
                <w:szCs w:val="21"/>
              </w:rPr>
              <w:t>发证机关</w:t>
            </w:r>
          </w:p>
        </w:tc>
        <w:tc>
          <w:tcPr>
            <w:tcW w:w="3195" w:type="pct"/>
            <w:tcBorders>
              <w:tl2br w:val="nil"/>
              <w:tr2bl w:val="nil"/>
            </w:tcBorders>
            <w:noWrap w:val="0"/>
            <w:vAlign w:val="center"/>
          </w:tcPr>
          <w:p w14:paraId="1505B779">
            <w:pPr>
              <w:pStyle w:val="86"/>
              <w:keepNext w:val="0"/>
              <w:keepLines w:val="0"/>
              <w:pageBreakBefore w:val="0"/>
              <w:widowControl w:val="0"/>
              <w:suppressLineNumbers w:val="0"/>
              <w:kinsoku/>
              <w:bidi w:val="0"/>
              <w:spacing w:before="0" w:beforeAutospacing="0" w:after="0" w:afterAutospacing="0"/>
              <w:ind w:left="0" w:right="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长垣市住房和城乡建设</w:t>
            </w:r>
            <w:r>
              <w:rPr>
                <w:rFonts w:hint="eastAsia" w:ascii="宋体" w:hAnsi="宋体" w:cs="宋体"/>
                <w:sz w:val="21"/>
                <w:szCs w:val="21"/>
                <w:lang w:val="en-US" w:eastAsia="zh-CN"/>
              </w:rPr>
              <w:t>局</w:t>
            </w:r>
          </w:p>
        </w:tc>
      </w:tr>
    </w:tbl>
    <w:p w14:paraId="0CCE7524">
      <w:pPr>
        <w:keepNext w:val="0"/>
        <w:keepLines w:val="0"/>
        <w:pageBreakBefore w:val="0"/>
        <w:widowControl w:val="0"/>
        <w:numPr>
          <w:ilvl w:val="0"/>
          <w:numId w:val="0"/>
        </w:numPr>
        <w:kinsoku/>
        <w:wordWrap/>
        <w:topLinePunct/>
        <w:bidi w:val="0"/>
        <w:ind w:left="0" w:leftChars="0" w:right="0" w:rightChars="0" w:firstLine="0" w:firstLineChars="0"/>
        <w:jc w:val="center"/>
        <w:rPr>
          <w:rFonts w:hint="eastAsia" w:ascii="Times New Roman" w:hAnsi="Times New Roman" w:eastAsia="宋体" w:cs="Times New Roman"/>
          <w:b/>
          <w:bCs w:val="0"/>
          <w:spacing w:val="8"/>
          <w:sz w:val="24"/>
        </w:rPr>
      </w:pPr>
      <w:bookmarkStart w:id="450" w:name="_Toc60925348"/>
      <w:bookmarkStart w:id="451" w:name="_Toc55945242"/>
      <w:r>
        <w:rPr>
          <w:rFonts w:hint="eastAsia" w:ascii="Times New Roman" w:hAnsi="Times New Roman" w:eastAsia="宋体" w:cs="Times New Roman"/>
          <w:b/>
          <w:bCs w:val="0"/>
          <w:spacing w:val="8"/>
          <w:sz w:val="24"/>
          <w:lang w:val="en-US" w:eastAsia="zh-CN"/>
        </w:rPr>
        <w:t>表</w:t>
      </w:r>
      <w:r>
        <w:rPr>
          <w:rFonts w:hint="eastAsia" w:ascii="Times New Roman" w:hAnsi="Times New Roman" w:eastAsia="宋体" w:cs="Times New Roman"/>
          <w:b/>
          <w:bCs w:val="0"/>
          <w:spacing w:val="8"/>
          <w:sz w:val="24"/>
          <w:lang w:val="en-US" w:eastAsia="zh-CN"/>
        </w:rPr>
        <w:fldChar w:fldCharType="begin"/>
      </w:r>
      <w:r>
        <w:rPr>
          <w:rFonts w:hint="eastAsia" w:ascii="Times New Roman" w:hAnsi="Times New Roman" w:eastAsia="宋体" w:cs="Times New Roman"/>
          <w:b/>
          <w:bCs w:val="0"/>
          <w:spacing w:val="8"/>
          <w:sz w:val="24"/>
          <w:lang w:val="en-US" w:eastAsia="zh-CN"/>
        </w:rPr>
        <w:instrText xml:space="preserve"> STYLEREF 1 \s </w:instrText>
      </w:r>
      <w:r>
        <w:rPr>
          <w:rFonts w:hint="eastAsia" w:ascii="Times New Roman" w:hAnsi="Times New Roman" w:eastAsia="宋体" w:cs="Times New Roman"/>
          <w:b/>
          <w:bCs w:val="0"/>
          <w:spacing w:val="8"/>
          <w:sz w:val="24"/>
          <w:lang w:val="en-US" w:eastAsia="zh-CN"/>
        </w:rPr>
        <w:fldChar w:fldCharType="separate"/>
      </w:r>
      <w:r>
        <w:rPr>
          <w:rFonts w:hint="eastAsia" w:ascii="Times New Roman" w:hAnsi="Times New Roman" w:eastAsia="宋体" w:cs="Times New Roman"/>
          <w:b/>
          <w:bCs w:val="0"/>
          <w:spacing w:val="8"/>
          <w:sz w:val="24"/>
          <w:lang w:val="en-US" w:eastAsia="zh-CN"/>
        </w:rPr>
        <w:t>2</w:t>
      </w:r>
      <w:r>
        <w:rPr>
          <w:rFonts w:hint="eastAsia" w:ascii="Times New Roman" w:hAnsi="Times New Roman" w:eastAsia="宋体" w:cs="Times New Roman"/>
          <w:b/>
          <w:bCs w:val="0"/>
          <w:spacing w:val="8"/>
          <w:sz w:val="24"/>
          <w:lang w:val="en-US" w:eastAsia="zh-CN"/>
        </w:rPr>
        <w:fldChar w:fldCharType="end"/>
      </w:r>
      <w:r>
        <w:rPr>
          <w:rFonts w:hint="eastAsia" w:ascii="Times New Roman" w:hAnsi="Times New Roman" w:eastAsia="宋体" w:cs="Times New Roman"/>
          <w:b/>
          <w:bCs w:val="0"/>
          <w:spacing w:val="8"/>
          <w:sz w:val="24"/>
          <w:lang w:val="en-US" w:eastAsia="zh-CN"/>
        </w:rPr>
        <w:t>-</w:t>
      </w:r>
      <w:r>
        <w:rPr>
          <w:rFonts w:hint="eastAsia" w:ascii="Times New Roman" w:hAnsi="Times New Roman" w:eastAsia="宋体" w:cs="Times New Roman"/>
          <w:b/>
          <w:bCs w:val="0"/>
          <w:spacing w:val="8"/>
          <w:sz w:val="24"/>
          <w:lang w:val="en-US" w:eastAsia="zh-CN"/>
        </w:rPr>
        <w:fldChar w:fldCharType="begin"/>
      </w:r>
      <w:r>
        <w:rPr>
          <w:rFonts w:hint="eastAsia" w:ascii="Times New Roman" w:hAnsi="Times New Roman" w:eastAsia="宋体" w:cs="Times New Roman"/>
          <w:b/>
          <w:bCs w:val="0"/>
          <w:spacing w:val="8"/>
          <w:sz w:val="24"/>
          <w:lang w:val="en-US" w:eastAsia="zh-CN"/>
        </w:rPr>
        <w:instrText xml:space="preserve"> SEQ 表 \* ARABIC \s 1 </w:instrText>
      </w:r>
      <w:r>
        <w:rPr>
          <w:rFonts w:hint="eastAsia" w:ascii="Times New Roman" w:hAnsi="Times New Roman" w:eastAsia="宋体" w:cs="Times New Roman"/>
          <w:b/>
          <w:bCs w:val="0"/>
          <w:spacing w:val="8"/>
          <w:sz w:val="24"/>
          <w:lang w:val="en-US" w:eastAsia="zh-CN"/>
        </w:rPr>
        <w:fldChar w:fldCharType="separate"/>
      </w:r>
      <w:r>
        <w:rPr>
          <w:rFonts w:hint="eastAsia" w:ascii="Times New Roman" w:hAnsi="Times New Roman" w:eastAsia="宋体" w:cs="Times New Roman"/>
          <w:b/>
          <w:bCs w:val="0"/>
          <w:spacing w:val="8"/>
          <w:sz w:val="24"/>
          <w:lang w:val="en-US" w:eastAsia="zh-CN"/>
        </w:rPr>
        <w:t>21</w:t>
      </w:r>
      <w:r>
        <w:rPr>
          <w:rFonts w:hint="eastAsia" w:ascii="Times New Roman" w:hAnsi="Times New Roman" w:eastAsia="宋体" w:cs="Times New Roman"/>
          <w:b/>
          <w:bCs w:val="0"/>
          <w:spacing w:val="8"/>
          <w:sz w:val="24"/>
          <w:lang w:val="en-US" w:eastAsia="zh-CN"/>
        </w:rPr>
        <w:fldChar w:fldCharType="end"/>
      </w:r>
      <w:r>
        <w:rPr>
          <w:rFonts w:hint="eastAsia" w:ascii="Times New Roman" w:hAnsi="Times New Roman" w:eastAsia="宋体" w:cs="Times New Roman"/>
          <w:b/>
          <w:bCs w:val="0"/>
          <w:spacing w:val="8"/>
          <w:sz w:val="24"/>
        </w:rPr>
        <w:t>监理</w:t>
      </w:r>
      <w:r>
        <w:rPr>
          <w:rFonts w:hint="eastAsia" w:ascii="Times New Roman" w:hAnsi="Times New Roman" w:eastAsia="宋体" w:cs="Times New Roman"/>
          <w:b/>
          <w:bCs w:val="0"/>
          <w:spacing w:val="8"/>
          <w:sz w:val="24"/>
          <w:lang w:val="en-US" w:eastAsia="zh-CN"/>
        </w:rPr>
        <w:t>单位</w:t>
      </w:r>
      <w:r>
        <w:rPr>
          <w:rFonts w:hint="eastAsia" w:ascii="Times New Roman" w:hAnsi="Times New Roman" w:eastAsia="宋体" w:cs="Times New Roman"/>
          <w:b/>
          <w:bCs w:val="0"/>
          <w:spacing w:val="8"/>
          <w:sz w:val="24"/>
        </w:rPr>
        <w:t>资质</w:t>
      </w:r>
    </w:p>
    <w:tbl>
      <w:tblPr>
        <w:tblStyle w:val="32"/>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678"/>
        <w:gridCol w:w="5843"/>
      </w:tblGrid>
      <w:tr w14:paraId="760568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71" w:type="pct"/>
            <w:tcBorders>
              <w:tl2br w:val="nil"/>
              <w:tr2bl w:val="nil"/>
            </w:tcBorders>
            <w:noWrap w:val="0"/>
            <w:vAlign w:val="center"/>
          </w:tcPr>
          <w:p w14:paraId="22A363B1">
            <w:pPr>
              <w:pStyle w:val="86"/>
              <w:keepNext w:val="0"/>
              <w:keepLines w:val="0"/>
              <w:pageBreakBefore w:val="0"/>
              <w:widowControl w:val="0"/>
              <w:suppressLineNumbers w:val="0"/>
              <w:kinsoku/>
              <w:wordWrap/>
              <w:bidi w:val="0"/>
              <w:spacing w:before="0" w:beforeAutospacing="0" w:after="0" w:afterAutospacing="0"/>
              <w:ind w:left="0" w:right="0"/>
              <w:rPr>
                <w:rFonts w:hint="eastAsia" w:ascii="宋体" w:hAnsi="宋体" w:eastAsia="宋体" w:cs="宋体"/>
                <w:b/>
                <w:bCs/>
                <w:color w:val="auto"/>
                <w:sz w:val="21"/>
                <w:szCs w:val="21"/>
              </w:rPr>
            </w:pPr>
            <w:r>
              <w:rPr>
                <w:rFonts w:hint="eastAsia" w:ascii="宋体" w:hAnsi="宋体" w:eastAsia="宋体" w:cs="宋体"/>
                <w:b/>
                <w:bCs/>
                <w:color w:val="auto"/>
                <w:sz w:val="21"/>
                <w:szCs w:val="21"/>
              </w:rPr>
              <w:t>企业名称</w:t>
            </w:r>
          </w:p>
        </w:tc>
        <w:tc>
          <w:tcPr>
            <w:tcW w:w="3428" w:type="pct"/>
            <w:tcBorders>
              <w:tl2br w:val="nil"/>
              <w:tr2bl w:val="nil"/>
            </w:tcBorders>
            <w:noWrap w:val="0"/>
            <w:vAlign w:val="center"/>
          </w:tcPr>
          <w:p w14:paraId="2F281FCA">
            <w:pPr>
              <w:pStyle w:val="86"/>
              <w:keepNext w:val="0"/>
              <w:keepLines w:val="0"/>
              <w:pageBreakBefore w:val="0"/>
              <w:widowControl w:val="0"/>
              <w:suppressLineNumbers w:val="0"/>
              <w:kinsoku/>
              <w:bidi w:val="0"/>
              <w:spacing w:before="0" w:beforeAutospacing="0" w:after="0" w:afterAutospacing="0"/>
              <w:ind w:left="0" w:right="0"/>
              <w:rPr>
                <w:rFonts w:hint="eastAsia" w:ascii="宋体" w:hAnsi="宋体" w:eastAsia="宋体" w:cs="宋体"/>
                <w:sz w:val="21"/>
                <w:szCs w:val="21"/>
                <w:lang w:eastAsia="zh-CN"/>
              </w:rPr>
            </w:pPr>
            <w:r>
              <w:rPr>
                <w:rFonts w:hint="eastAsia" w:ascii="宋体" w:hAnsi="宋体" w:eastAsia="宋体" w:cs="宋体"/>
                <w:sz w:val="21"/>
                <w:szCs w:val="21"/>
                <w:lang w:eastAsia="zh-CN"/>
              </w:rPr>
              <w:t>楚雄磊易项目管理有限公司</w:t>
            </w:r>
          </w:p>
        </w:tc>
      </w:tr>
      <w:tr w14:paraId="0AB1B6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571" w:type="pct"/>
            <w:tcBorders>
              <w:tl2br w:val="nil"/>
              <w:tr2bl w:val="nil"/>
            </w:tcBorders>
            <w:noWrap w:val="0"/>
            <w:vAlign w:val="center"/>
          </w:tcPr>
          <w:p w14:paraId="2F7543F1">
            <w:pPr>
              <w:pStyle w:val="86"/>
              <w:keepNext w:val="0"/>
              <w:keepLines w:val="0"/>
              <w:pageBreakBefore w:val="0"/>
              <w:widowControl w:val="0"/>
              <w:suppressLineNumbers w:val="0"/>
              <w:kinsoku/>
              <w:wordWrap/>
              <w:bidi w:val="0"/>
              <w:spacing w:before="0" w:beforeAutospacing="0" w:after="0" w:afterAutospacing="0"/>
              <w:ind w:left="0" w:right="0"/>
              <w:rPr>
                <w:rFonts w:hint="eastAsia" w:ascii="宋体" w:hAnsi="宋体" w:eastAsia="宋体" w:cs="宋体"/>
                <w:b/>
                <w:bCs/>
                <w:color w:val="auto"/>
                <w:sz w:val="21"/>
                <w:szCs w:val="21"/>
              </w:rPr>
            </w:pPr>
            <w:r>
              <w:rPr>
                <w:rFonts w:hint="eastAsia" w:ascii="宋体" w:hAnsi="宋体" w:eastAsia="宋体" w:cs="宋体"/>
                <w:b/>
                <w:bCs/>
                <w:color w:val="auto"/>
                <w:sz w:val="21"/>
                <w:szCs w:val="21"/>
              </w:rPr>
              <w:t>资质类别及等级</w:t>
            </w:r>
          </w:p>
        </w:tc>
        <w:tc>
          <w:tcPr>
            <w:tcW w:w="3428" w:type="pct"/>
            <w:tcBorders>
              <w:tl2br w:val="nil"/>
              <w:tr2bl w:val="nil"/>
            </w:tcBorders>
            <w:noWrap w:val="0"/>
            <w:vAlign w:val="center"/>
          </w:tcPr>
          <w:p w14:paraId="0AD56851">
            <w:pPr>
              <w:pStyle w:val="86"/>
              <w:keepNext w:val="0"/>
              <w:keepLines w:val="0"/>
              <w:pageBreakBefore w:val="0"/>
              <w:widowControl w:val="0"/>
              <w:suppressLineNumbers w:val="0"/>
              <w:kinsoku/>
              <w:bidi w:val="0"/>
              <w:spacing w:before="0" w:beforeAutospacing="0" w:after="0" w:afterAutospacing="0"/>
              <w:ind w:left="0" w:right="0"/>
              <w:rPr>
                <w:rFonts w:hint="eastAsia" w:ascii="宋体" w:hAnsi="宋体" w:eastAsia="宋体" w:cs="宋体"/>
                <w:sz w:val="21"/>
                <w:szCs w:val="21"/>
              </w:rPr>
            </w:pPr>
            <w:r>
              <w:rPr>
                <w:rFonts w:hint="eastAsia" w:ascii="宋体" w:hAnsi="宋体" w:cs="宋体"/>
                <w:sz w:val="21"/>
                <w:szCs w:val="21"/>
                <w:lang w:val="en-US" w:eastAsia="zh-CN"/>
              </w:rPr>
              <w:t>房屋</w:t>
            </w:r>
            <w:r>
              <w:rPr>
                <w:rFonts w:hint="eastAsia" w:ascii="宋体" w:hAnsi="宋体" w:eastAsia="宋体" w:cs="宋体"/>
                <w:sz w:val="21"/>
                <w:szCs w:val="21"/>
              </w:rPr>
              <w:t>建筑工程专业资质乙级</w:t>
            </w:r>
          </w:p>
        </w:tc>
      </w:tr>
      <w:tr w14:paraId="01910F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71" w:type="pct"/>
            <w:tcBorders>
              <w:tl2br w:val="nil"/>
              <w:tr2bl w:val="nil"/>
            </w:tcBorders>
            <w:noWrap w:val="0"/>
            <w:vAlign w:val="center"/>
          </w:tcPr>
          <w:p w14:paraId="4C2F7434">
            <w:pPr>
              <w:pStyle w:val="86"/>
              <w:keepNext w:val="0"/>
              <w:keepLines w:val="0"/>
              <w:pageBreakBefore w:val="0"/>
              <w:widowControl w:val="0"/>
              <w:suppressLineNumbers w:val="0"/>
              <w:kinsoku/>
              <w:wordWrap/>
              <w:bidi w:val="0"/>
              <w:spacing w:before="0" w:beforeAutospacing="0" w:after="0" w:afterAutospacing="0"/>
              <w:ind w:left="0" w:right="0"/>
              <w:rPr>
                <w:rFonts w:hint="eastAsia" w:ascii="宋体" w:hAnsi="宋体" w:eastAsia="宋体" w:cs="宋体"/>
                <w:b/>
                <w:bCs/>
                <w:color w:val="auto"/>
                <w:sz w:val="21"/>
                <w:szCs w:val="21"/>
              </w:rPr>
            </w:pPr>
            <w:r>
              <w:rPr>
                <w:rFonts w:hint="eastAsia" w:ascii="宋体" w:hAnsi="宋体" w:eastAsia="宋体" w:cs="宋体"/>
                <w:b/>
                <w:bCs/>
                <w:color w:val="auto"/>
                <w:sz w:val="21"/>
                <w:szCs w:val="21"/>
              </w:rPr>
              <w:t>证书编号</w:t>
            </w:r>
          </w:p>
        </w:tc>
        <w:tc>
          <w:tcPr>
            <w:tcW w:w="3428" w:type="pct"/>
            <w:tcBorders>
              <w:tl2br w:val="nil"/>
              <w:tr2bl w:val="nil"/>
            </w:tcBorders>
            <w:noWrap w:val="0"/>
            <w:vAlign w:val="center"/>
          </w:tcPr>
          <w:p w14:paraId="304D8881">
            <w:pPr>
              <w:pStyle w:val="86"/>
              <w:keepNext w:val="0"/>
              <w:keepLines w:val="0"/>
              <w:pageBreakBefore w:val="0"/>
              <w:widowControl w:val="0"/>
              <w:suppressLineNumbers w:val="0"/>
              <w:kinsoku/>
              <w:bidi w:val="0"/>
              <w:spacing w:before="0" w:beforeAutospacing="0" w:after="0" w:afterAutospacing="0"/>
              <w:ind w:left="0" w:right="0"/>
              <w:rPr>
                <w:rFonts w:hint="eastAsia" w:ascii="宋体" w:hAnsi="宋体" w:eastAsia="宋体" w:cs="宋体"/>
                <w:sz w:val="21"/>
                <w:szCs w:val="21"/>
                <w:lang w:eastAsia="zh-CN"/>
              </w:rPr>
            </w:pPr>
            <w:r>
              <w:rPr>
                <w:rFonts w:hint="eastAsia" w:ascii="宋体" w:hAnsi="宋体" w:eastAsia="宋体" w:cs="宋体"/>
                <w:sz w:val="21"/>
                <w:szCs w:val="21"/>
                <w:lang w:eastAsia="zh-CN"/>
              </w:rPr>
              <w:t>E253102243</w:t>
            </w:r>
          </w:p>
        </w:tc>
      </w:tr>
      <w:tr w14:paraId="654B72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71" w:type="pct"/>
            <w:tcBorders>
              <w:tl2br w:val="nil"/>
              <w:tr2bl w:val="nil"/>
            </w:tcBorders>
            <w:noWrap w:val="0"/>
            <w:vAlign w:val="center"/>
          </w:tcPr>
          <w:p w14:paraId="49E97588">
            <w:pPr>
              <w:pStyle w:val="86"/>
              <w:keepNext w:val="0"/>
              <w:keepLines w:val="0"/>
              <w:pageBreakBefore w:val="0"/>
              <w:widowControl w:val="0"/>
              <w:suppressLineNumbers w:val="0"/>
              <w:kinsoku/>
              <w:wordWrap/>
              <w:bidi w:val="0"/>
              <w:spacing w:before="0" w:beforeAutospacing="0" w:after="0" w:afterAutospacing="0"/>
              <w:ind w:left="0" w:right="0"/>
              <w:rPr>
                <w:rFonts w:hint="eastAsia" w:ascii="宋体" w:hAnsi="宋体" w:eastAsia="宋体" w:cs="宋体"/>
                <w:b/>
                <w:bCs/>
                <w:color w:val="auto"/>
                <w:sz w:val="21"/>
                <w:szCs w:val="21"/>
              </w:rPr>
            </w:pPr>
            <w:r>
              <w:rPr>
                <w:rFonts w:hint="eastAsia" w:ascii="宋体" w:hAnsi="宋体" w:eastAsia="宋体" w:cs="宋体"/>
                <w:b/>
                <w:bCs/>
                <w:color w:val="auto"/>
                <w:sz w:val="21"/>
                <w:szCs w:val="21"/>
              </w:rPr>
              <w:t>发证机关</w:t>
            </w:r>
          </w:p>
        </w:tc>
        <w:tc>
          <w:tcPr>
            <w:tcW w:w="3428" w:type="pct"/>
            <w:tcBorders>
              <w:tl2br w:val="nil"/>
              <w:tr2bl w:val="nil"/>
            </w:tcBorders>
            <w:noWrap w:val="0"/>
            <w:vAlign w:val="center"/>
          </w:tcPr>
          <w:p w14:paraId="5ED82CF2">
            <w:pPr>
              <w:pStyle w:val="86"/>
              <w:keepNext w:val="0"/>
              <w:keepLines w:val="0"/>
              <w:pageBreakBefore w:val="0"/>
              <w:widowControl w:val="0"/>
              <w:suppressLineNumbers w:val="0"/>
              <w:kinsoku/>
              <w:bidi w:val="0"/>
              <w:spacing w:before="0" w:beforeAutospacing="0" w:after="0" w:afterAutospacing="0"/>
              <w:ind w:left="0" w:right="0"/>
              <w:rPr>
                <w:rFonts w:hint="eastAsia" w:ascii="宋体" w:hAnsi="宋体" w:eastAsia="宋体" w:cs="宋体"/>
                <w:sz w:val="21"/>
                <w:szCs w:val="21"/>
              </w:rPr>
            </w:pPr>
            <w:r>
              <w:rPr>
                <w:rFonts w:hint="eastAsia" w:ascii="宋体" w:hAnsi="宋体" w:cs="宋体"/>
                <w:sz w:val="21"/>
                <w:szCs w:val="21"/>
                <w:lang w:val="en-US" w:eastAsia="zh-CN"/>
              </w:rPr>
              <w:t>云南省</w:t>
            </w:r>
            <w:r>
              <w:rPr>
                <w:rFonts w:hint="eastAsia" w:ascii="宋体" w:hAnsi="宋体" w:eastAsia="宋体" w:cs="宋体"/>
                <w:sz w:val="21"/>
                <w:szCs w:val="21"/>
                <w:lang w:val="en-US" w:eastAsia="zh-CN"/>
              </w:rPr>
              <w:t>住房和城乡建设部</w:t>
            </w:r>
          </w:p>
        </w:tc>
      </w:tr>
    </w:tbl>
    <w:p w14:paraId="6D8F2003">
      <w:pPr>
        <w:pStyle w:val="3"/>
        <w:keepNext w:val="0"/>
        <w:keepLines w:val="0"/>
        <w:pageBreakBefore w:val="0"/>
        <w:widowControl w:val="0"/>
        <w:kinsoku/>
        <w:bidi w:val="0"/>
        <w:rPr>
          <w:lang w:val="en-US" w:eastAsia="zh-CN"/>
        </w:rPr>
      </w:pPr>
      <w:bookmarkStart w:id="452" w:name="_Toc19460"/>
      <w:bookmarkStart w:id="453" w:name="_Toc6345"/>
      <w:bookmarkStart w:id="454" w:name="_Toc24635"/>
      <w:r>
        <w:rPr>
          <w:rFonts w:hint="eastAsia"/>
          <w:lang w:val="en-US" w:eastAsia="zh-CN"/>
        </w:rPr>
        <w:t>项目试</w:t>
      </w:r>
      <w:bookmarkEnd w:id="437"/>
      <w:bookmarkEnd w:id="438"/>
      <w:r>
        <w:rPr>
          <w:rFonts w:hint="eastAsia"/>
          <w:lang w:val="en-US" w:eastAsia="zh-CN"/>
        </w:rPr>
        <w:t>生产情况</w:t>
      </w:r>
      <w:bookmarkEnd w:id="450"/>
      <w:bookmarkEnd w:id="451"/>
      <w:bookmarkEnd w:id="452"/>
      <w:bookmarkEnd w:id="453"/>
      <w:bookmarkEnd w:id="454"/>
    </w:p>
    <w:p w14:paraId="59F46901">
      <w:pPr>
        <w:pStyle w:val="4"/>
        <w:keepNext w:val="0"/>
        <w:keepLines w:val="0"/>
        <w:pageBreakBefore w:val="0"/>
        <w:widowControl w:val="0"/>
        <w:kinsoku/>
        <w:bidi w:val="0"/>
        <w:rPr>
          <w:lang w:val="en-US" w:eastAsia="zh-CN"/>
        </w:rPr>
      </w:pPr>
      <w:bookmarkStart w:id="455" w:name="_Toc27491"/>
      <w:bookmarkStart w:id="456" w:name="_Toc9868"/>
      <w:bookmarkStart w:id="457" w:name="_Toc14641"/>
      <w:r>
        <w:rPr>
          <w:rFonts w:hint="eastAsia"/>
          <w:lang w:val="en-US" w:eastAsia="zh-CN"/>
        </w:rPr>
        <w:t>试运行前准备</w:t>
      </w:r>
      <w:bookmarkEnd w:id="455"/>
      <w:bookmarkEnd w:id="456"/>
      <w:bookmarkEnd w:id="457"/>
    </w:p>
    <w:bookmarkEnd w:id="350"/>
    <w:bookmarkEnd w:id="351"/>
    <w:bookmarkEnd w:id="352"/>
    <w:bookmarkEnd w:id="353"/>
    <w:bookmarkEnd w:id="370"/>
    <w:bookmarkEnd w:id="404"/>
    <w:bookmarkEnd w:id="405"/>
    <w:p w14:paraId="4BBD08EF">
      <w:pPr>
        <w:bidi w:val="0"/>
        <w:rPr>
          <w:rFonts w:hint="eastAsia" w:ascii="宋体" w:hAnsi="宋体" w:eastAsia="宋体" w:cs="宋体"/>
          <w:color w:val="auto"/>
          <w:szCs w:val="28"/>
        </w:rPr>
      </w:pPr>
      <w:bookmarkStart w:id="458" w:name="_Toc55945243"/>
      <w:bookmarkStart w:id="459" w:name="_Toc60925349"/>
      <w:bookmarkStart w:id="460" w:name="_Toc55567383"/>
      <w:r>
        <w:rPr>
          <w:rFonts w:hint="eastAsia"/>
          <w:lang w:val="en-US" w:eastAsia="zh-CN"/>
        </w:rPr>
        <w:t>项目新建建筑物由施工单位、监理单位等出具了工程竣工验收报告（附件13）、监理报告（附件14）。试运行前各设备装置安装调试完毕。叉车、储气罐、起重机</w:t>
      </w:r>
      <w:r>
        <w:rPr>
          <w:rFonts w:hint="eastAsia"/>
        </w:rPr>
        <w:t>等特种设备及其安全附件通过了相应的检验。试生产前操作人员皆全部持证上岗。企业主要负责人、分管领导、车间主任、班组长及其他操作人员均接受过相应的安全生产知识培训，其中，企业主要负责人、</w:t>
      </w:r>
      <w:r>
        <w:rPr>
          <w:rFonts w:hint="eastAsia"/>
          <w:lang w:val="en-US" w:eastAsia="zh-CN"/>
        </w:rPr>
        <w:t>安全管理员取得培训合格证书。</w:t>
      </w:r>
      <w:r>
        <w:rPr>
          <w:rFonts w:hint="eastAsia"/>
        </w:rPr>
        <w:t>公司作业人员上岗前都进行了严格的安全培训和教育（包括：入厂三级安全教育、岗前培训、操作规程等）</w:t>
      </w:r>
      <w:r>
        <w:rPr>
          <w:rFonts w:hint="eastAsia"/>
          <w:lang w:eastAsia="zh-CN"/>
        </w:rPr>
        <w:t>，</w:t>
      </w:r>
      <w:r>
        <w:rPr>
          <w:rFonts w:hint="eastAsia"/>
          <w:lang w:val="en-US" w:eastAsia="zh-CN"/>
        </w:rPr>
        <w:t>公司</w:t>
      </w:r>
      <w:r>
        <w:rPr>
          <w:rFonts w:hint="eastAsia"/>
        </w:rPr>
        <w:t>为所有生产作业人员在上岗前都发放了相关的劳</w:t>
      </w:r>
      <w:r>
        <w:rPr>
          <w:rFonts w:hint="eastAsia"/>
          <w:lang w:val="en-US" w:eastAsia="zh-CN"/>
        </w:rPr>
        <w:t>动</w:t>
      </w:r>
      <w:r>
        <w:rPr>
          <w:rFonts w:hint="eastAsia"/>
        </w:rPr>
        <w:t>防</w:t>
      </w:r>
      <w:r>
        <w:rPr>
          <w:rFonts w:hint="eastAsia"/>
          <w:lang w:val="en-US" w:eastAsia="zh-CN"/>
        </w:rPr>
        <w:t>护</w:t>
      </w:r>
      <w:r>
        <w:rPr>
          <w:rFonts w:hint="eastAsia"/>
        </w:rPr>
        <w:t>用品。</w:t>
      </w:r>
    </w:p>
    <w:p w14:paraId="35D14230">
      <w:pPr>
        <w:pStyle w:val="4"/>
        <w:keepNext w:val="0"/>
        <w:keepLines w:val="0"/>
        <w:pageBreakBefore w:val="0"/>
        <w:widowControl w:val="0"/>
        <w:kinsoku/>
        <w:bidi w:val="0"/>
        <w:rPr>
          <w:rFonts w:hint="default"/>
          <w:lang w:val="en-US" w:eastAsia="zh-CN"/>
        </w:rPr>
      </w:pPr>
      <w:bookmarkStart w:id="461" w:name="_Toc9820"/>
      <w:bookmarkStart w:id="462" w:name="_Toc26121"/>
      <w:bookmarkStart w:id="463" w:name="_Toc26671"/>
      <w:r>
        <w:rPr>
          <w:rFonts w:hint="eastAsia"/>
          <w:lang w:val="en-US" w:eastAsia="zh-CN"/>
        </w:rPr>
        <w:t>试运行情况</w:t>
      </w:r>
      <w:bookmarkEnd w:id="461"/>
      <w:bookmarkEnd w:id="462"/>
      <w:bookmarkEnd w:id="463"/>
    </w:p>
    <w:p w14:paraId="3854BD7F">
      <w:pPr>
        <w:keepNext w:val="0"/>
        <w:keepLines w:val="0"/>
        <w:pageBreakBefore w:val="0"/>
        <w:widowControl w:val="0"/>
        <w:kinsoku/>
        <w:wordWrap/>
        <w:overflowPunct/>
        <w:topLinePunct w:val="0"/>
        <w:autoSpaceDE/>
        <w:autoSpaceDN/>
        <w:bidi w:val="0"/>
        <w:adjustRightInd w:val="0"/>
        <w:snapToGrid/>
        <w:jc w:val="left"/>
        <w:textAlignment w:val="auto"/>
        <w:rPr>
          <w:rFonts w:hint="eastAsia" w:ascii="宋体" w:hAnsi="宋体" w:eastAsia="宋体" w:cs="宋体"/>
          <w:color w:val="auto"/>
          <w:szCs w:val="28"/>
          <w:lang w:val="en-US" w:eastAsia="zh-CN"/>
        </w:rPr>
      </w:pPr>
      <w:r>
        <w:rPr>
          <w:rFonts w:hint="eastAsia" w:ascii="宋体" w:hAnsi="宋体" w:eastAsia="宋体" w:cs="宋体"/>
          <w:color w:val="auto"/>
          <w:szCs w:val="28"/>
        </w:rPr>
        <w:t>公司试生产时间从202</w:t>
      </w:r>
      <w:r>
        <w:rPr>
          <w:rFonts w:hint="eastAsia" w:ascii="宋体" w:hAnsi="宋体" w:eastAsia="宋体" w:cs="宋体"/>
          <w:color w:val="auto"/>
          <w:szCs w:val="28"/>
          <w:lang w:val="en-US" w:eastAsia="zh-CN"/>
        </w:rPr>
        <w:t>4</w:t>
      </w:r>
      <w:r>
        <w:rPr>
          <w:rFonts w:hint="eastAsia" w:ascii="宋体" w:hAnsi="宋体" w:eastAsia="宋体" w:cs="宋体"/>
          <w:color w:val="auto"/>
          <w:szCs w:val="28"/>
        </w:rPr>
        <w:t>年</w:t>
      </w:r>
      <w:r>
        <w:rPr>
          <w:rFonts w:hint="eastAsia" w:ascii="宋体" w:hAnsi="宋体" w:eastAsia="宋体" w:cs="宋体"/>
          <w:color w:val="auto"/>
          <w:szCs w:val="28"/>
          <w:lang w:val="en-US" w:eastAsia="zh-CN"/>
        </w:rPr>
        <w:t>4</w:t>
      </w:r>
      <w:r>
        <w:rPr>
          <w:rFonts w:hint="eastAsia" w:ascii="宋体" w:hAnsi="宋体" w:eastAsia="宋体" w:cs="宋体"/>
          <w:color w:val="auto"/>
          <w:szCs w:val="28"/>
        </w:rPr>
        <w:t>月</w:t>
      </w:r>
      <w:r>
        <w:rPr>
          <w:rFonts w:hint="eastAsia" w:ascii="宋体" w:hAnsi="宋体" w:eastAsia="宋体" w:cs="宋体"/>
          <w:color w:val="auto"/>
          <w:szCs w:val="28"/>
          <w:lang w:val="en-US" w:eastAsia="zh-CN"/>
        </w:rPr>
        <w:t>21</w:t>
      </w:r>
      <w:r>
        <w:rPr>
          <w:rFonts w:hint="eastAsia" w:ascii="宋体" w:hAnsi="宋体" w:eastAsia="宋体" w:cs="宋体"/>
          <w:color w:val="auto"/>
          <w:szCs w:val="28"/>
        </w:rPr>
        <w:t>日</w:t>
      </w:r>
      <w:r>
        <w:rPr>
          <w:rFonts w:hint="eastAsia" w:ascii="宋体" w:hAnsi="宋体" w:eastAsia="宋体" w:cs="宋体"/>
          <w:color w:val="auto"/>
          <w:szCs w:val="28"/>
          <w:lang w:val="en-US" w:eastAsia="zh-CN"/>
        </w:rPr>
        <w:t>开始，到评价基准日止未发生过生产安全事故。</w:t>
      </w:r>
    </w:p>
    <w:p w14:paraId="1D259426">
      <w:pPr>
        <w:keepNext w:val="0"/>
        <w:keepLines w:val="0"/>
        <w:pageBreakBefore w:val="0"/>
        <w:widowControl w:val="0"/>
        <w:kinsoku/>
        <w:wordWrap/>
        <w:overflowPunct/>
        <w:topLinePunct w:val="0"/>
        <w:autoSpaceDE/>
        <w:autoSpaceDN/>
        <w:bidi w:val="0"/>
        <w:adjustRightInd w:val="0"/>
        <w:snapToGrid/>
        <w:jc w:val="left"/>
        <w:textAlignment w:val="auto"/>
        <w:rPr>
          <w:rFonts w:hint="eastAsia" w:ascii="宋体" w:hAnsi="宋体" w:eastAsia="宋体" w:cs="宋体"/>
          <w:color w:val="auto"/>
          <w:szCs w:val="28"/>
        </w:rPr>
      </w:pPr>
      <w:r>
        <w:rPr>
          <w:rFonts w:hint="eastAsia" w:ascii="宋体" w:hAnsi="宋体" w:eastAsia="宋体" w:cs="宋体"/>
          <w:color w:val="auto"/>
          <w:szCs w:val="28"/>
        </w:rPr>
        <w:t>在试生产期间，公司严格执行各项安全管理制度和操作规程，与试生产相关的各辅助系统统筹兼顾、首尾衔接、同步试车；所有安全设施与主体生产装置同步试车；机械、电气、仪表等操作人员紧密配合、协调工作，及时做好信息沟通，并做好测定数据的记录。加强巡回检查，及时发现问题；在出现异常情况时，项目负责人能组织相关人员研究提出解决方案。在试生产的过程中各装置安全设施、消防和环保等设施进行了各种负荷下的磨合，在试生产过程中对建设项目的各设施进行了检查，各装置符合工艺流程要求，产能达到设计要求，设备结构和设备性能符合工艺技术要求。在试生产过程中，</w:t>
      </w:r>
      <w:r>
        <w:rPr>
          <w:rFonts w:hint="eastAsia" w:ascii="宋体" w:hAnsi="宋体" w:eastAsia="宋体" w:cs="宋体"/>
          <w:color w:val="auto"/>
          <w:szCs w:val="28"/>
          <w:lang w:val="en-US" w:eastAsia="zh-CN"/>
        </w:rPr>
        <w:t>项目</w:t>
      </w:r>
      <w:r>
        <w:rPr>
          <w:rFonts w:hint="eastAsia" w:ascii="宋体" w:hAnsi="宋体" w:eastAsia="宋体" w:cs="宋体"/>
          <w:color w:val="auto"/>
          <w:szCs w:val="28"/>
        </w:rPr>
        <w:t>生产过程工艺、设备的安全度都经过了考验，达到了设计的要求。在试生产的过程中该公司不断地完善各岗位操作规程，健全了异常情况的应急措施；明确了岗位作业人员的劳动保护及安全注意事项；强化了工艺技术的管理；并建立了比较完善的管理制度；健全了安全管理体系，确保了工艺安全卫生达标环境过关等。</w:t>
      </w:r>
    </w:p>
    <w:p w14:paraId="170A01AE">
      <w:pPr>
        <w:keepNext w:val="0"/>
        <w:keepLines w:val="0"/>
        <w:pageBreakBefore w:val="0"/>
        <w:widowControl w:val="0"/>
        <w:kinsoku/>
        <w:wordWrap/>
        <w:overflowPunct/>
        <w:topLinePunct w:val="0"/>
        <w:autoSpaceDE/>
        <w:autoSpaceDN/>
        <w:bidi w:val="0"/>
        <w:adjustRightInd w:val="0"/>
        <w:snapToGrid/>
        <w:jc w:val="left"/>
        <w:textAlignment w:val="auto"/>
        <w:rPr>
          <w:rFonts w:hint="eastAsia" w:ascii="宋体" w:hAnsi="宋体" w:eastAsia="宋体" w:cs="宋体"/>
          <w:color w:val="auto"/>
          <w:szCs w:val="28"/>
        </w:rPr>
      </w:pPr>
      <w:r>
        <w:rPr>
          <w:rFonts w:hint="eastAsia" w:ascii="宋体" w:hAnsi="宋体" w:eastAsia="宋体" w:cs="宋体"/>
          <w:color w:val="auto"/>
          <w:szCs w:val="28"/>
        </w:rPr>
        <w:t>试运行中公用工程中的水、电及各种原辅材料供应正常，能满足生产使用的需要，道路、照明等满足试生产的需要，该公司产品质量符合产品质量技术标准要求，各项设施、设备、装置运行正常，未出现任何大的问题。</w:t>
      </w:r>
    </w:p>
    <w:p w14:paraId="760E048A">
      <w:pPr>
        <w:keepNext w:val="0"/>
        <w:keepLines w:val="0"/>
        <w:pageBreakBefore w:val="0"/>
        <w:widowControl w:val="0"/>
        <w:kinsoku/>
        <w:wordWrap/>
        <w:overflowPunct/>
        <w:topLinePunct w:val="0"/>
        <w:autoSpaceDE/>
        <w:autoSpaceDN/>
        <w:bidi w:val="0"/>
        <w:adjustRightInd w:val="0"/>
        <w:snapToGrid/>
        <w:jc w:val="left"/>
        <w:textAlignment w:val="auto"/>
        <w:rPr>
          <w:rFonts w:hint="eastAsia" w:ascii="宋体" w:hAnsi="宋体" w:eastAsia="宋体" w:cs="宋体"/>
          <w:color w:val="auto"/>
          <w:szCs w:val="28"/>
        </w:rPr>
      </w:pPr>
      <w:r>
        <w:rPr>
          <w:rFonts w:hint="eastAsia" w:ascii="宋体" w:hAnsi="宋体" w:eastAsia="宋体" w:cs="宋体"/>
          <w:color w:val="auto"/>
          <w:szCs w:val="28"/>
        </w:rPr>
        <w:t>从试运转效果看，项目生产系统和辅助系统较完善，安全管理符合有关安全生产法律法规和行业标准，符合建设项目“三同时”相关规定，基本能有效地控制和预防项目存在的各种危险、危害因素。</w:t>
      </w:r>
    </w:p>
    <w:p w14:paraId="52FF2722">
      <w:pPr>
        <w:pStyle w:val="4"/>
        <w:bidi w:val="0"/>
        <w:rPr>
          <w:rFonts w:hint="eastAsia"/>
          <w:lang w:val="en-US" w:eastAsia="zh-CN"/>
        </w:rPr>
      </w:pPr>
      <w:bookmarkStart w:id="464" w:name="_Toc3653"/>
      <w:r>
        <w:rPr>
          <w:rFonts w:hint="eastAsia"/>
          <w:lang w:val="en-US" w:eastAsia="zh-CN"/>
        </w:rPr>
        <w:t>试运行结论</w:t>
      </w:r>
      <w:bookmarkEnd w:id="464"/>
    </w:p>
    <w:p w14:paraId="22BA7559">
      <w:pPr>
        <w:keepNext w:val="0"/>
        <w:keepLines w:val="0"/>
        <w:pageBreakBefore w:val="0"/>
        <w:widowControl w:val="0"/>
        <w:kinsoku/>
        <w:wordWrap/>
        <w:overflowPunct/>
        <w:topLinePunct w:val="0"/>
        <w:autoSpaceDE/>
        <w:autoSpaceDN/>
        <w:bidi w:val="0"/>
        <w:adjustRightInd w:val="0"/>
        <w:snapToGrid/>
        <w:jc w:val="left"/>
        <w:textAlignment w:val="auto"/>
        <w:rPr>
          <w:rFonts w:hint="eastAsia" w:ascii="宋体" w:hAnsi="宋体" w:eastAsia="宋体" w:cs="宋体"/>
          <w:color w:val="auto"/>
          <w:szCs w:val="28"/>
        </w:rPr>
      </w:pPr>
      <w:r>
        <w:rPr>
          <w:rFonts w:hint="eastAsia" w:ascii="宋体" w:hAnsi="宋体" w:eastAsia="宋体" w:cs="宋体"/>
          <w:color w:val="auto"/>
          <w:szCs w:val="28"/>
        </w:rPr>
        <w:t>根据系统试运行情况，本建设项目施工和安装质量符合有关“规范”和“规程”要求，通过试运行这一阶段的工作，该项目生产正常，各辅助系统正常，安全管理基本到位，安全技术措施基本落实到位，从试生产运行至评价基准日没有发生过生产安全事故，具备安全设施验收的基本条件。</w:t>
      </w:r>
    </w:p>
    <w:bookmarkEnd w:id="458"/>
    <w:bookmarkEnd w:id="459"/>
    <w:bookmarkEnd w:id="460"/>
    <w:p w14:paraId="63BEEBA1">
      <w:pPr>
        <w:rPr>
          <w:rFonts w:hint="eastAsia"/>
        </w:rPr>
      </w:pPr>
      <w:bookmarkStart w:id="465" w:name="_Toc252778798"/>
      <w:bookmarkEnd w:id="465"/>
      <w:bookmarkStart w:id="466" w:name="_Toc257975866"/>
      <w:bookmarkEnd w:id="466"/>
      <w:bookmarkStart w:id="467" w:name="_Toc55945244"/>
      <w:bookmarkEnd w:id="467"/>
      <w:bookmarkStart w:id="468" w:name="_Toc333247915"/>
      <w:bookmarkEnd w:id="468"/>
      <w:bookmarkStart w:id="469" w:name="_Toc522811470"/>
      <w:bookmarkEnd w:id="469"/>
      <w:bookmarkStart w:id="470" w:name="_Toc189559315"/>
      <w:bookmarkEnd w:id="470"/>
      <w:bookmarkStart w:id="471" w:name="_Toc257625861"/>
      <w:bookmarkEnd w:id="471"/>
      <w:bookmarkStart w:id="472" w:name="_Toc531271084"/>
      <w:bookmarkEnd w:id="472"/>
      <w:bookmarkStart w:id="473" w:name="_Toc314213579"/>
      <w:bookmarkEnd w:id="473"/>
      <w:bookmarkStart w:id="474" w:name="_Toc55567393"/>
      <w:bookmarkEnd w:id="474"/>
      <w:bookmarkStart w:id="475" w:name="_Toc60925353"/>
      <w:bookmarkEnd w:id="475"/>
      <w:bookmarkStart w:id="476" w:name="_Toc250648687"/>
      <w:bookmarkEnd w:id="476"/>
      <w:bookmarkStart w:id="477" w:name="_Toc127570713"/>
      <w:bookmarkEnd w:id="477"/>
      <w:bookmarkStart w:id="478" w:name="_Toc55033330"/>
      <w:bookmarkEnd w:id="478"/>
      <w:bookmarkStart w:id="479" w:name="_Toc261772975"/>
      <w:bookmarkEnd w:id="479"/>
      <w:bookmarkStart w:id="480" w:name="_Toc14150"/>
      <w:bookmarkEnd w:id="480"/>
      <w:bookmarkStart w:id="481" w:name="_Toc413501861"/>
      <w:bookmarkEnd w:id="481"/>
      <w:bookmarkStart w:id="482" w:name="_Toc209863611"/>
      <w:bookmarkEnd w:id="482"/>
      <w:bookmarkStart w:id="483" w:name="_Toc313453493"/>
      <w:r>
        <w:rPr>
          <w:rFonts w:hint="eastAsia"/>
        </w:rPr>
        <w:br w:type="page"/>
      </w:r>
    </w:p>
    <w:p w14:paraId="777FD11B">
      <w:pPr>
        <w:pStyle w:val="2"/>
        <w:keepNext w:val="0"/>
        <w:keepLines w:val="0"/>
        <w:pageBreakBefore w:val="0"/>
        <w:widowControl w:val="0"/>
        <w:kinsoku/>
        <w:bidi w:val="0"/>
        <w:rPr>
          <w:rFonts w:hint="eastAsia"/>
        </w:rPr>
      </w:pPr>
      <w:bookmarkStart w:id="484" w:name="_Toc8391"/>
      <w:r>
        <w:rPr>
          <w:rFonts w:hint="eastAsia"/>
        </w:rPr>
        <w:t>危险有害因素辨识</w:t>
      </w:r>
      <w:bookmarkEnd w:id="483"/>
      <w:r>
        <w:rPr>
          <w:rFonts w:hint="eastAsia"/>
        </w:rPr>
        <w:t>与分析</w:t>
      </w:r>
      <w:bookmarkEnd w:id="484"/>
    </w:p>
    <w:p w14:paraId="47A1762E">
      <w:pPr>
        <w:keepNext w:val="0"/>
        <w:keepLines w:val="0"/>
        <w:pageBreakBefore w:val="0"/>
        <w:widowControl w:val="0"/>
        <w:kinsoku/>
        <w:wordWrap/>
        <w:overflowPunct/>
        <w:topLinePunct w:val="0"/>
        <w:autoSpaceDE/>
        <w:autoSpaceDN/>
        <w:bidi w:val="0"/>
        <w:adjustRightInd w:val="0"/>
        <w:snapToGrid/>
        <w:textAlignment w:val="auto"/>
        <w:rPr>
          <w:rFonts w:hint="eastAsia"/>
        </w:rPr>
      </w:pPr>
      <w:r>
        <w:rPr>
          <w:rFonts w:hint="eastAsia"/>
          <w:lang w:val="en-US" w:eastAsia="zh-CN"/>
        </w:rPr>
        <w:t>危险有害因素辨识与分析是安全评价的基础。</w:t>
      </w:r>
    </w:p>
    <w:p w14:paraId="156F1920">
      <w:pPr>
        <w:keepNext w:val="0"/>
        <w:keepLines w:val="0"/>
        <w:pageBreakBefore w:val="0"/>
        <w:widowControl w:val="0"/>
        <w:kinsoku/>
        <w:wordWrap/>
        <w:overflowPunct/>
        <w:topLinePunct w:val="0"/>
        <w:autoSpaceDE/>
        <w:autoSpaceDN/>
        <w:bidi w:val="0"/>
        <w:adjustRightInd w:val="0"/>
        <w:snapToGrid/>
        <w:textAlignment w:val="auto"/>
        <w:rPr>
          <w:rFonts w:hint="eastAsia"/>
        </w:rPr>
      </w:pPr>
      <w:r>
        <w:rPr>
          <w:rFonts w:hint="eastAsia"/>
          <w:lang w:val="en-US" w:eastAsia="zh-CN"/>
        </w:rPr>
        <w:t>危险因素是指系统（人、机械、材料、设施、工艺、环境）中存在的，能对人造成伤亡，对物造成突发性损害的因素。</w:t>
      </w:r>
    </w:p>
    <w:p w14:paraId="632E6EEF">
      <w:pPr>
        <w:keepNext w:val="0"/>
        <w:keepLines w:val="0"/>
        <w:pageBreakBefore w:val="0"/>
        <w:widowControl w:val="0"/>
        <w:kinsoku/>
        <w:wordWrap/>
        <w:overflowPunct/>
        <w:topLinePunct w:val="0"/>
        <w:autoSpaceDE/>
        <w:autoSpaceDN/>
        <w:bidi w:val="0"/>
        <w:adjustRightInd w:val="0"/>
        <w:snapToGrid/>
        <w:textAlignment w:val="auto"/>
        <w:rPr>
          <w:rFonts w:hint="eastAsia"/>
        </w:rPr>
      </w:pPr>
      <w:r>
        <w:rPr>
          <w:rFonts w:hint="eastAsia"/>
          <w:lang w:val="en-US" w:eastAsia="zh-CN"/>
        </w:rPr>
        <w:t>有害因素是指影响人的身体健康，导致疾病，或对人体造成慢性损害的因素。</w:t>
      </w:r>
    </w:p>
    <w:p w14:paraId="3C19F945">
      <w:pPr>
        <w:keepNext w:val="0"/>
        <w:keepLines w:val="0"/>
        <w:pageBreakBefore w:val="0"/>
        <w:widowControl w:val="0"/>
        <w:kinsoku/>
        <w:wordWrap/>
        <w:overflowPunct/>
        <w:topLinePunct w:val="0"/>
        <w:autoSpaceDE/>
        <w:autoSpaceDN/>
        <w:bidi w:val="0"/>
        <w:adjustRightInd w:val="0"/>
        <w:snapToGrid/>
        <w:textAlignment w:val="auto"/>
        <w:rPr>
          <w:rFonts w:hint="eastAsia"/>
        </w:rPr>
      </w:pPr>
      <w:r>
        <w:rPr>
          <w:rFonts w:hint="eastAsia"/>
          <w:lang w:val="en-US" w:eastAsia="zh-CN"/>
        </w:rPr>
        <w:t>主要危险有害因素的识别，就是找出生产、经营过程中最有可能引发重大事故，导致不良后果的人、机、物、工艺、环境和组织等，识别可能发生的事故、后果和条件，以便采取预防和控制措施。</w:t>
      </w:r>
    </w:p>
    <w:p w14:paraId="28C3DA74">
      <w:pPr>
        <w:pStyle w:val="3"/>
        <w:keepNext w:val="0"/>
        <w:keepLines w:val="0"/>
        <w:pageBreakBefore w:val="0"/>
        <w:widowControl w:val="0"/>
        <w:kinsoku/>
        <w:bidi w:val="0"/>
        <w:rPr>
          <w:rFonts w:hint="eastAsia"/>
        </w:rPr>
      </w:pPr>
      <w:bookmarkStart w:id="485" w:name="_Toc55945245"/>
      <w:bookmarkEnd w:id="485"/>
      <w:bookmarkStart w:id="486" w:name="_Toc55567395"/>
      <w:bookmarkEnd w:id="486"/>
      <w:bookmarkStart w:id="487" w:name="_Toc522811472"/>
      <w:bookmarkEnd w:id="487"/>
      <w:bookmarkStart w:id="488" w:name="_Toc60925354"/>
      <w:bookmarkEnd w:id="488"/>
      <w:bookmarkStart w:id="489" w:name="_Toc531271086"/>
      <w:bookmarkEnd w:id="489"/>
      <w:bookmarkStart w:id="490" w:name="_Toc55033332"/>
      <w:bookmarkEnd w:id="490"/>
      <w:bookmarkStart w:id="491" w:name="_Toc413501863"/>
      <w:bookmarkEnd w:id="491"/>
      <w:bookmarkStart w:id="492" w:name="_Toc10047"/>
      <w:bookmarkEnd w:id="492"/>
      <w:bookmarkStart w:id="493" w:name="_Toc121910222"/>
      <w:bookmarkStart w:id="494" w:name="_Toc16677"/>
      <w:r>
        <w:rPr>
          <w:rFonts w:hint="eastAsia"/>
        </w:rPr>
        <w:t>危险有害因素分类依据</w:t>
      </w:r>
      <w:bookmarkEnd w:id="493"/>
      <w:bookmarkEnd w:id="494"/>
    </w:p>
    <w:p w14:paraId="71182CCE">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本报告对危险有害因素的辨识依据，是根据本项目在生产过程中使用和产生的物料、物质的物理化学性质、危险特性，以及生产工艺、设备及储存等方面进行分析，以辨识本项目在生产过程中潜在的主要危险有害因素。</w:t>
      </w:r>
    </w:p>
    <w:p w14:paraId="6080FBCB">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按照《企业职工伤亡事故分类》（GB6441-1986），综合考虑起因物、引起事故的诱导性原因、致害物、伤害方式等，将事故分类分为20类，分别为物体打击、车辆伤害、机械伤害、起重伤害、触电、淹溺、灼烫、火灾、高处坠落、坍塌、容器爆炸、其他爆炸、中毒和窒息及其他伤害等。</w:t>
      </w:r>
    </w:p>
    <w:p w14:paraId="0DCB0E7D">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根据《生产过程危险和有害因素分类与代码》（GB/T13861-2022）的规定，将危险因素分为四类：</w:t>
      </w:r>
    </w:p>
    <w:p w14:paraId="0965ACFC">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一、人的因素</w:t>
      </w:r>
    </w:p>
    <w:p w14:paraId="2B7EDE44">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1.心理、生理性危险和有害因素；</w:t>
      </w:r>
    </w:p>
    <w:p w14:paraId="7345314F">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2.行为性危险和有害因素。</w:t>
      </w:r>
    </w:p>
    <w:p w14:paraId="5B135040">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二、物的因素</w:t>
      </w:r>
    </w:p>
    <w:p w14:paraId="10D26AB2">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1.物理性危险和有害因素；</w:t>
      </w:r>
    </w:p>
    <w:p w14:paraId="338C0F56">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2.化学性危险和有害因素；</w:t>
      </w:r>
    </w:p>
    <w:p w14:paraId="079CFD14">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3.生物性危险和有害因素。</w:t>
      </w:r>
    </w:p>
    <w:p w14:paraId="0A5E093B">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三、环境因素</w:t>
      </w:r>
    </w:p>
    <w:p w14:paraId="2EEBE6D6">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1.室内作业场所环境不良；</w:t>
      </w:r>
    </w:p>
    <w:p w14:paraId="268EB6D5">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2.室外作业场地环境不良；</w:t>
      </w:r>
    </w:p>
    <w:p w14:paraId="15F2E564">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3.地下（含水下）作业环境不良；</w:t>
      </w:r>
    </w:p>
    <w:p w14:paraId="4DCD4C66">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4.其他作业环境不良。</w:t>
      </w:r>
    </w:p>
    <w:p w14:paraId="31D638F3">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四、管理因素。</w:t>
      </w:r>
    </w:p>
    <w:p w14:paraId="5E6E11A8">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1.职业安全卫生组织机构设置和人员配备不健全；</w:t>
      </w:r>
    </w:p>
    <w:p w14:paraId="3C01673F">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2.职业安全卫生责任制不完善或未落实；</w:t>
      </w:r>
    </w:p>
    <w:p w14:paraId="37E169CA">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3.职业安全卫生管理规章制度不完善或未落实；</w:t>
      </w:r>
    </w:p>
    <w:p w14:paraId="0A3FA018">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4.职业安全卫生投入不足；</w:t>
      </w:r>
    </w:p>
    <w:p w14:paraId="56FE57CC">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5.应急管理缺陷；</w:t>
      </w:r>
    </w:p>
    <w:p w14:paraId="59F8BF07">
      <w:pPr>
        <w:keepNext w:val="0"/>
        <w:keepLines w:val="0"/>
        <w:pageBreakBefore w:val="0"/>
        <w:widowControl w:val="0"/>
        <w:suppressLineNumbers w:val="0"/>
        <w:kinsoku/>
        <w:wordWrap/>
        <w:overflowPunct/>
        <w:topLinePunct/>
        <w:autoSpaceDE/>
        <w:autoSpaceDN/>
        <w:bidi w:val="0"/>
        <w:adjustRightInd w:val="0"/>
        <w:snapToGrid/>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6.其他管理因素缺陷。</w:t>
      </w:r>
    </w:p>
    <w:p w14:paraId="41F5D968">
      <w:pPr>
        <w:pStyle w:val="3"/>
        <w:keepNext w:val="0"/>
        <w:keepLines w:val="0"/>
        <w:pageBreakBefore w:val="0"/>
        <w:widowControl w:val="0"/>
        <w:kinsoku/>
        <w:bidi w:val="0"/>
        <w:rPr>
          <w:rFonts w:hint="eastAsia"/>
        </w:rPr>
      </w:pPr>
      <w:bookmarkStart w:id="495" w:name="_Toc17835"/>
      <w:bookmarkEnd w:id="495"/>
      <w:bookmarkStart w:id="496" w:name="_Toc498299323"/>
      <w:bookmarkEnd w:id="496"/>
      <w:bookmarkStart w:id="497" w:name="_Toc498519793"/>
      <w:bookmarkEnd w:id="497"/>
      <w:bookmarkStart w:id="498" w:name="_Toc500007140"/>
      <w:bookmarkEnd w:id="498"/>
      <w:bookmarkStart w:id="499" w:name="_Toc4524"/>
      <w:bookmarkEnd w:id="499"/>
      <w:bookmarkStart w:id="500" w:name="_Toc257625869"/>
      <w:bookmarkStart w:id="501" w:name="_Toc26060"/>
      <w:bookmarkStart w:id="502" w:name="_Toc61013541"/>
      <w:r>
        <w:rPr>
          <w:rFonts w:hint="eastAsia"/>
        </w:rPr>
        <w:t>主要物料危险有害因素辨识与分析</w:t>
      </w:r>
      <w:bookmarkEnd w:id="500"/>
      <w:bookmarkEnd w:id="501"/>
    </w:p>
    <w:p w14:paraId="5EE7104A">
      <w:pPr>
        <w:pStyle w:val="4"/>
        <w:keepNext w:val="0"/>
        <w:keepLines w:val="0"/>
        <w:pageBreakBefore w:val="0"/>
        <w:widowControl w:val="0"/>
        <w:kinsoku/>
        <w:bidi w:val="0"/>
        <w:rPr>
          <w:rFonts w:hint="eastAsia"/>
        </w:rPr>
      </w:pPr>
      <w:bookmarkStart w:id="503" w:name="_Toc413501870"/>
      <w:bookmarkEnd w:id="503"/>
      <w:bookmarkStart w:id="504" w:name="_Toc6634"/>
      <w:bookmarkEnd w:id="504"/>
      <w:bookmarkStart w:id="505" w:name="_Toc60925371"/>
      <w:bookmarkEnd w:id="505"/>
      <w:bookmarkStart w:id="506" w:name="_Toc314213588"/>
      <w:bookmarkEnd w:id="506"/>
      <w:bookmarkStart w:id="507" w:name="_Toc477116146"/>
      <w:bookmarkEnd w:id="507"/>
      <w:bookmarkStart w:id="508" w:name="_Toc55567402"/>
      <w:bookmarkEnd w:id="508"/>
      <w:bookmarkStart w:id="509" w:name="_Toc55945262"/>
      <w:bookmarkEnd w:id="509"/>
      <w:bookmarkStart w:id="510" w:name="_Toc55033339"/>
      <w:bookmarkEnd w:id="510"/>
      <w:bookmarkStart w:id="511" w:name="_Toc531271093"/>
      <w:bookmarkStart w:id="512" w:name="_Toc32320"/>
      <w:r>
        <w:rPr>
          <w:rFonts w:hint="eastAsia"/>
        </w:rPr>
        <w:t>主要危险、有害物质辨识</w:t>
      </w:r>
      <w:bookmarkEnd w:id="511"/>
      <w:bookmarkEnd w:id="512"/>
    </w:p>
    <w:p w14:paraId="54C401EC">
      <w:pPr>
        <w:keepNext w:val="0"/>
        <w:keepLines w:val="0"/>
        <w:pageBreakBefore w:val="0"/>
        <w:widowControl w:val="0"/>
        <w:suppressLineNumbers w:val="0"/>
        <w:kinsoku/>
        <w:wordWrap/>
        <w:overflowPunct/>
        <w:topLinePunct w:val="0"/>
        <w:autoSpaceDE/>
        <w:autoSpaceDN/>
        <w:bidi w:val="0"/>
        <w:adjustRightInd w:val="0"/>
        <w:snapToGrid/>
        <w:jc w:val="left"/>
        <w:textAlignment w:val="auto"/>
      </w:pPr>
      <w:bookmarkStart w:id="513" w:name="_Toc19514"/>
      <w:r>
        <w:rPr>
          <w:rFonts w:hint="eastAsia" w:ascii="宋体" w:hAnsi="宋体" w:eastAsia="宋体" w:cs="宋体"/>
          <w:color w:val="000000"/>
          <w:kern w:val="0"/>
          <w:sz w:val="28"/>
          <w:szCs w:val="28"/>
          <w:lang w:val="en-US" w:eastAsia="zh-CN" w:bidi="ar"/>
        </w:rPr>
        <w:t>对建设项目工艺流程、原料、辅助材料、产品进行分析后，得出其在生产过程中主要存在以下危险、有害物质：</w:t>
      </w:r>
    </w:p>
    <w:p w14:paraId="4272C404">
      <w:pPr>
        <w:keepNext w:val="0"/>
        <w:keepLines w:val="0"/>
        <w:pageBreakBefore w:val="0"/>
        <w:widowControl w:val="0"/>
        <w:numPr>
          <w:ilvl w:val="0"/>
          <w:numId w:val="37"/>
        </w:numPr>
        <w:kinsoku/>
        <w:wordWrap/>
        <w:overflowPunct/>
        <w:topLinePunct w:val="0"/>
        <w:autoSpaceDE/>
        <w:autoSpaceDN/>
        <w:bidi w:val="0"/>
        <w:adjustRightInd w:val="0"/>
        <w:snapToGrid/>
        <w:ind w:left="0" w:leftChars="0" w:firstLine="560" w:firstLineChars="200"/>
        <w:textAlignment w:val="auto"/>
        <w:rPr>
          <w:rFonts w:hint="eastAsia"/>
          <w:lang w:eastAsia="zh-CN"/>
        </w:rPr>
      </w:pPr>
      <w:r>
        <w:rPr>
          <w:rFonts w:hint="eastAsia" w:cs="Times New Roman"/>
        </w:rPr>
        <w:t>生产使用的</w:t>
      </w:r>
      <w:r>
        <w:rPr>
          <w:rFonts w:hint="eastAsia" w:cs="Times New Roman"/>
          <w:lang w:val="en-US" w:eastAsia="zh-CN"/>
        </w:rPr>
        <w:t>原辅料</w:t>
      </w:r>
      <w:r>
        <w:rPr>
          <w:rFonts w:hint="eastAsia" w:cs="Times New Roman"/>
        </w:rPr>
        <w:t>石油焦、石墨电极</w:t>
      </w:r>
      <w:r>
        <w:rPr>
          <w:rFonts w:hint="eastAsia"/>
          <w:lang w:eastAsia="zh-CN"/>
        </w:rPr>
        <w:t>；</w:t>
      </w:r>
    </w:p>
    <w:p w14:paraId="190AB4A8">
      <w:pPr>
        <w:keepNext w:val="0"/>
        <w:keepLines w:val="0"/>
        <w:pageBreakBefore w:val="0"/>
        <w:widowControl w:val="0"/>
        <w:numPr>
          <w:ilvl w:val="0"/>
          <w:numId w:val="37"/>
        </w:numPr>
        <w:kinsoku/>
        <w:wordWrap/>
        <w:overflowPunct/>
        <w:topLinePunct w:val="0"/>
        <w:autoSpaceDE/>
        <w:autoSpaceDN/>
        <w:bidi w:val="0"/>
        <w:adjustRightInd w:val="0"/>
        <w:snapToGrid/>
        <w:ind w:left="0" w:leftChars="0" w:firstLine="560" w:firstLineChars="200"/>
        <w:textAlignment w:val="auto"/>
        <w:rPr>
          <w:rFonts w:hint="default"/>
          <w:lang w:val="en-US" w:eastAsia="zh-CN"/>
        </w:rPr>
      </w:pPr>
      <w:r>
        <w:rPr>
          <w:rFonts w:hint="eastAsia"/>
          <w:lang w:val="en-US" w:eastAsia="zh-CN"/>
        </w:rPr>
        <w:t>生产副产物Si</w:t>
      </w:r>
      <w:r>
        <w:rPr>
          <w:rFonts w:hint="eastAsia" w:cs="Times New Roman"/>
        </w:rPr>
        <w:t>O</w:t>
      </w:r>
      <w:r>
        <w:rPr>
          <w:rFonts w:hint="eastAsia"/>
          <w:vertAlign w:val="subscript"/>
          <w:lang w:val="en-US" w:eastAsia="zh-CN"/>
        </w:rPr>
        <w:t>2</w:t>
      </w:r>
      <w:r>
        <w:rPr>
          <w:rFonts w:hint="eastAsia"/>
          <w:vertAlign w:val="baseline"/>
          <w:lang w:val="en-US" w:eastAsia="zh-CN"/>
        </w:rPr>
        <w:t>；</w:t>
      </w:r>
    </w:p>
    <w:p w14:paraId="33D3B134">
      <w:pPr>
        <w:keepNext w:val="0"/>
        <w:keepLines w:val="0"/>
        <w:pageBreakBefore w:val="0"/>
        <w:widowControl w:val="0"/>
        <w:numPr>
          <w:ilvl w:val="0"/>
          <w:numId w:val="37"/>
        </w:numPr>
        <w:kinsoku/>
        <w:wordWrap/>
        <w:overflowPunct/>
        <w:topLinePunct w:val="0"/>
        <w:autoSpaceDE/>
        <w:autoSpaceDN/>
        <w:bidi w:val="0"/>
        <w:adjustRightInd w:val="0"/>
        <w:snapToGrid/>
        <w:ind w:left="0" w:leftChars="0" w:firstLine="560" w:firstLineChars="200"/>
        <w:textAlignment w:val="auto"/>
        <w:rPr>
          <w:rFonts w:hint="eastAsia" w:cs="Times New Roman"/>
          <w:lang w:eastAsia="zh-CN"/>
        </w:rPr>
      </w:pPr>
      <w:r>
        <w:rPr>
          <w:rFonts w:hint="eastAsia" w:cs="Times New Roman"/>
        </w:rPr>
        <w:t>生产</w:t>
      </w:r>
      <w:r>
        <w:rPr>
          <w:rFonts w:hint="eastAsia" w:cs="Times New Roman"/>
          <w:lang w:val="en-US" w:eastAsia="zh-CN"/>
        </w:rPr>
        <w:t>过程中还会</w:t>
      </w:r>
      <w:r>
        <w:rPr>
          <w:rFonts w:hint="eastAsia" w:cs="Times New Roman"/>
        </w:rPr>
        <w:t>产生</w:t>
      </w:r>
      <w:r>
        <w:rPr>
          <w:rFonts w:hint="eastAsia" w:cs="Times New Roman"/>
          <w:lang w:eastAsia="zh-CN"/>
        </w:rPr>
        <w:t>高温熔体</w:t>
      </w:r>
      <w:r>
        <w:rPr>
          <w:rFonts w:hint="eastAsia" w:cs="Times New Roman"/>
        </w:rPr>
        <w:t>、</w:t>
      </w:r>
      <w:r>
        <w:rPr>
          <w:rFonts w:hint="eastAsia" w:cs="Times New Roman"/>
          <w:lang w:val="en-US" w:eastAsia="zh-CN"/>
        </w:rPr>
        <w:t>高温烟气、</w:t>
      </w:r>
      <w:r>
        <w:rPr>
          <w:rFonts w:hint="eastAsia" w:cs="Times New Roman"/>
        </w:rPr>
        <w:t>少量CO</w:t>
      </w:r>
      <w:r>
        <w:rPr>
          <w:rFonts w:hint="eastAsia" w:cs="Times New Roman"/>
          <w:lang w:val="en-US" w:eastAsia="zh-CN"/>
        </w:rPr>
        <w:t>和</w:t>
      </w:r>
      <w:r>
        <w:rPr>
          <w:rFonts w:hint="eastAsia" w:cs="Times New Roman"/>
        </w:rPr>
        <w:t>CO</w:t>
      </w:r>
      <w:r>
        <w:rPr>
          <w:rFonts w:cs="Times New Roman"/>
          <w:vertAlign w:val="subscript"/>
        </w:rPr>
        <w:t>2</w:t>
      </w:r>
      <w:r>
        <w:rPr>
          <w:rFonts w:hint="eastAsia" w:cs="Times New Roman"/>
          <w:lang w:eastAsia="zh-CN"/>
        </w:rPr>
        <w:t>；</w:t>
      </w:r>
    </w:p>
    <w:p w14:paraId="635E4778">
      <w:pPr>
        <w:keepNext w:val="0"/>
        <w:keepLines w:val="0"/>
        <w:pageBreakBefore w:val="0"/>
        <w:widowControl w:val="0"/>
        <w:numPr>
          <w:ilvl w:val="0"/>
          <w:numId w:val="37"/>
        </w:numPr>
        <w:kinsoku/>
        <w:wordWrap/>
        <w:overflowPunct/>
        <w:topLinePunct w:val="0"/>
        <w:autoSpaceDE/>
        <w:autoSpaceDN/>
        <w:bidi w:val="0"/>
        <w:adjustRightInd w:val="0"/>
        <w:snapToGrid/>
        <w:ind w:left="0" w:leftChars="0" w:firstLine="560" w:firstLineChars="200"/>
        <w:textAlignment w:val="auto"/>
        <w:rPr>
          <w:rFonts w:hint="default" w:cs="Times New Roman"/>
          <w:lang w:val="en-US" w:eastAsia="zh-CN"/>
        </w:rPr>
      </w:pPr>
      <w:r>
        <w:rPr>
          <w:rFonts w:hint="eastAsia" w:ascii="Times New Roman" w:hAnsi="Times New Roman" w:eastAsia="宋体" w:cs="Times New Roman"/>
        </w:rPr>
        <w:t>供气系统生产或储存的压缩空气</w:t>
      </w:r>
      <w:r>
        <w:rPr>
          <w:rFonts w:hint="eastAsia" w:cs="Times New Roman"/>
          <w:lang w:val="en-US" w:eastAsia="zh-CN"/>
        </w:rPr>
        <w:t>；</w:t>
      </w:r>
    </w:p>
    <w:p w14:paraId="53BCC2D2">
      <w:pPr>
        <w:keepNext w:val="0"/>
        <w:keepLines w:val="0"/>
        <w:pageBreakBefore w:val="0"/>
        <w:widowControl w:val="0"/>
        <w:numPr>
          <w:ilvl w:val="0"/>
          <w:numId w:val="37"/>
        </w:numPr>
        <w:kinsoku/>
        <w:wordWrap/>
        <w:overflowPunct/>
        <w:topLinePunct w:val="0"/>
        <w:autoSpaceDE/>
        <w:autoSpaceDN/>
        <w:bidi w:val="0"/>
        <w:adjustRightInd w:val="0"/>
        <w:snapToGrid/>
        <w:ind w:left="0" w:leftChars="0" w:firstLine="560" w:firstLineChars="200"/>
        <w:textAlignment w:val="auto"/>
        <w:rPr>
          <w:rFonts w:hint="eastAsia"/>
          <w:lang w:eastAsia="zh-CN"/>
        </w:rPr>
      </w:pPr>
      <w:r>
        <w:rPr>
          <w:rFonts w:hint="eastAsia" w:ascii="Times New Roman" w:hAnsi="Times New Roman" w:eastAsia="宋体" w:cs="Times New Roman"/>
        </w:rPr>
        <w:t>检维修过程使用到的氧气、乙炔等</w:t>
      </w:r>
      <w:r>
        <w:rPr>
          <w:rFonts w:hint="eastAsia"/>
          <w:lang w:eastAsia="zh-CN"/>
        </w:rPr>
        <w:t>；</w:t>
      </w:r>
    </w:p>
    <w:p w14:paraId="21777D80">
      <w:pPr>
        <w:keepNext w:val="0"/>
        <w:keepLines w:val="0"/>
        <w:pageBreakBefore w:val="0"/>
        <w:widowControl w:val="0"/>
        <w:numPr>
          <w:ilvl w:val="0"/>
          <w:numId w:val="37"/>
        </w:numPr>
        <w:kinsoku/>
        <w:wordWrap/>
        <w:overflowPunct/>
        <w:topLinePunct w:val="0"/>
        <w:autoSpaceDE/>
        <w:autoSpaceDN/>
        <w:bidi w:val="0"/>
        <w:adjustRightInd w:val="0"/>
        <w:snapToGrid/>
        <w:ind w:left="0" w:leftChars="0" w:firstLine="560" w:firstLineChars="200"/>
        <w:textAlignment w:val="auto"/>
        <w:rPr>
          <w:rFonts w:hint="eastAsia"/>
          <w:lang w:eastAsia="zh-CN"/>
        </w:rPr>
      </w:pPr>
      <w:r>
        <w:rPr>
          <w:rFonts w:hint="eastAsia" w:ascii="Times New Roman" w:hAnsi="Times New Roman" w:eastAsia="宋体" w:cs="Times New Roman"/>
        </w:rPr>
        <w:t>设备维护保养时使用到的</w:t>
      </w:r>
      <w:r>
        <w:rPr>
          <w:rFonts w:hint="eastAsia" w:ascii="Times New Roman" w:hAnsi="Times New Roman" w:eastAsia="宋体" w:cs="Times New Roman"/>
          <w:lang w:val="en-US" w:eastAsia="zh-CN"/>
        </w:rPr>
        <w:t>液压</w:t>
      </w:r>
      <w:r>
        <w:rPr>
          <w:rFonts w:hint="eastAsia" w:ascii="Times New Roman" w:hAnsi="Times New Roman" w:eastAsia="宋体" w:cs="Times New Roman"/>
        </w:rPr>
        <w:t>油、润滑油等</w:t>
      </w:r>
      <w:r>
        <w:rPr>
          <w:rFonts w:hint="eastAsia" w:ascii="Times New Roman" w:hAnsi="Times New Roman" w:eastAsia="宋体" w:cs="Times New Roman"/>
          <w:lang w:eastAsia="zh-CN"/>
        </w:rPr>
        <w:t>；</w:t>
      </w:r>
    </w:p>
    <w:p w14:paraId="7B08A98F">
      <w:pPr>
        <w:keepNext w:val="0"/>
        <w:keepLines w:val="0"/>
        <w:pageBreakBefore w:val="0"/>
        <w:widowControl w:val="0"/>
        <w:numPr>
          <w:ilvl w:val="0"/>
          <w:numId w:val="37"/>
        </w:numPr>
        <w:kinsoku/>
        <w:wordWrap/>
        <w:overflowPunct/>
        <w:topLinePunct w:val="0"/>
        <w:autoSpaceDE/>
        <w:autoSpaceDN/>
        <w:bidi w:val="0"/>
        <w:adjustRightInd w:val="0"/>
        <w:snapToGrid/>
        <w:ind w:left="0" w:leftChars="0" w:firstLine="560" w:firstLineChars="200"/>
        <w:textAlignment w:val="auto"/>
        <w:rPr>
          <w:rFonts w:hint="eastAsia" w:eastAsia="宋体"/>
          <w:lang w:eastAsia="zh-CN"/>
        </w:rPr>
      </w:pPr>
      <w:r>
        <w:rPr>
          <w:rFonts w:hint="eastAsia" w:ascii="宋体" w:hAnsi="宋体"/>
          <w:sz w:val="28"/>
          <w:szCs w:val="28"/>
          <w:lang w:val="en-US" w:eastAsia="zh-CN"/>
        </w:rPr>
        <w:t>场内</w:t>
      </w:r>
      <w:r>
        <w:rPr>
          <w:rFonts w:hint="eastAsia"/>
          <w:sz w:val="28"/>
          <w:szCs w:val="28"/>
          <w:lang w:val="en-US" w:eastAsia="zh-CN"/>
        </w:rPr>
        <w:t>专用</w:t>
      </w:r>
      <w:r>
        <w:rPr>
          <w:rFonts w:hint="eastAsia" w:ascii="宋体" w:hAnsi="宋体"/>
          <w:sz w:val="28"/>
          <w:szCs w:val="28"/>
          <w:lang w:val="en-US" w:eastAsia="zh-CN"/>
        </w:rPr>
        <w:t>机动车辆（</w:t>
      </w:r>
      <w:r>
        <w:rPr>
          <w:rFonts w:hint="eastAsia" w:ascii="宋体" w:hAnsi="宋体"/>
          <w:sz w:val="28"/>
          <w:szCs w:val="28"/>
        </w:rPr>
        <w:t>叉车</w:t>
      </w:r>
      <w:r>
        <w:rPr>
          <w:rFonts w:hint="eastAsia" w:ascii="宋体" w:hAnsi="宋体"/>
          <w:sz w:val="28"/>
          <w:szCs w:val="28"/>
          <w:lang w:eastAsia="zh-CN"/>
        </w:rPr>
        <w:t>）</w:t>
      </w:r>
      <w:r>
        <w:rPr>
          <w:rFonts w:hint="eastAsia" w:ascii="宋体" w:hAnsi="宋体"/>
          <w:sz w:val="28"/>
          <w:szCs w:val="28"/>
        </w:rPr>
        <w:t>使用的柴油</w:t>
      </w:r>
      <w:r>
        <w:rPr>
          <w:rFonts w:hint="eastAsia" w:ascii="宋体" w:hAnsi="宋体"/>
          <w:sz w:val="28"/>
          <w:szCs w:val="28"/>
          <w:lang w:eastAsia="zh-CN"/>
        </w:rPr>
        <w:t>；</w:t>
      </w:r>
    </w:p>
    <w:p w14:paraId="53DFB539">
      <w:pPr>
        <w:keepNext w:val="0"/>
        <w:keepLines w:val="0"/>
        <w:pageBreakBefore w:val="0"/>
        <w:widowControl w:val="0"/>
        <w:numPr>
          <w:ilvl w:val="0"/>
          <w:numId w:val="37"/>
        </w:numPr>
        <w:kinsoku/>
        <w:wordWrap/>
        <w:overflowPunct/>
        <w:topLinePunct w:val="0"/>
        <w:autoSpaceDE/>
        <w:autoSpaceDN/>
        <w:bidi w:val="0"/>
        <w:adjustRightInd w:val="0"/>
        <w:snapToGrid/>
        <w:ind w:left="0" w:leftChars="0" w:firstLine="560" w:firstLineChars="200"/>
        <w:textAlignment w:val="auto"/>
        <w:rPr>
          <w:rFonts w:hint="eastAsia" w:ascii="宋体" w:hAnsi="宋体" w:eastAsia="宋体" w:cs="Times New Roman"/>
          <w:sz w:val="28"/>
          <w:szCs w:val="28"/>
          <w:lang w:val="en-US" w:eastAsia="zh-CN"/>
        </w:rPr>
      </w:pPr>
      <w:r>
        <w:rPr>
          <w:rFonts w:hint="eastAsia" w:ascii="宋体" w:hAnsi="宋体" w:eastAsia="宋体" w:cs="Times New Roman"/>
          <w:sz w:val="28"/>
          <w:szCs w:val="28"/>
          <w:lang w:val="en-US" w:eastAsia="zh-CN"/>
        </w:rPr>
        <w:t>化验室使用的少量盐酸试剂。</w:t>
      </w:r>
    </w:p>
    <w:bookmarkEnd w:id="513"/>
    <w:p w14:paraId="649532C4">
      <w:pPr>
        <w:keepNext w:val="0"/>
        <w:keepLines w:val="0"/>
        <w:pageBreakBefore w:val="0"/>
        <w:widowControl w:val="0"/>
        <w:kinsoku/>
        <w:wordWrap/>
        <w:overflowPunct/>
        <w:topLinePunct w:val="0"/>
        <w:autoSpaceDE/>
        <w:autoSpaceDN/>
        <w:bidi w:val="0"/>
        <w:adjustRightInd w:val="0"/>
        <w:snapToGrid/>
        <w:textAlignment w:val="auto"/>
      </w:pPr>
      <w:r>
        <w:rPr>
          <w:rFonts w:hint="eastAsia" w:cs="Times New Roman"/>
          <w:lang w:val="zh-CN" w:eastAsia="zh-CN"/>
        </w:rPr>
        <w:t>危</w:t>
      </w:r>
      <w:r>
        <w:rPr>
          <w:rFonts w:hint="eastAsia" w:ascii="Times New Roman"/>
          <w:lang w:val="zh-CN"/>
        </w:rPr>
        <w:t>险</w:t>
      </w:r>
      <w:r>
        <w:rPr>
          <w:rFonts w:hint="eastAsia" w:ascii="Times New Roman"/>
          <w:lang w:val="en-US" w:eastAsia="zh-CN"/>
        </w:rPr>
        <w:t>物料</w:t>
      </w:r>
      <w:r>
        <w:rPr>
          <w:rFonts w:hint="eastAsia" w:ascii="Times New Roman"/>
          <w:lang w:val="zh-CN"/>
        </w:rPr>
        <w:t>的主要危害特性及控制指标见表</w:t>
      </w:r>
      <w:r>
        <w:rPr>
          <w:rFonts w:hint="eastAsia" w:ascii="Times New Roman" w:eastAsia="宋体"/>
          <w:lang w:val="en-US" w:eastAsia="zh-CN"/>
        </w:rPr>
        <w:t>3</w:t>
      </w:r>
      <w:r>
        <w:rPr>
          <w:rFonts w:hint="eastAsia" w:ascii="Times New Roman"/>
          <w:lang w:val="zh-CN"/>
        </w:rPr>
        <w:t>-1。</w:t>
      </w:r>
    </w:p>
    <w:p w14:paraId="6AB68DA3">
      <w:pPr>
        <w:pStyle w:val="12"/>
        <w:keepNext w:val="0"/>
        <w:keepLines w:val="0"/>
        <w:pageBreakBefore w:val="0"/>
        <w:widowControl w:val="0"/>
        <w:kinsoku/>
        <w:bidi w:val="0"/>
        <w:ind w:left="0" w:leftChars="0" w:right="0" w:rightChars="0" w:firstLine="0" w:firstLineChars="0"/>
        <w:jc w:val="center"/>
        <w:rPr>
          <w:rFonts w:hint="eastAsia"/>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1</w:t>
      </w:r>
      <w:r>
        <w:fldChar w:fldCharType="end"/>
      </w:r>
      <w:r>
        <w:rPr>
          <w:rFonts w:hint="eastAsia"/>
        </w:rPr>
        <w:t xml:space="preserve"> 主要</w:t>
      </w:r>
      <w:r>
        <w:rPr>
          <w:rFonts w:hint="eastAsia"/>
          <w:lang w:val="en-US" w:eastAsia="zh-CN"/>
        </w:rPr>
        <w:t>物料</w:t>
      </w:r>
      <w:r>
        <w:rPr>
          <w:rFonts w:hint="eastAsia"/>
        </w:rPr>
        <w:t>的危害特性及控制指标</w:t>
      </w:r>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601"/>
        <w:gridCol w:w="1224"/>
        <w:gridCol w:w="928"/>
        <w:gridCol w:w="3840"/>
        <w:gridCol w:w="874"/>
        <w:gridCol w:w="951"/>
      </w:tblGrid>
      <w:tr w14:paraId="3BADEF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357" w:type="pct"/>
            <w:tcBorders>
              <w:tl2br w:val="nil"/>
              <w:tr2bl w:val="nil"/>
            </w:tcBorders>
            <w:noWrap w:val="0"/>
            <w:tcMar>
              <w:left w:w="57" w:type="dxa"/>
              <w:right w:w="57" w:type="dxa"/>
            </w:tcMar>
            <w:vAlign w:val="center"/>
          </w:tcPr>
          <w:p w14:paraId="3C38683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序号</w:t>
            </w:r>
          </w:p>
        </w:tc>
        <w:tc>
          <w:tcPr>
            <w:tcW w:w="727" w:type="pct"/>
            <w:tcBorders>
              <w:tl2br w:val="nil"/>
              <w:tr2bl w:val="nil"/>
            </w:tcBorders>
            <w:noWrap w:val="0"/>
            <w:tcMar>
              <w:left w:w="57" w:type="dxa"/>
              <w:right w:w="57" w:type="dxa"/>
            </w:tcMar>
            <w:vAlign w:val="center"/>
          </w:tcPr>
          <w:p w14:paraId="2E58BBD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物料名称</w:t>
            </w:r>
          </w:p>
        </w:tc>
        <w:tc>
          <w:tcPr>
            <w:tcW w:w="551" w:type="pct"/>
            <w:tcBorders>
              <w:tl2br w:val="nil"/>
              <w:tr2bl w:val="nil"/>
            </w:tcBorders>
            <w:noWrap w:val="0"/>
            <w:tcMar>
              <w:left w:w="57" w:type="dxa"/>
              <w:right w:w="57" w:type="dxa"/>
            </w:tcMar>
            <w:vAlign w:val="center"/>
          </w:tcPr>
          <w:p w14:paraId="35B9E60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危</w:t>
            </w:r>
            <w:r>
              <w:rPr>
                <w:rFonts w:hint="eastAsia" w:ascii="宋体" w:hAnsi="宋体" w:eastAsia="宋体" w:cs="宋体"/>
                <w:sz w:val="21"/>
                <w:szCs w:val="21"/>
                <w:lang w:val="en-US" w:eastAsia="zh-CN"/>
              </w:rPr>
              <w:t>险货物</w:t>
            </w:r>
            <w:r>
              <w:rPr>
                <w:rFonts w:hint="eastAsia" w:ascii="宋体" w:hAnsi="宋体" w:eastAsia="宋体" w:cs="宋体"/>
                <w:sz w:val="21"/>
                <w:szCs w:val="21"/>
              </w:rPr>
              <w:t>编号</w:t>
            </w:r>
          </w:p>
        </w:tc>
        <w:tc>
          <w:tcPr>
            <w:tcW w:w="2280" w:type="pct"/>
            <w:tcBorders>
              <w:tl2br w:val="nil"/>
              <w:tr2bl w:val="nil"/>
            </w:tcBorders>
            <w:noWrap w:val="0"/>
            <w:tcMar>
              <w:left w:w="57" w:type="dxa"/>
              <w:right w:w="57" w:type="dxa"/>
            </w:tcMar>
            <w:vAlign w:val="center"/>
          </w:tcPr>
          <w:p w14:paraId="4E16843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危害特性</w:t>
            </w:r>
          </w:p>
        </w:tc>
        <w:tc>
          <w:tcPr>
            <w:tcW w:w="519" w:type="pct"/>
            <w:tcBorders>
              <w:tl2br w:val="nil"/>
              <w:tr2bl w:val="nil"/>
            </w:tcBorders>
            <w:noWrap w:val="0"/>
            <w:tcMar>
              <w:left w:w="57" w:type="dxa"/>
              <w:right w:w="57" w:type="dxa"/>
            </w:tcMar>
            <w:vAlign w:val="center"/>
          </w:tcPr>
          <w:p w14:paraId="00BDCB1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火险</w:t>
            </w:r>
          </w:p>
          <w:p w14:paraId="690C17A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分类</w:t>
            </w:r>
          </w:p>
        </w:tc>
        <w:tc>
          <w:tcPr>
            <w:tcW w:w="564" w:type="pct"/>
            <w:tcBorders>
              <w:tl2br w:val="nil"/>
              <w:tr2bl w:val="nil"/>
            </w:tcBorders>
            <w:noWrap w:val="0"/>
            <w:tcMar>
              <w:left w:w="57" w:type="dxa"/>
              <w:right w:w="57" w:type="dxa"/>
            </w:tcMar>
            <w:vAlign w:val="center"/>
          </w:tcPr>
          <w:p w14:paraId="4C1D697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毒性</w:t>
            </w:r>
          </w:p>
        </w:tc>
      </w:tr>
      <w:tr w14:paraId="41D24A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357" w:type="pct"/>
            <w:tcBorders>
              <w:tl2br w:val="nil"/>
              <w:tr2bl w:val="nil"/>
            </w:tcBorders>
            <w:noWrap w:val="0"/>
            <w:tcMar>
              <w:left w:w="57" w:type="dxa"/>
              <w:right w:w="57" w:type="dxa"/>
            </w:tcMar>
            <w:vAlign w:val="center"/>
          </w:tcPr>
          <w:p w14:paraId="448B6608">
            <w:pPr>
              <w:keepNext w:val="0"/>
              <w:keepLines w:val="0"/>
              <w:pageBreakBefore w:val="0"/>
              <w:widowControl w:val="0"/>
              <w:numPr>
                <w:ilvl w:val="0"/>
                <w:numId w:val="38"/>
              </w:numPr>
              <w:suppressLineNumbers w:val="0"/>
              <w:kinsoku/>
              <w:wordWrap/>
              <w:overflowPunct/>
              <w:topLinePunct w:val="0"/>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sz w:val="21"/>
                <w:szCs w:val="21"/>
              </w:rPr>
            </w:pPr>
          </w:p>
        </w:tc>
        <w:tc>
          <w:tcPr>
            <w:tcW w:w="727" w:type="pct"/>
            <w:tcBorders>
              <w:tl2br w:val="nil"/>
              <w:tr2bl w:val="nil"/>
            </w:tcBorders>
            <w:noWrap w:val="0"/>
            <w:tcMar>
              <w:left w:w="57" w:type="dxa"/>
              <w:right w:w="57" w:type="dxa"/>
            </w:tcMar>
            <w:vAlign w:val="center"/>
          </w:tcPr>
          <w:p w14:paraId="708313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石油焦</w:t>
            </w:r>
          </w:p>
        </w:tc>
        <w:tc>
          <w:tcPr>
            <w:tcW w:w="551" w:type="pct"/>
            <w:tcBorders>
              <w:tl2br w:val="nil"/>
              <w:tr2bl w:val="nil"/>
            </w:tcBorders>
            <w:noWrap w:val="0"/>
            <w:tcMar>
              <w:left w:w="57" w:type="dxa"/>
              <w:right w:w="57" w:type="dxa"/>
            </w:tcMar>
            <w:vAlign w:val="center"/>
          </w:tcPr>
          <w:p w14:paraId="1646EFC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2280" w:type="pct"/>
            <w:tcBorders>
              <w:tl2br w:val="nil"/>
              <w:tr2bl w:val="nil"/>
            </w:tcBorders>
            <w:noWrap w:val="0"/>
            <w:tcMar>
              <w:left w:w="57" w:type="dxa"/>
              <w:right w:w="57" w:type="dxa"/>
            </w:tcMar>
            <w:vAlign w:val="center"/>
          </w:tcPr>
          <w:p w14:paraId="7FD37A8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可燃，遇明火有发生火灾的危险</w:t>
            </w:r>
          </w:p>
        </w:tc>
        <w:tc>
          <w:tcPr>
            <w:tcW w:w="519" w:type="pct"/>
            <w:tcBorders>
              <w:tl2br w:val="nil"/>
              <w:tr2bl w:val="nil"/>
            </w:tcBorders>
            <w:noWrap w:val="0"/>
            <w:tcMar>
              <w:left w:w="57" w:type="dxa"/>
              <w:right w:w="57" w:type="dxa"/>
            </w:tcMar>
            <w:vAlign w:val="center"/>
          </w:tcPr>
          <w:p w14:paraId="43ABEC0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丙</w:t>
            </w:r>
          </w:p>
        </w:tc>
        <w:tc>
          <w:tcPr>
            <w:tcW w:w="564" w:type="pct"/>
            <w:tcBorders>
              <w:tl2br w:val="nil"/>
              <w:tr2bl w:val="nil"/>
            </w:tcBorders>
            <w:noWrap w:val="0"/>
            <w:tcMar>
              <w:left w:w="57" w:type="dxa"/>
              <w:right w:w="57" w:type="dxa"/>
            </w:tcMar>
            <w:vAlign w:val="center"/>
          </w:tcPr>
          <w:p w14:paraId="0B24563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color w:val="FF0000"/>
                <w:sz w:val="21"/>
                <w:szCs w:val="21"/>
                <w:lang w:val="en-US" w:eastAsia="zh-CN"/>
              </w:rPr>
              <w:t>/</w:t>
            </w:r>
          </w:p>
        </w:tc>
      </w:tr>
      <w:tr w14:paraId="3DD417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357" w:type="pct"/>
            <w:tcBorders>
              <w:tl2br w:val="nil"/>
              <w:tr2bl w:val="nil"/>
            </w:tcBorders>
            <w:noWrap w:val="0"/>
            <w:tcMar>
              <w:left w:w="57" w:type="dxa"/>
              <w:right w:w="57" w:type="dxa"/>
            </w:tcMar>
            <w:vAlign w:val="center"/>
          </w:tcPr>
          <w:p w14:paraId="589FD62C">
            <w:pPr>
              <w:keepNext w:val="0"/>
              <w:keepLines w:val="0"/>
              <w:pageBreakBefore w:val="0"/>
              <w:widowControl w:val="0"/>
              <w:numPr>
                <w:ilvl w:val="0"/>
                <w:numId w:val="38"/>
              </w:numPr>
              <w:suppressLineNumbers w:val="0"/>
              <w:kinsoku/>
              <w:wordWrap/>
              <w:overflowPunct/>
              <w:topLinePunct w:val="0"/>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sz w:val="21"/>
                <w:szCs w:val="21"/>
              </w:rPr>
            </w:pPr>
          </w:p>
        </w:tc>
        <w:tc>
          <w:tcPr>
            <w:tcW w:w="727" w:type="pct"/>
            <w:tcBorders>
              <w:tl2br w:val="nil"/>
              <w:tr2bl w:val="nil"/>
            </w:tcBorders>
            <w:noWrap w:val="0"/>
            <w:tcMar>
              <w:left w:w="57" w:type="dxa"/>
              <w:right w:w="57" w:type="dxa"/>
            </w:tcMar>
            <w:vAlign w:val="center"/>
          </w:tcPr>
          <w:p w14:paraId="672A546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石墨电极</w:t>
            </w:r>
          </w:p>
        </w:tc>
        <w:tc>
          <w:tcPr>
            <w:tcW w:w="551" w:type="pct"/>
            <w:tcBorders>
              <w:tl2br w:val="nil"/>
              <w:tr2bl w:val="nil"/>
            </w:tcBorders>
            <w:noWrap w:val="0"/>
            <w:tcMar>
              <w:left w:w="57" w:type="dxa"/>
              <w:right w:w="57" w:type="dxa"/>
            </w:tcMar>
            <w:vAlign w:val="center"/>
          </w:tcPr>
          <w:p w14:paraId="68B801F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2280" w:type="pct"/>
            <w:tcBorders>
              <w:tl2br w:val="nil"/>
              <w:tr2bl w:val="nil"/>
            </w:tcBorders>
            <w:noWrap w:val="0"/>
            <w:tcMar>
              <w:left w:w="57" w:type="dxa"/>
              <w:right w:w="57" w:type="dxa"/>
            </w:tcMar>
            <w:vAlign w:val="center"/>
          </w:tcPr>
          <w:p w14:paraId="7DE6380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不易燃烧，具有导电性</w:t>
            </w:r>
          </w:p>
        </w:tc>
        <w:tc>
          <w:tcPr>
            <w:tcW w:w="519" w:type="pct"/>
            <w:tcBorders>
              <w:tl2br w:val="nil"/>
              <w:tr2bl w:val="nil"/>
            </w:tcBorders>
            <w:noWrap w:val="0"/>
            <w:tcMar>
              <w:left w:w="57" w:type="dxa"/>
              <w:right w:w="57" w:type="dxa"/>
            </w:tcMar>
            <w:vAlign w:val="center"/>
          </w:tcPr>
          <w:p w14:paraId="118657C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戊</w:t>
            </w:r>
          </w:p>
        </w:tc>
        <w:tc>
          <w:tcPr>
            <w:tcW w:w="564" w:type="pct"/>
            <w:tcBorders>
              <w:tl2br w:val="nil"/>
              <w:tr2bl w:val="nil"/>
            </w:tcBorders>
            <w:noWrap w:val="0"/>
            <w:tcMar>
              <w:left w:w="57" w:type="dxa"/>
              <w:right w:w="57" w:type="dxa"/>
            </w:tcMar>
            <w:vAlign w:val="center"/>
          </w:tcPr>
          <w:p w14:paraId="34C497B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14:paraId="4C0C94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357" w:type="pct"/>
            <w:tcBorders>
              <w:tl2br w:val="nil"/>
              <w:tr2bl w:val="nil"/>
            </w:tcBorders>
            <w:noWrap w:val="0"/>
            <w:tcMar>
              <w:left w:w="57" w:type="dxa"/>
              <w:right w:w="57" w:type="dxa"/>
            </w:tcMar>
            <w:vAlign w:val="center"/>
          </w:tcPr>
          <w:p w14:paraId="7EC8355B">
            <w:pPr>
              <w:keepNext w:val="0"/>
              <w:keepLines w:val="0"/>
              <w:pageBreakBefore w:val="0"/>
              <w:widowControl w:val="0"/>
              <w:numPr>
                <w:ilvl w:val="0"/>
                <w:numId w:val="38"/>
              </w:numPr>
              <w:suppressLineNumbers w:val="0"/>
              <w:kinsoku/>
              <w:wordWrap/>
              <w:overflowPunct/>
              <w:topLinePunct w:val="0"/>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sz w:val="21"/>
                <w:szCs w:val="21"/>
              </w:rPr>
            </w:pPr>
          </w:p>
        </w:tc>
        <w:tc>
          <w:tcPr>
            <w:tcW w:w="727" w:type="pct"/>
            <w:tcBorders>
              <w:tl2br w:val="nil"/>
              <w:tr2bl w:val="nil"/>
            </w:tcBorders>
            <w:noWrap w:val="0"/>
            <w:tcMar>
              <w:left w:w="57" w:type="dxa"/>
              <w:right w:w="57" w:type="dxa"/>
            </w:tcMar>
            <w:vAlign w:val="center"/>
          </w:tcPr>
          <w:p w14:paraId="248DB01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zh-CN"/>
              </w:rPr>
              <w:t>氧[压缩的或液化的]</w:t>
            </w:r>
          </w:p>
        </w:tc>
        <w:tc>
          <w:tcPr>
            <w:tcW w:w="551" w:type="pct"/>
            <w:tcBorders>
              <w:tl2br w:val="nil"/>
              <w:tr2bl w:val="nil"/>
            </w:tcBorders>
            <w:noWrap w:val="0"/>
            <w:tcMar>
              <w:left w:w="57" w:type="dxa"/>
              <w:right w:w="57" w:type="dxa"/>
            </w:tcMar>
            <w:vAlign w:val="center"/>
          </w:tcPr>
          <w:p w14:paraId="5F47BC5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22001</w:t>
            </w:r>
          </w:p>
        </w:tc>
        <w:tc>
          <w:tcPr>
            <w:tcW w:w="2280" w:type="pct"/>
            <w:tcBorders>
              <w:tl2br w:val="nil"/>
              <w:tr2bl w:val="nil"/>
            </w:tcBorders>
            <w:noWrap w:val="0"/>
            <w:tcMar>
              <w:left w:w="57" w:type="dxa"/>
              <w:right w:w="57" w:type="dxa"/>
            </w:tcMar>
            <w:vAlign w:val="center"/>
          </w:tcPr>
          <w:p w14:paraId="62C0AF9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是易燃物、可燃物燃烧爆炸的基本要素之一，能氧化大多数活性物质。与易燃物（如乙炔、甲烷等）形成爆炸性的混合物。 </w:t>
            </w:r>
          </w:p>
        </w:tc>
        <w:tc>
          <w:tcPr>
            <w:tcW w:w="519" w:type="pct"/>
            <w:tcBorders>
              <w:tl2br w:val="nil"/>
              <w:tr2bl w:val="nil"/>
            </w:tcBorders>
            <w:noWrap w:val="0"/>
            <w:tcMar>
              <w:left w:w="57" w:type="dxa"/>
              <w:right w:w="57" w:type="dxa"/>
            </w:tcMar>
            <w:vAlign w:val="center"/>
          </w:tcPr>
          <w:p w14:paraId="515041E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乙</w:t>
            </w:r>
          </w:p>
        </w:tc>
        <w:tc>
          <w:tcPr>
            <w:tcW w:w="564" w:type="pct"/>
            <w:tcBorders>
              <w:tl2br w:val="nil"/>
              <w:tr2bl w:val="nil"/>
            </w:tcBorders>
            <w:noWrap w:val="0"/>
            <w:tcMar>
              <w:left w:w="57" w:type="dxa"/>
              <w:right w:w="57" w:type="dxa"/>
            </w:tcMar>
            <w:vAlign w:val="center"/>
          </w:tcPr>
          <w:p w14:paraId="2BD6D39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无毒</w:t>
            </w:r>
          </w:p>
        </w:tc>
      </w:tr>
      <w:tr w14:paraId="4585BA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3" w:hRule="atLeast"/>
          <w:jc w:val="center"/>
        </w:trPr>
        <w:tc>
          <w:tcPr>
            <w:tcW w:w="357" w:type="pct"/>
            <w:tcBorders>
              <w:tl2br w:val="nil"/>
              <w:tr2bl w:val="nil"/>
            </w:tcBorders>
            <w:noWrap w:val="0"/>
            <w:tcMar>
              <w:left w:w="57" w:type="dxa"/>
              <w:right w:w="57" w:type="dxa"/>
            </w:tcMar>
            <w:vAlign w:val="center"/>
          </w:tcPr>
          <w:p w14:paraId="67BD0509">
            <w:pPr>
              <w:keepNext w:val="0"/>
              <w:keepLines w:val="0"/>
              <w:pageBreakBefore w:val="0"/>
              <w:widowControl w:val="0"/>
              <w:numPr>
                <w:ilvl w:val="0"/>
                <w:numId w:val="38"/>
              </w:numPr>
              <w:suppressLineNumbers w:val="0"/>
              <w:kinsoku/>
              <w:wordWrap/>
              <w:overflowPunct/>
              <w:topLinePunct w:val="0"/>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sz w:val="21"/>
                <w:szCs w:val="21"/>
              </w:rPr>
            </w:pPr>
          </w:p>
        </w:tc>
        <w:tc>
          <w:tcPr>
            <w:tcW w:w="727" w:type="pct"/>
            <w:tcBorders>
              <w:tl2br w:val="nil"/>
              <w:tr2bl w:val="nil"/>
            </w:tcBorders>
            <w:noWrap w:val="0"/>
            <w:tcMar>
              <w:left w:w="57" w:type="dxa"/>
              <w:right w:w="57" w:type="dxa"/>
            </w:tcMar>
            <w:vAlign w:val="center"/>
          </w:tcPr>
          <w:p w14:paraId="74AC30F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zh-CN"/>
              </w:rPr>
              <w:t>乙炔</w:t>
            </w:r>
          </w:p>
        </w:tc>
        <w:tc>
          <w:tcPr>
            <w:tcW w:w="551" w:type="pct"/>
            <w:tcBorders>
              <w:tl2br w:val="nil"/>
              <w:tr2bl w:val="nil"/>
            </w:tcBorders>
            <w:noWrap w:val="0"/>
            <w:tcMar>
              <w:left w:w="57" w:type="dxa"/>
              <w:right w:w="57" w:type="dxa"/>
            </w:tcMar>
            <w:vAlign w:val="center"/>
          </w:tcPr>
          <w:p w14:paraId="2C12BD7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21024</w:t>
            </w:r>
          </w:p>
        </w:tc>
        <w:tc>
          <w:tcPr>
            <w:tcW w:w="2280" w:type="pct"/>
            <w:tcBorders>
              <w:tl2br w:val="nil"/>
              <w:tr2bl w:val="nil"/>
            </w:tcBorders>
            <w:noWrap w:val="0"/>
            <w:tcMar>
              <w:left w:w="57" w:type="dxa"/>
              <w:right w:w="57" w:type="dxa"/>
            </w:tcMar>
            <w:vAlign w:val="center"/>
          </w:tcPr>
          <w:p w14:paraId="7A5A37F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与空气混合能形成爆炸性混合物，遇明火、高热能引起燃烧爆炸。与氧化剂接触会猛烈反应。与氟、氯等接触会发生剧烈的化学反应。能与铜、银、汞等的化合物生成爆炸性物质。具有弱麻醉作用。</w:t>
            </w:r>
          </w:p>
        </w:tc>
        <w:tc>
          <w:tcPr>
            <w:tcW w:w="519" w:type="pct"/>
            <w:tcBorders>
              <w:tl2br w:val="nil"/>
              <w:tr2bl w:val="nil"/>
            </w:tcBorders>
            <w:noWrap w:val="0"/>
            <w:tcMar>
              <w:left w:w="57" w:type="dxa"/>
              <w:right w:w="57" w:type="dxa"/>
            </w:tcMar>
            <w:vAlign w:val="center"/>
          </w:tcPr>
          <w:p w14:paraId="29C53A6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bCs/>
                <w:kern w:val="2"/>
                <w:sz w:val="24"/>
                <w:szCs w:val="24"/>
                <w:lang w:val="en-US" w:eastAsia="zh-CN" w:bidi="ar-SA"/>
              </w:rPr>
              <w:t>甲</w:t>
            </w:r>
          </w:p>
        </w:tc>
        <w:tc>
          <w:tcPr>
            <w:tcW w:w="564" w:type="pct"/>
            <w:tcBorders>
              <w:tl2br w:val="nil"/>
              <w:tr2bl w:val="nil"/>
            </w:tcBorders>
            <w:noWrap w:val="0"/>
            <w:tcMar>
              <w:left w:w="57" w:type="dxa"/>
              <w:right w:w="57" w:type="dxa"/>
            </w:tcMar>
            <w:vAlign w:val="center"/>
          </w:tcPr>
          <w:p w14:paraId="0D2CC3B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有毒</w:t>
            </w:r>
          </w:p>
        </w:tc>
      </w:tr>
      <w:tr w14:paraId="622ED9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357" w:type="pct"/>
            <w:tcBorders>
              <w:tl2br w:val="nil"/>
              <w:tr2bl w:val="nil"/>
            </w:tcBorders>
            <w:noWrap w:val="0"/>
            <w:tcMar>
              <w:left w:w="57" w:type="dxa"/>
              <w:right w:w="57" w:type="dxa"/>
            </w:tcMar>
            <w:vAlign w:val="center"/>
          </w:tcPr>
          <w:p w14:paraId="5688305E">
            <w:pPr>
              <w:keepNext w:val="0"/>
              <w:keepLines w:val="0"/>
              <w:pageBreakBefore w:val="0"/>
              <w:widowControl w:val="0"/>
              <w:numPr>
                <w:ilvl w:val="0"/>
                <w:numId w:val="38"/>
              </w:numPr>
              <w:suppressLineNumbers w:val="0"/>
              <w:kinsoku/>
              <w:wordWrap/>
              <w:overflowPunct/>
              <w:topLinePunct w:val="0"/>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sz w:val="21"/>
                <w:szCs w:val="21"/>
              </w:rPr>
            </w:pPr>
          </w:p>
        </w:tc>
        <w:tc>
          <w:tcPr>
            <w:tcW w:w="727" w:type="pct"/>
            <w:tcBorders>
              <w:tl2br w:val="nil"/>
              <w:tr2bl w:val="nil"/>
            </w:tcBorders>
            <w:noWrap w:val="0"/>
            <w:tcMar>
              <w:left w:w="57" w:type="dxa"/>
              <w:right w:w="57" w:type="dxa"/>
            </w:tcMar>
            <w:vAlign w:val="center"/>
          </w:tcPr>
          <w:p w14:paraId="6D0FF98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zh-CN" w:eastAsia="zh-CN"/>
              </w:rPr>
            </w:pPr>
            <w:r>
              <w:rPr>
                <w:rFonts w:hint="eastAsia" w:ascii="宋体" w:hAnsi="宋体" w:eastAsia="宋体" w:cs="宋体"/>
                <w:sz w:val="21"/>
                <w:szCs w:val="21"/>
              </w:rPr>
              <w:t>压缩空气</w:t>
            </w:r>
          </w:p>
        </w:tc>
        <w:tc>
          <w:tcPr>
            <w:tcW w:w="551" w:type="pct"/>
            <w:tcBorders>
              <w:tl2br w:val="nil"/>
              <w:tr2bl w:val="nil"/>
            </w:tcBorders>
            <w:noWrap w:val="0"/>
            <w:tcMar>
              <w:left w:w="57" w:type="dxa"/>
              <w:right w:w="57" w:type="dxa"/>
            </w:tcMar>
            <w:vAlign w:val="center"/>
          </w:tcPr>
          <w:p w14:paraId="32D93EE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2280" w:type="pct"/>
            <w:tcBorders>
              <w:tl2br w:val="nil"/>
              <w:tr2bl w:val="nil"/>
            </w:tcBorders>
            <w:noWrap w:val="0"/>
            <w:tcMar>
              <w:left w:w="57" w:type="dxa"/>
              <w:right w:w="57" w:type="dxa"/>
            </w:tcMar>
            <w:vAlign w:val="center"/>
          </w:tcPr>
          <w:p w14:paraId="57E2D47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受热后瓶内压力增大，有爆炸危险；遇硫、磷会引起爆炸；能使油脂剧烈氧化，甚至燃烧爆炸；助燃</w:t>
            </w:r>
          </w:p>
        </w:tc>
        <w:tc>
          <w:tcPr>
            <w:tcW w:w="519" w:type="pct"/>
            <w:tcBorders>
              <w:tl2br w:val="nil"/>
              <w:tr2bl w:val="nil"/>
            </w:tcBorders>
            <w:noWrap w:val="0"/>
            <w:tcMar>
              <w:left w:w="57" w:type="dxa"/>
              <w:right w:w="57" w:type="dxa"/>
            </w:tcMar>
            <w:vAlign w:val="center"/>
          </w:tcPr>
          <w:p w14:paraId="0CC1430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spacing w:val="10"/>
                <w:szCs w:val="21"/>
              </w:rPr>
              <w:t>/</w:t>
            </w:r>
          </w:p>
        </w:tc>
        <w:tc>
          <w:tcPr>
            <w:tcW w:w="564" w:type="pct"/>
            <w:tcBorders>
              <w:tl2br w:val="nil"/>
              <w:tr2bl w:val="nil"/>
            </w:tcBorders>
            <w:noWrap w:val="0"/>
            <w:tcMar>
              <w:left w:w="57" w:type="dxa"/>
              <w:right w:w="57" w:type="dxa"/>
            </w:tcMar>
            <w:vAlign w:val="center"/>
          </w:tcPr>
          <w:p w14:paraId="6D17EBF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spacing w:val="10"/>
                <w:szCs w:val="21"/>
              </w:rPr>
              <w:t>/</w:t>
            </w:r>
          </w:p>
        </w:tc>
      </w:tr>
      <w:tr w14:paraId="17865D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357" w:type="pct"/>
            <w:tcBorders>
              <w:tl2br w:val="nil"/>
              <w:tr2bl w:val="nil"/>
            </w:tcBorders>
            <w:noWrap w:val="0"/>
            <w:tcMar>
              <w:left w:w="57" w:type="dxa"/>
              <w:right w:w="57" w:type="dxa"/>
            </w:tcMar>
            <w:vAlign w:val="center"/>
          </w:tcPr>
          <w:p w14:paraId="45BD0410">
            <w:pPr>
              <w:keepNext w:val="0"/>
              <w:keepLines w:val="0"/>
              <w:pageBreakBefore w:val="0"/>
              <w:widowControl w:val="0"/>
              <w:numPr>
                <w:ilvl w:val="0"/>
                <w:numId w:val="38"/>
              </w:numPr>
              <w:suppressLineNumbers w:val="0"/>
              <w:kinsoku/>
              <w:wordWrap/>
              <w:overflowPunct/>
              <w:topLinePunct w:val="0"/>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sz w:val="21"/>
                <w:szCs w:val="21"/>
                <w:lang w:val="en-US" w:eastAsia="zh-CN"/>
              </w:rPr>
            </w:pPr>
          </w:p>
        </w:tc>
        <w:tc>
          <w:tcPr>
            <w:tcW w:w="727" w:type="pct"/>
            <w:tcBorders>
              <w:tl2br w:val="nil"/>
              <w:tr2bl w:val="nil"/>
            </w:tcBorders>
            <w:noWrap w:val="0"/>
            <w:tcMar>
              <w:left w:w="57" w:type="dxa"/>
              <w:right w:w="57" w:type="dxa"/>
            </w:tcMar>
            <w:vAlign w:val="center"/>
          </w:tcPr>
          <w:p w14:paraId="67DE17C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设备润滑油、液压油</w:t>
            </w:r>
          </w:p>
        </w:tc>
        <w:tc>
          <w:tcPr>
            <w:tcW w:w="551" w:type="pct"/>
            <w:tcBorders>
              <w:tl2br w:val="nil"/>
              <w:tr2bl w:val="nil"/>
            </w:tcBorders>
            <w:noWrap w:val="0"/>
            <w:tcMar>
              <w:left w:w="57" w:type="dxa"/>
              <w:right w:w="57" w:type="dxa"/>
            </w:tcMar>
            <w:vAlign w:val="center"/>
          </w:tcPr>
          <w:p w14:paraId="1B0104A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2280" w:type="pct"/>
            <w:tcBorders>
              <w:tl2br w:val="nil"/>
              <w:tr2bl w:val="nil"/>
            </w:tcBorders>
            <w:noWrap w:val="0"/>
            <w:tcMar>
              <w:left w:w="57" w:type="dxa"/>
              <w:right w:w="57" w:type="dxa"/>
            </w:tcMar>
            <w:vAlign w:val="center"/>
          </w:tcPr>
          <w:p w14:paraId="4E76B97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急性吸入，可出现乏力、头晕、头痛、恶心，严重者可引起油脂性肺炎。慢接触者，暴露部位可发生油性痤疮和接 触性皮炎。可引起神经衰弱综合征，呼吸道和眼</w:t>
            </w:r>
            <w:r>
              <w:rPr>
                <w:rFonts w:hint="eastAsia" w:cs="宋体"/>
                <w:sz w:val="21"/>
                <w:szCs w:val="21"/>
                <w:lang w:val="en-US" w:eastAsia="zh-CN"/>
              </w:rPr>
              <w:t>刺激症状</w:t>
            </w:r>
            <w:r>
              <w:rPr>
                <w:rFonts w:hint="eastAsia" w:ascii="宋体" w:hAnsi="宋体" w:eastAsia="宋体" w:cs="宋体"/>
                <w:sz w:val="21"/>
                <w:szCs w:val="21"/>
                <w:lang w:val="en-US" w:eastAsia="zh-CN"/>
              </w:rPr>
              <w:t>及慢性油脂性肺炎。</w:t>
            </w:r>
          </w:p>
          <w:p w14:paraId="7039C26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蒸气与空气混合成为爆炸性混合物；遇热、火花、明火，有引起燃烧爆炸的危险；遇高热，容器内压增大，有开裂和爆炸的危险；可蓄积静电，引起电火花；分解和燃烧产物为一氧化碳、二氧化碳和硫氧化物等。</w:t>
            </w:r>
          </w:p>
        </w:tc>
        <w:tc>
          <w:tcPr>
            <w:tcW w:w="519" w:type="pct"/>
            <w:tcBorders>
              <w:tl2br w:val="nil"/>
              <w:tr2bl w:val="nil"/>
            </w:tcBorders>
            <w:noWrap w:val="0"/>
            <w:tcMar>
              <w:left w:w="57" w:type="dxa"/>
              <w:right w:w="57" w:type="dxa"/>
            </w:tcMar>
            <w:vAlign w:val="center"/>
          </w:tcPr>
          <w:p w14:paraId="6630EE0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丙</w:t>
            </w:r>
          </w:p>
        </w:tc>
        <w:tc>
          <w:tcPr>
            <w:tcW w:w="564" w:type="pct"/>
            <w:tcBorders>
              <w:tl2br w:val="nil"/>
              <w:tr2bl w:val="nil"/>
            </w:tcBorders>
            <w:noWrap w:val="0"/>
            <w:tcMar>
              <w:left w:w="57" w:type="dxa"/>
              <w:right w:w="57" w:type="dxa"/>
            </w:tcMar>
            <w:vAlign w:val="center"/>
          </w:tcPr>
          <w:p w14:paraId="35979F0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14:paraId="7AA547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357" w:type="pct"/>
            <w:tcBorders>
              <w:tl2br w:val="nil"/>
              <w:tr2bl w:val="nil"/>
            </w:tcBorders>
            <w:noWrap w:val="0"/>
            <w:tcMar>
              <w:left w:w="57" w:type="dxa"/>
              <w:right w:w="57" w:type="dxa"/>
            </w:tcMar>
            <w:vAlign w:val="center"/>
          </w:tcPr>
          <w:p w14:paraId="68C2B4E6">
            <w:pPr>
              <w:keepNext w:val="0"/>
              <w:keepLines w:val="0"/>
              <w:pageBreakBefore w:val="0"/>
              <w:widowControl w:val="0"/>
              <w:numPr>
                <w:ilvl w:val="0"/>
                <w:numId w:val="38"/>
              </w:numPr>
              <w:suppressLineNumbers w:val="0"/>
              <w:kinsoku/>
              <w:wordWrap/>
              <w:overflowPunct/>
              <w:topLinePunct w:val="0"/>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sz w:val="21"/>
                <w:szCs w:val="21"/>
                <w:lang w:val="en-US" w:eastAsia="zh-CN"/>
              </w:rPr>
            </w:pPr>
          </w:p>
        </w:tc>
        <w:tc>
          <w:tcPr>
            <w:tcW w:w="727" w:type="pct"/>
            <w:tcBorders>
              <w:tl2br w:val="nil"/>
              <w:tr2bl w:val="nil"/>
            </w:tcBorders>
            <w:noWrap w:val="0"/>
            <w:tcMar>
              <w:left w:w="57" w:type="dxa"/>
              <w:right w:w="57" w:type="dxa"/>
            </w:tcMar>
            <w:vAlign w:val="center"/>
          </w:tcPr>
          <w:p w14:paraId="41C8450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柴油</w:t>
            </w:r>
          </w:p>
        </w:tc>
        <w:tc>
          <w:tcPr>
            <w:tcW w:w="551" w:type="pct"/>
            <w:tcBorders>
              <w:tl2br w:val="nil"/>
              <w:tr2bl w:val="nil"/>
            </w:tcBorders>
            <w:noWrap w:val="0"/>
            <w:tcMar>
              <w:left w:w="57" w:type="dxa"/>
              <w:right w:w="57" w:type="dxa"/>
            </w:tcMar>
            <w:vAlign w:val="center"/>
          </w:tcPr>
          <w:p w14:paraId="75C83F5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2280" w:type="pct"/>
            <w:tcBorders>
              <w:tl2br w:val="nil"/>
              <w:tr2bl w:val="nil"/>
            </w:tcBorders>
            <w:noWrap w:val="0"/>
            <w:tcMar>
              <w:left w:w="57" w:type="dxa"/>
              <w:right w:w="57" w:type="dxa"/>
            </w:tcMar>
            <w:vAlign w:val="center"/>
          </w:tcPr>
          <w:p w14:paraId="2D71936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皮肤接触柴油可引起接触性皮炎、油性痤疮；吸入可引起吸入性肺炎，能经胎盘进入胎儿血中。柴油废气可引起眼、鼻</w:t>
            </w:r>
            <w:r>
              <w:rPr>
                <w:rFonts w:hint="eastAsia" w:cs="宋体"/>
                <w:sz w:val="21"/>
                <w:szCs w:val="21"/>
                <w:lang w:val="en-US" w:eastAsia="zh-CN"/>
              </w:rPr>
              <w:t>刺激症状</w:t>
            </w:r>
            <w:r>
              <w:rPr>
                <w:rFonts w:hint="eastAsia" w:ascii="宋体" w:hAnsi="宋体" w:eastAsia="宋体" w:cs="宋体"/>
                <w:sz w:val="21"/>
                <w:szCs w:val="21"/>
                <w:lang w:val="en-US" w:eastAsia="zh-CN"/>
              </w:rPr>
              <w:t>、头昏及头痛。遇明火、高热或与氧化剂接触有可能引起燃烧爆炸的危险。若遇高热，容器内压增大，有开裂和爆炸的危险。</w:t>
            </w:r>
          </w:p>
        </w:tc>
        <w:tc>
          <w:tcPr>
            <w:tcW w:w="519" w:type="pct"/>
            <w:tcBorders>
              <w:tl2br w:val="nil"/>
              <w:tr2bl w:val="nil"/>
            </w:tcBorders>
            <w:noWrap w:val="0"/>
            <w:tcMar>
              <w:left w:w="57" w:type="dxa"/>
              <w:right w:w="57" w:type="dxa"/>
            </w:tcMar>
            <w:vAlign w:val="center"/>
          </w:tcPr>
          <w:p w14:paraId="1A5A9E2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乙</w:t>
            </w:r>
          </w:p>
        </w:tc>
        <w:tc>
          <w:tcPr>
            <w:tcW w:w="564" w:type="pct"/>
            <w:tcBorders>
              <w:tl2br w:val="nil"/>
              <w:tr2bl w:val="nil"/>
            </w:tcBorders>
            <w:noWrap w:val="0"/>
            <w:tcMar>
              <w:left w:w="57" w:type="dxa"/>
              <w:right w:w="57" w:type="dxa"/>
            </w:tcMar>
            <w:vAlign w:val="center"/>
          </w:tcPr>
          <w:p w14:paraId="27A8326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14:paraId="32F70F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357" w:type="pct"/>
            <w:tcBorders>
              <w:tl2br w:val="nil"/>
              <w:tr2bl w:val="nil"/>
            </w:tcBorders>
            <w:noWrap w:val="0"/>
            <w:tcMar>
              <w:left w:w="57" w:type="dxa"/>
              <w:right w:w="57" w:type="dxa"/>
            </w:tcMar>
            <w:vAlign w:val="center"/>
          </w:tcPr>
          <w:p w14:paraId="44BDBD55">
            <w:pPr>
              <w:keepNext w:val="0"/>
              <w:keepLines w:val="0"/>
              <w:pageBreakBefore w:val="0"/>
              <w:widowControl w:val="0"/>
              <w:numPr>
                <w:ilvl w:val="0"/>
                <w:numId w:val="38"/>
              </w:numPr>
              <w:suppressLineNumbers w:val="0"/>
              <w:kinsoku/>
              <w:wordWrap/>
              <w:overflowPunct/>
              <w:topLinePunct w:val="0"/>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color w:val="FF0000"/>
                <w:sz w:val="21"/>
                <w:szCs w:val="21"/>
                <w:lang w:val="en-US" w:eastAsia="zh-CN"/>
              </w:rPr>
            </w:pPr>
          </w:p>
        </w:tc>
        <w:tc>
          <w:tcPr>
            <w:tcW w:w="727" w:type="pct"/>
            <w:tcBorders>
              <w:tl2br w:val="nil"/>
              <w:tr2bl w:val="nil"/>
            </w:tcBorders>
            <w:noWrap w:val="0"/>
            <w:tcMar>
              <w:left w:w="57" w:type="dxa"/>
              <w:right w:w="57" w:type="dxa"/>
            </w:tcMar>
            <w:vAlign w:val="center"/>
          </w:tcPr>
          <w:p w14:paraId="6D6CA64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盐酸</w:t>
            </w:r>
          </w:p>
        </w:tc>
        <w:tc>
          <w:tcPr>
            <w:tcW w:w="551" w:type="pct"/>
            <w:tcBorders>
              <w:tl2br w:val="nil"/>
              <w:tr2bl w:val="nil"/>
            </w:tcBorders>
            <w:noWrap w:val="0"/>
            <w:tcMar>
              <w:left w:w="57" w:type="dxa"/>
              <w:right w:w="57" w:type="dxa"/>
            </w:tcMar>
            <w:vAlign w:val="center"/>
          </w:tcPr>
          <w:p w14:paraId="577B60A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81013</w:t>
            </w:r>
          </w:p>
        </w:tc>
        <w:tc>
          <w:tcPr>
            <w:tcW w:w="2280" w:type="pct"/>
            <w:tcBorders>
              <w:tl2br w:val="nil"/>
              <w:tr2bl w:val="nil"/>
            </w:tcBorders>
            <w:noWrap w:val="0"/>
            <w:tcMar>
              <w:left w:w="57" w:type="dxa"/>
              <w:right w:w="57" w:type="dxa"/>
            </w:tcMar>
            <w:vAlign w:val="center"/>
          </w:tcPr>
          <w:p w14:paraId="48A2D86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lang w:val="en-US" w:eastAsia="zh-CN"/>
              </w:rPr>
            </w:pPr>
            <w:r>
              <w:rPr>
                <w:rFonts w:hint="eastAsia" w:asciiTheme="minorEastAsia" w:hAnsiTheme="minorEastAsia" w:eastAsiaTheme="minorEastAsia" w:cstheme="minorEastAsia"/>
                <w:sz w:val="21"/>
                <w:szCs w:val="21"/>
                <w:lang w:val="en-US" w:eastAsia="zh-CN"/>
              </w:rPr>
              <w:t>不燃，具强腐蚀性、强刺激性，可致人体灼伤。</w:t>
            </w:r>
          </w:p>
        </w:tc>
        <w:tc>
          <w:tcPr>
            <w:tcW w:w="519" w:type="pct"/>
            <w:tcBorders>
              <w:tl2br w:val="nil"/>
              <w:tr2bl w:val="nil"/>
            </w:tcBorders>
            <w:noWrap w:val="0"/>
            <w:tcMar>
              <w:left w:w="57" w:type="dxa"/>
              <w:right w:w="57" w:type="dxa"/>
            </w:tcMar>
            <w:vAlign w:val="center"/>
          </w:tcPr>
          <w:p w14:paraId="44E63E3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无资料</w:t>
            </w:r>
          </w:p>
        </w:tc>
        <w:tc>
          <w:tcPr>
            <w:tcW w:w="564" w:type="pct"/>
            <w:tcBorders>
              <w:tl2br w:val="nil"/>
              <w:tr2bl w:val="nil"/>
            </w:tcBorders>
            <w:noWrap w:val="0"/>
            <w:tcMar>
              <w:left w:w="57" w:type="dxa"/>
              <w:right w:w="57" w:type="dxa"/>
            </w:tcMar>
            <w:vAlign w:val="center"/>
          </w:tcPr>
          <w:p w14:paraId="2AC4921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w:t>
            </w:r>
          </w:p>
        </w:tc>
      </w:tr>
      <w:tr w14:paraId="157744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357" w:type="pct"/>
            <w:tcBorders>
              <w:tl2br w:val="nil"/>
              <w:tr2bl w:val="nil"/>
            </w:tcBorders>
            <w:noWrap w:val="0"/>
            <w:tcMar>
              <w:left w:w="57" w:type="dxa"/>
              <w:right w:w="57" w:type="dxa"/>
            </w:tcMar>
            <w:vAlign w:val="center"/>
          </w:tcPr>
          <w:p w14:paraId="43A6866A">
            <w:pPr>
              <w:keepNext w:val="0"/>
              <w:keepLines w:val="0"/>
              <w:pageBreakBefore w:val="0"/>
              <w:widowControl w:val="0"/>
              <w:numPr>
                <w:ilvl w:val="0"/>
                <w:numId w:val="38"/>
              </w:numPr>
              <w:suppressLineNumbers w:val="0"/>
              <w:kinsoku/>
              <w:wordWrap/>
              <w:overflowPunct/>
              <w:topLinePunct w:val="0"/>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sz w:val="21"/>
                <w:szCs w:val="21"/>
                <w:lang w:val="en-US" w:eastAsia="zh-CN"/>
              </w:rPr>
            </w:pPr>
          </w:p>
        </w:tc>
        <w:tc>
          <w:tcPr>
            <w:tcW w:w="727" w:type="pct"/>
            <w:tcBorders>
              <w:tl2br w:val="nil"/>
              <w:tr2bl w:val="nil"/>
            </w:tcBorders>
            <w:noWrap w:val="0"/>
            <w:tcMar>
              <w:left w:w="57" w:type="dxa"/>
              <w:right w:w="57" w:type="dxa"/>
            </w:tcMar>
            <w:vAlign w:val="center"/>
          </w:tcPr>
          <w:p w14:paraId="2FC9675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高温烟气</w:t>
            </w:r>
          </w:p>
        </w:tc>
        <w:tc>
          <w:tcPr>
            <w:tcW w:w="551" w:type="pct"/>
            <w:tcBorders>
              <w:tl2br w:val="nil"/>
              <w:tr2bl w:val="nil"/>
            </w:tcBorders>
            <w:noWrap w:val="0"/>
            <w:tcMar>
              <w:left w:w="57" w:type="dxa"/>
              <w:right w:w="57" w:type="dxa"/>
            </w:tcMar>
            <w:vAlign w:val="center"/>
          </w:tcPr>
          <w:p w14:paraId="1A04275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2280" w:type="pct"/>
            <w:tcBorders>
              <w:tl2br w:val="nil"/>
              <w:tr2bl w:val="nil"/>
            </w:tcBorders>
            <w:noWrap w:val="0"/>
            <w:tcMar>
              <w:left w:w="57" w:type="dxa"/>
              <w:right w:w="57" w:type="dxa"/>
            </w:tcMar>
            <w:vAlign w:val="center"/>
          </w:tcPr>
          <w:p w14:paraId="75CD47E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高温</w:t>
            </w:r>
          </w:p>
        </w:tc>
        <w:tc>
          <w:tcPr>
            <w:tcW w:w="519" w:type="pct"/>
            <w:tcBorders>
              <w:tl2br w:val="nil"/>
              <w:tr2bl w:val="nil"/>
            </w:tcBorders>
            <w:noWrap w:val="0"/>
            <w:tcMar>
              <w:left w:w="57" w:type="dxa"/>
              <w:right w:w="57" w:type="dxa"/>
            </w:tcMar>
            <w:vAlign w:val="center"/>
          </w:tcPr>
          <w:p w14:paraId="3E95C4D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564" w:type="pct"/>
            <w:tcBorders>
              <w:tl2br w:val="nil"/>
              <w:tr2bl w:val="nil"/>
            </w:tcBorders>
            <w:noWrap w:val="0"/>
            <w:tcMar>
              <w:left w:w="57" w:type="dxa"/>
              <w:right w:w="57" w:type="dxa"/>
            </w:tcMar>
            <w:vAlign w:val="center"/>
          </w:tcPr>
          <w:p w14:paraId="4176B0D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14:paraId="0A22F2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357" w:type="pct"/>
            <w:tcBorders>
              <w:tl2br w:val="nil"/>
              <w:tr2bl w:val="nil"/>
            </w:tcBorders>
            <w:noWrap w:val="0"/>
            <w:tcMar>
              <w:left w:w="57" w:type="dxa"/>
              <w:right w:w="57" w:type="dxa"/>
            </w:tcMar>
            <w:vAlign w:val="center"/>
          </w:tcPr>
          <w:p w14:paraId="23D633D3">
            <w:pPr>
              <w:keepNext w:val="0"/>
              <w:keepLines w:val="0"/>
              <w:pageBreakBefore w:val="0"/>
              <w:widowControl w:val="0"/>
              <w:numPr>
                <w:ilvl w:val="0"/>
                <w:numId w:val="38"/>
              </w:numPr>
              <w:suppressLineNumbers w:val="0"/>
              <w:kinsoku/>
              <w:wordWrap/>
              <w:overflowPunct/>
              <w:topLinePunct w:val="0"/>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sz w:val="21"/>
                <w:szCs w:val="21"/>
                <w:lang w:val="en-US" w:eastAsia="zh-CN"/>
              </w:rPr>
            </w:pPr>
          </w:p>
        </w:tc>
        <w:tc>
          <w:tcPr>
            <w:tcW w:w="727" w:type="pct"/>
            <w:tcBorders>
              <w:tl2br w:val="nil"/>
              <w:tr2bl w:val="nil"/>
            </w:tcBorders>
            <w:noWrap w:val="0"/>
            <w:tcMar>
              <w:left w:w="57" w:type="dxa"/>
              <w:right w:w="57" w:type="dxa"/>
            </w:tcMar>
            <w:vAlign w:val="center"/>
          </w:tcPr>
          <w:p w14:paraId="11AC697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CO</w:t>
            </w:r>
          </w:p>
        </w:tc>
        <w:tc>
          <w:tcPr>
            <w:tcW w:w="551" w:type="pct"/>
            <w:tcBorders>
              <w:tl2br w:val="nil"/>
              <w:tr2bl w:val="nil"/>
            </w:tcBorders>
            <w:noWrap w:val="0"/>
            <w:tcMar>
              <w:left w:w="57" w:type="dxa"/>
              <w:right w:w="57" w:type="dxa"/>
            </w:tcMar>
            <w:vAlign w:val="center"/>
          </w:tcPr>
          <w:p w14:paraId="48991AE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21005</w:t>
            </w:r>
          </w:p>
        </w:tc>
        <w:tc>
          <w:tcPr>
            <w:tcW w:w="2280" w:type="pct"/>
            <w:tcBorders>
              <w:tl2br w:val="nil"/>
              <w:tr2bl w:val="nil"/>
            </w:tcBorders>
            <w:noWrap w:val="0"/>
            <w:tcMar>
              <w:left w:w="57" w:type="dxa"/>
              <w:right w:w="57" w:type="dxa"/>
            </w:tcMar>
            <w:vAlign w:val="center"/>
          </w:tcPr>
          <w:p w14:paraId="1DED280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在血中与血红蛋白结合而造成组织缺氧，中度中毒者可致患者昏迷，重度中毒者可致患者死亡。长期反复吸入一定量的一氧化碳可致神经和心血管系统损害。 </w:t>
            </w:r>
          </w:p>
          <w:p w14:paraId="3D0A2A5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与空气混合能形成爆炸性混合物，遇明火、高热能引起燃烧爆炸。若遇高温容器内压增大，有开裂和爆炸的危险。</w:t>
            </w:r>
          </w:p>
        </w:tc>
        <w:tc>
          <w:tcPr>
            <w:tcW w:w="519" w:type="pct"/>
            <w:tcBorders>
              <w:tl2br w:val="nil"/>
              <w:tr2bl w:val="nil"/>
            </w:tcBorders>
            <w:noWrap w:val="0"/>
            <w:tcMar>
              <w:left w:w="57" w:type="dxa"/>
              <w:right w:w="57" w:type="dxa"/>
            </w:tcMar>
            <w:vAlign w:val="center"/>
          </w:tcPr>
          <w:p w14:paraId="53E49CC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甲</w:t>
            </w:r>
          </w:p>
        </w:tc>
        <w:tc>
          <w:tcPr>
            <w:tcW w:w="564" w:type="pct"/>
            <w:tcBorders>
              <w:tl2br w:val="nil"/>
              <w:tr2bl w:val="nil"/>
            </w:tcBorders>
            <w:noWrap w:val="0"/>
            <w:tcMar>
              <w:left w:w="57" w:type="dxa"/>
              <w:right w:w="57" w:type="dxa"/>
            </w:tcMar>
            <w:vAlign w:val="center"/>
          </w:tcPr>
          <w:p w14:paraId="140EB6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有毒</w:t>
            </w:r>
          </w:p>
        </w:tc>
      </w:tr>
      <w:tr w14:paraId="69E5FD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357" w:type="pct"/>
            <w:tcBorders>
              <w:tl2br w:val="nil"/>
              <w:tr2bl w:val="nil"/>
            </w:tcBorders>
            <w:noWrap w:val="0"/>
            <w:tcMar>
              <w:left w:w="57" w:type="dxa"/>
              <w:right w:w="57" w:type="dxa"/>
            </w:tcMar>
            <w:vAlign w:val="center"/>
          </w:tcPr>
          <w:p w14:paraId="6E2AA2DC">
            <w:pPr>
              <w:keepNext w:val="0"/>
              <w:keepLines w:val="0"/>
              <w:pageBreakBefore w:val="0"/>
              <w:widowControl w:val="0"/>
              <w:numPr>
                <w:ilvl w:val="0"/>
                <w:numId w:val="38"/>
              </w:numPr>
              <w:suppressLineNumbers w:val="0"/>
              <w:kinsoku/>
              <w:wordWrap/>
              <w:overflowPunct/>
              <w:topLinePunct w:val="0"/>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sz w:val="21"/>
                <w:szCs w:val="21"/>
                <w:lang w:val="en-US" w:eastAsia="zh-CN"/>
              </w:rPr>
            </w:pPr>
          </w:p>
        </w:tc>
        <w:tc>
          <w:tcPr>
            <w:tcW w:w="727" w:type="pct"/>
            <w:tcBorders>
              <w:tl2br w:val="nil"/>
              <w:tr2bl w:val="nil"/>
            </w:tcBorders>
            <w:noWrap w:val="0"/>
            <w:tcMar>
              <w:left w:w="57" w:type="dxa"/>
              <w:right w:w="57" w:type="dxa"/>
            </w:tcMar>
            <w:vAlign w:val="center"/>
          </w:tcPr>
          <w:p w14:paraId="612181E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CO</w:t>
            </w:r>
            <w:r>
              <w:rPr>
                <w:rFonts w:hint="eastAsia" w:ascii="宋体" w:hAnsi="宋体" w:eastAsia="宋体" w:cs="宋体"/>
                <w:sz w:val="21"/>
                <w:szCs w:val="21"/>
                <w:vertAlign w:val="subscript"/>
              </w:rPr>
              <w:t>2</w:t>
            </w:r>
          </w:p>
        </w:tc>
        <w:tc>
          <w:tcPr>
            <w:tcW w:w="551" w:type="pct"/>
            <w:tcBorders>
              <w:tl2br w:val="nil"/>
              <w:tr2bl w:val="nil"/>
            </w:tcBorders>
            <w:noWrap w:val="0"/>
            <w:tcMar>
              <w:left w:w="57" w:type="dxa"/>
              <w:right w:w="57" w:type="dxa"/>
            </w:tcMar>
            <w:vAlign w:val="center"/>
          </w:tcPr>
          <w:p w14:paraId="0502C2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pacing w:val="10"/>
                <w:sz w:val="21"/>
                <w:szCs w:val="21"/>
              </w:rPr>
              <w:t>22019</w:t>
            </w:r>
          </w:p>
        </w:tc>
        <w:tc>
          <w:tcPr>
            <w:tcW w:w="2280" w:type="pct"/>
            <w:tcBorders>
              <w:tl2br w:val="nil"/>
              <w:tr2bl w:val="nil"/>
            </w:tcBorders>
            <w:noWrap w:val="0"/>
            <w:tcMar>
              <w:left w:w="57" w:type="dxa"/>
              <w:right w:w="57" w:type="dxa"/>
            </w:tcMar>
            <w:vAlign w:val="center"/>
          </w:tcPr>
          <w:p w14:paraId="2C5AC53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窒息性气体，容器</w:t>
            </w:r>
            <w:r>
              <w:rPr>
                <w:rFonts w:hint="eastAsia" w:cs="宋体"/>
                <w:sz w:val="21"/>
                <w:szCs w:val="21"/>
                <w:lang w:val="en-US" w:eastAsia="zh-CN"/>
              </w:rPr>
              <w:t>泄漏</w:t>
            </w:r>
            <w:r>
              <w:rPr>
                <w:rFonts w:hint="eastAsia" w:ascii="宋体" w:hAnsi="宋体" w:eastAsia="宋体" w:cs="宋体"/>
                <w:sz w:val="21"/>
                <w:szCs w:val="21"/>
                <w:lang w:val="en-US" w:eastAsia="zh-CN"/>
              </w:rPr>
              <w:t>时，该液体能迅速蒸发造成空气中二氧化碳过饱和，在密闭容器中可将人窒息死亡；无毒，但空气中浓度超过3%以上，能出现呼吸困难、头痛、眩晕、呕吐等；10%以上时，出现视力障碍、痉挛、呼吸加快、血压升高、意识丧失；35%以上时，则出现中枢神经的抑制、昏睡、痉挛、窒息致死；长期反复接触该物质可能对承受力有影响，引起情绪波动和烦躁不安；液态二氧化碳在常压下迅速气化，造成局部低温，可引起皮肤或眼睛严重的低温灼伤。</w:t>
            </w:r>
          </w:p>
        </w:tc>
        <w:tc>
          <w:tcPr>
            <w:tcW w:w="519" w:type="pct"/>
            <w:tcBorders>
              <w:tl2br w:val="nil"/>
              <w:tr2bl w:val="nil"/>
            </w:tcBorders>
            <w:noWrap w:val="0"/>
            <w:tcMar>
              <w:left w:w="57" w:type="dxa"/>
              <w:right w:w="57" w:type="dxa"/>
            </w:tcMar>
            <w:vAlign w:val="center"/>
          </w:tcPr>
          <w:p w14:paraId="3118A9F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戊</w:t>
            </w:r>
          </w:p>
        </w:tc>
        <w:tc>
          <w:tcPr>
            <w:tcW w:w="564" w:type="pct"/>
            <w:tcBorders>
              <w:tl2br w:val="nil"/>
              <w:tr2bl w:val="nil"/>
            </w:tcBorders>
            <w:noWrap w:val="0"/>
            <w:tcMar>
              <w:left w:w="57" w:type="dxa"/>
              <w:right w:w="57" w:type="dxa"/>
            </w:tcMar>
            <w:vAlign w:val="center"/>
          </w:tcPr>
          <w:p w14:paraId="7834547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无毒</w:t>
            </w:r>
          </w:p>
        </w:tc>
      </w:tr>
      <w:tr w14:paraId="54C92C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357" w:type="pct"/>
            <w:tcBorders>
              <w:tl2br w:val="nil"/>
              <w:tr2bl w:val="nil"/>
            </w:tcBorders>
            <w:noWrap w:val="0"/>
            <w:tcMar>
              <w:left w:w="57" w:type="dxa"/>
              <w:right w:w="57" w:type="dxa"/>
            </w:tcMar>
            <w:vAlign w:val="center"/>
          </w:tcPr>
          <w:p w14:paraId="3FC277D2">
            <w:pPr>
              <w:keepNext w:val="0"/>
              <w:keepLines w:val="0"/>
              <w:pageBreakBefore w:val="0"/>
              <w:widowControl w:val="0"/>
              <w:numPr>
                <w:ilvl w:val="0"/>
                <w:numId w:val="38"/>
              </w:numPr>
              <w:suppressLineNumbers w:val="0"/>
              <w:kinsoku/>
              <w:wordWrap/>
              <w:overflowPunct/>
              <w:topLinePunct w:val="0"/>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sz w:val="21"/>
                <w:szCs w:val="21"/>
                <w:lang w:val="en-US" w:eastAsia="zh-CN"/>
              </w:rPr>
            </w:pPr>
          </w:p>
        </w:tc>
        <w:tc>
          <w:tcPr>
            <w:tcW w:w="727" w:type="pct"/>
            <w:tcBorders>
              <w:tl2br w:val="nil"/>
              <w:tr2bl w:val="nil"/>
            </w:tcBorders>
            <w:noWrap w:val="0"/>
            <w:tcMar>
              <w:left w:w="57" w:type="dxa"/>
              <w:right w:w="57" w:type="dxa"/>
            </w:tcMar>
            <w:vAlign w:val="center"/>
          </w:tcPr>
          <w:p w14:paraId="7CB7A9C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SiO</w:t>
            </w:r>
            <w:r>
              <w:rPr>
                <w:rFonts w:hint="eastAsia" w:ascii="宋体" w:hAnsi="宋体" w:eastAsia="宋体" w:cs="宋体"/>
                <w:sz w:val="21"/>
                <w:szCs w:val="21"/>
                <w:vertAlign w:val="subscript"/>
                <w:lang w:val="en-US" w:eastAsia="zh-CN"/>
              </w:rPr>
              <w:t>2</w:t>
            </w:r>
          </w:p>
        </w:tc>
        <w:tc>
          <w:tcPr>
            <w:tcW w:w="551" w:type="pct"/>
            <w:tcBorders>
              <w:tl2br w:val="nil"/>
              <w:tr2bl w:val="nil"/>
            </w:tcBorders>
            <w:noWrap w:val="0"/>
            <w:tcMar>
              <w:left w:w="57" w:type="dxa"/>
              <w:right w:w="57" w:type="dxa"/>
            </w:tcMar>
            <w:vAlign w:val="center"/>
          </w:tcPr>
          <w:p w14:paraId="35D9BC6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2280" w:type="pct"/>
            <w:tcBorders>
              <w:tl2br w:val="nil"/>
              <w:tr2bl w:val="nil"/>
            </w:tcBorders>
            <w:noWrap w:val="0"/>
            <w:tcMar>
              <w:left w:w="57" w:type="dxa"/>
              <w:right w:w="57" w:type="dxa"/>
            </w:tcMar>
            <w:vAlign w:val="center"/>
          </w:tcPr>
          <w:p w14:paraId="2BEEDF5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固态粉尘</w:t>
            </w:r>
          </w:p>
        </w:tc>
        <w:tc>
          <w:tcPr>
            <w:tcW w:w="519" w:type="pct"/>
            <w:tcBorders>
              <w:tl2br w:val="nil"/>
              <w:tr2bl w:val="nil"/>
            </w:tcBorders>
            <w:noWrap w:val="0"/>
            <w:tcMar>
              <w:left w:w="57" w:type="dxa"/>
              <w:right w:w="57" w:type="dxa"/>
            </w:tcMar>
            <w:vAlign w:val="center"/>
          </w:tcPr>
          <w:p w14:paraId="6E7FF67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564" w:type="pct"/>
            <w:tcBorders>
              <w:tl2br w:val="nil"/>
              <w:tr2bl w:val="nil"/>
            </w:tcBorders>
            <w:noWrap w:val="0"/>
            <w:tcMar>
              <w:left w:w="57" w:type="dxa"/>
              <w:right w:w="57" w:type="dxa"/>
            </w:tcMar>
            <w:vAlign w:val="center"/>
          </w:tcPr>
          <w:p w14:paraId="357ED02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w:t>
            </w:r>
          </w:p>
        </w:tc>
      </w:tr>
    </w:tbl>
    <w:p w14:paraId="3E229E58">
      <w:pPr>
        <w:pStyle w:val="4"/>
        <w:keepNext w:val="0"/>
        <w:keepLines w:val="0"/>
        <w:pageBreakBefore w:val="0"/>
        <w:widowControl w:val="0"/>
        <w:kinsoku/>
        <w:bidi w:val="0"/>
        <w:rPr>
          <w:rFonts w:hint="eastAsia"/>
        </w:rPr>
      </w:pPr>
      <w:bookmarkStart w:id="514" w:name="_Toc6808"/>
      <w:r>
        <w:rPr>
          <w:rFonts w:hint="eastAsia"/>
        </w:rPr>
        <w:t>危险化学品辨识</w:t>
      </w:r>
      <w:bookmarkEnd w:id="514"/>
    </w:p>
    <w:p w14:paraId="34F33ED7">
      <w:pPr>
        <w:keepNext w:val="0"/>
        <w:keepLines w:val="0"/>
        <w:pageBreakBefore w:val="0"/>
        <w:widowControl w:val="0"/>
        <w:kinsoku/>
        <w:wordWrap/>
        <w:overflowPunct/>
        <w:topLinePunct w:val="0"/>
        <w:autoSpaceDE/>
        <w:autoSpaceDN/>
        <w:bidi w:val="0"/>
        <w:adjustRightInd w:val="0"/>
        <w:snapToGrid/>
        <w:textAlignment w:val="auto"/>
        <w:rPr>
          <w:rFonts w:hint="eastAsia"/>
          <w:lang w:val="en-US" w:eastAsia="zh-CN"/>
        </w:rPr>
      </w:pPr>
      <w:r>
        <w:rPr>
          <w:rFonts w:hint="eastAsia"/>
          <w:lang w:val="en-US" w:eastAsia="zh-CN"/>
        </w:rPr>
        <w:t>根据《危险化学品目录》（2022年调整版），本项目在生产运行过程中涉及的氧气、乙炔、柴油、盐酸、一氧化碳、二氧化碳为危险化学品。危险化学品理化特性及危险特性见表3-2～表3-7 。</w:t>
      </w:r>
    </w:p>
    <w:p w14:paraId="0598E57E">
      <w:pPr>
        <w:keepNext w:val="0"/>
        <w:keepLines w:val="0"/>
        <w:pageBreakBefore w:val="0"/>
        <w:widowControl w:val="0"/>
        <w:kinsoku/>
        <w:bidi w:val="0"/>
        <w:spacing w:before="50" w:beforeLines="50" w:line="240" w:lineRule="auto"/>
        <w:ind w:left="0" w:leftChars="0" w:right="0" w:rightChars="0" w:firstLine="0" w:firstLineChars="0"/>
        <w:jc w:val="center"/>
        <w:rPr>
          <w:rFonts w:hint="eastAsia" w:cs="Times New Roman"/>
          <w:b/>
          <w:bCs/>
          <w:sz w:val="24"/>
          <w:szCs w:val="22"/>
          <w:lang w:val="en-US" w:eastAsia="zh-CN"/>
        </w:rPr>
      </w:pPr>
      <w:r>
        <w:rPr>
          <w:rFonts w:hint="eastAsia" w:ascii="宋体" w:hAnsi="宋体" w:eastAsia="宋体" w:cs="Times New Roman"/>
          <w:b/>
          <w:bCs/>
          <w:sz w:val="24"/>
          <w:szCs w:val="22"/>
          <w:lang w:val="en-US" w:eastAsia="zh-CN"/>
        </w:rPr>
        <w:t xml:space="preserve">表 </w:t>
      </w:r>
      <w:r>
        <w:rPr>
          <w:rFonts w:hint="eastAsia" w:ascii="宋体" w:hAnsi="宋体" w:eastAsia="宋体" w:cs="Times New Roman"/>
          <w:b/>
          <w:bCs/>
          <w:sz w:val="24"/>
          <w:szCs w:val="22"/>
          <w:lang w:val="en-US" w:eastAsia="zh-CN"/>
        </w:rPr>
        <w:fldChar w:fldCharType="begin"/>
      </w:r>
      <w:r>
        <w:rPr>
          <w:rFonts w:hint="eastAsia" w:ascii="宋体" w:hAnsi="宋体" w:eastAsia="宋体" w:cs="Times New Roman"/>
          <w:b/>
          <w:bCs/>
          <w:sz w:val="24"/>
          <w:szCs w:val="22"/>
          <w:lang w:val="en-US" w:eastAsia="zh-CN"/>
        </w:rPr>
        <w:instrText xml:space="preserve"> STYLEREF 1 \s </w:instrText>
      </w:r>
      <w:r>
        <w:rPr>
          <w:rFonts w:hint="eastAsia" w:ascii="宋体" w:hAnsi="宋体" w:eastAsia="宋体" w:cs="Times New Roman"/>
          <w:b/>
          <w:bCs/>
          <w:sz w:val="24"/>
          <w:szCs w:val="22"/>
          <w:lang w:val="en-US" w:eastAsia="zh-CN"/>
        </w:rPr>
        <w:fldChar w:fldCharType="separate"/>
      </w:r>
      <w:r>
        <w:rPr>
          <w:rFonts w:hint="eastAsia" w:ascii="宋体" w:hAnsi="宋体" w:eastAsia="宋体" w:cs="Times New Roman"/>
          <w:b/>
          <w:bCs/>
          <w:sz w:val="24"/>
          <w:szCs w:val="22"/>
          <w:lang w:val="en-US" w:eastAsia="zh-CN"/>
        </w:rPr>
        <w:t>3</w:t>
      </w:r>
      <w:r>
        <w:rPr>
          <w:rFonts w:hint="eastAsia" w:ascii="宋体" w:hAnsi="宋体" w:eastAsia="宋体" w:cs="Times New Roman"/>
          <w:b/>
          <w:bCs/>
          <w:sz w:val="24"/>
          <w:szCs w:val="22"/>
          <w:lang w:val="en-US" w:eastAsia="zh-CN"/>
        </w:rPr>
        <w:fldChar w:fldCharType="end"/>
      </w:r>
      <w:r>
        <w:rPr>
          <w:rFonts w:hint="eastAsia" w:ascii="宋体" w:hAnsi="宋体" w:eastAsia="宋体" w:cs="Times New Roman"/>
          <w:b/>
          <w:bCs/>
          <w:sz w:val="24"/>
          <w:szCs w:val="22"/>
          <w:lang w:val="en-US" w:eastAsia="zh-CN"/>
        </w:rPr>
        <w:t>-</w:t>
      </w:r>
      <w:r>
        <w:rPr>
          <w:rFonts w:hint="eastAsia" w:ascii="宋体" w:hAnsi="宋体" w:eastAsia="宋体" w:cs="Times New Roman"/>
          <w:b/>
          <w:bCs/>
          <w:sz w:val="24"/>
          <w:szCs w:val="22"/>
          <w:lang w:val="en-US" w:eastAsia="zh-CN"/>
        </w:rPr>
        <w:fldChar w:fldCharType="begin"/>
      </w:r>
      <w:r>
        <w:rPr>
          <w:rFonts w:hint="eastAsia" w:ascii="宋体" w:hAnsi="宋体" w:eastAsia="宋体" w:cs="Times New Roman"/>
          <w:b/>
          <w:bCs/>
          <w:sz w:val="24"/>
          <w:szCs w:val="22"/>
          <w:lang w:val="en-US" w:eastAsia="zh-CN"/>
        </w:rPr>
        <w:instrText xml:space="preserve"> SEQ 表 \* ARABIC \s 1 </w:instrText>
      </w:r>
      <w:r>
        <w:rPr>
          <w:rFonts w:hint="eastAsia" w:ascii="宋体" w:hAnsi="宋体" w:eastAsia="宋体" w:cs="Times New Roman"/>
          <w:b/>
          <w:bCs/>
          <w:sz w:val="24"/>
          <w:szCs w:val="22"/>
          <w:lang w:val="en-US" w:eastAsia="zh-CN"/>
        </w:rPr>
        <w:fldChar w:fldCharType="separate"/>
      </w:r>
      <w:r>
        <w:rPr>
          <w:rFonts w:hint="eastAsia" w:ascii="宋体" w:hAnsi="宋体" w:eastAsia="宋体" w:cs="Times New Roman"/>
          <w:b/>
          <w:bCs/>
          <w:sz w:val="24"/>
          <w:szCs w:val="22"/>
          <w:lang w:val="en-US" w:eastAsia="zh-CN"/>
        </w:rPr>
        <w:t>2</w:t>
      </w:r>
      <w:r>
        <w:rPr>
          <w:rFonts w:hint="eastAsia" w:ascii="宋体" w:hAnsi="宋体" w:eastAsia="宋体" w:cs="Times New Roman"/>
          <w:b/>
          <w:bCs/>
          <w:sz w:val="24"/>
          <w:szCs w:val="22"/>
          <w:lang w:val="en-US" w:eastAsia="zh-CN"/>
        </w:rPr>
        <w:fldChar w:fldCharType="end"/>
      </w:r>
      <w:r>
        <w:rPr>
          <w:rFonts w:hint="eastAsia" w:ascii="宋体" w:hAnsi="宋体" w:eastAsia="宋体" w:cs="Times New Roman"/>
          <w:b/>
          <w:bCs/>
          <w:sz w:val="24"/>
          <w:szCs w:val="22"/>
          <w:lang w:val="en-US" w:eastAsia="zh-CN"/>
        </w:rPr>
        <w:t xml:space="preserve">  危险</w:t>
      </w:r>
      <w:r>
        <w:rPr>
          <w:rFonts w:hint="eastAsia" w:ascii="宋体" w:hAnsi="宋体" w:eastAsia="宋体" w:cs="Times New Roman"/>
          <w:b/>
          <w:bCs/>
          <w:sz w:val="24"/>
          <w:szCs w:val="22"/>
          <w:lang w:eastAsia="zh-CN"/>
        </w:rPr>
        <w:t>化学品</w:t>
      </w:r>
      <w:r>
        <w:rPr>
          <w:rFonts w:hint="eastAsia" w:ascii="宋体" w:hAnsi="宋体" w:eastAsia="宋体" w:cs="Times New Roman"/>
          <w:b/>
          <w:bCs/>
          <w:sz w:val="24"/>
          <w:szCs w:val="22"/>
          <w:lang w:val="en-US" w:eastAsia="zh-CN"/>
        </w:rPr>
        <w:t>理</w:t>
      </w:r>
      <w:r>
        <w:rPr>
          <w:rFonts w:hint="eastAsia" w:cs="Times New Roman"/>
          <w:b/>
          <w:bCs/>
          <w:sz w:val="24"/>
          <w:szCs w:val="22"/>
          <w:lang w:val="en-US" w:eastAsia="zh-CN"/>
        </w:rPr>
        <w:t>化特性及危险特性（氧气）</w:t>
      </w:r>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835"/>
        <w:gridCol w:w="334"/>
        <w:gridCol w:w="167"/>
        <w:gridCol w:w="167"/>
        <w:gridCol w:w="167"/>
        <w:gridCol w:w="501"/>
        <w:gridCol w:w="191"/>
        <w:gridCol w:w="1981"/>
        <w:gridCol w:w="503"/>
        <w:gridCol w:w="3007"/>
      </w:tblGrid>
      <w:tr w14:paraId="726F27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restart"/>
            <w:tcBorders>
              <w:tl2br w:val="nil"/>
              <w:tr2bl w:val="nil"/>
            </w:tcBorders>
            <w:noWrap w:val="0"/>
            <w:vAlign w:val="top"/>
          </w:tcPr>
          <w:p w14:paraId="3AAC33C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p w14:paraId="657C285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标识</w:t>
            </w:r>
          </w:p>
        </w:tc>
        <w:tc>
          <w:tcPr>
            <w:tcW w:w="1386" w:type="pct"/>
            <w:gridSpan w:val="7"/>
            <w:tcBorders>
              <w:tl2br w:val="nil"/>
              <w:tr2bl w:val="nil"/>
            </w:tcBorders>
            <w:noWrap w:val="0"/>
            <w:vAlign w:val="top"/>
          </w:tcPr>
          <w:p w14:paraId="038FC66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de-DE"/>
              </w:rPr>
            </w:pPr>
            <w:r>
              <w:rPr>
                <w:rFonts w:hint="eastAsia" w:ascii="宋体" w:hAnsi="宋体" w:eastAsia="宋体" w:cs="宋体"/>
                <w:sz w:val="21"/>
                <w:szCs w:val="21"/>
              </w:rPr>
              <w:t>英文名</w:t>
            </w:r>
            <w:r>
              <w:rPr>
                <w:rFonts w:hint="eastAsia" w:ascii="宋体" w:hAnsi="宋体" w:eastAsia="宋体" w:cs="宋体"/>
                <w:sz w:val="21"/>
                <w:szCs w:val="21"/>
                <w:lang w:val="de-DE"/>
              </w:rPr>
              <w:t>：</w:t>
            </w:r>
            <w:r>
              <w:rPr>
                <w:rFonts w:hint="eastAsia" w:ascii="宋体" w:hAnsi="宋体" w:eastAsia="宋体" w:cs="宋体"/>
                <w:sz w:val="21"/>
                <w:szCs w:val="21"/>
              </w:rPr>
              <w:t>oxygen</w:t>
            </w:r>
          </w:p>
        </w:tc>
        <w:tc>
          <w:tcPr>
            <w:tcW w:w="1457" w:type="pct"/>
            <w:gridSpan w:val="2"/>
            <w:tcBorders>
              <w:tl2br w:val="nil"/>
              <w:tr2bl w:val="nil"/>
            </w:tcBorders>
            <w:noWrap w:val="0"/>
            <w:vAlign w:val="top"/>
          </w:tcPr>
          <w:p w14:paraId="49E0811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分子式：O</w:t>
            </w:r>
            <w:r>
              <w:rPr>
                <w:rFonts w:hint="eastAsia" w:ascii="宋体" w:hAnsi="宋体" w:eastAsia="宋体" w:cs="宋体"/>
                <w:sz w:val="21"/>
                <w:szCs w:val="21"/>
                <w:vertAlign w:val="subscript"/>
              </w:rPr>
              <w:t>2</w:t>
            </w:r>
          </w:p>
        </w:tc>
        <w:tc>
          <w:tcPr>
            <w:tcW w:w="1764" w:type="pct"/>
            <w:tcBorders>
              <w:tl2br w:val="nil"/>
              <w:tr2bl w:val="nil"/>
            </w:tcBorders>
            <w:noWrap w:val="0"/>
            <w:vAlign w:val="top"/>
          </w:tcPr>
          <w:p w14:paraId="2399BF0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分子量：32</w:t>
            </w:r>
          </w:p>
        </w:tc>
      </w:tr>
      <w:tr w14:paraId="2E2B97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continue"/>
            <w:tcBorders>
              <w:tl2br w:val="nil"/>
              <w:tr2bl w:val="nil"/>
            </w:tcBorders>
            <w:noWrap w:val="0"/>
            <w:vAlign w:val="top"/>
          </w:tcPr>
          <w:p w14:paraId="67DA3D3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tc>
        <w:tc>
          <w:tcPr>
            <w:tcW w:w="1386" w:type="pct"/>
            <w:gridSpan w:val="7"/>
            <w:tcBorders>
              <w:tl2br w:val="nil"/>
              <w:tr2bl w:val="nil"/>
            </w:tcBorders>
            <w:noWrap w:val="0"/>
            <w:vAlign w:val="top"/>
          </w:tcPr>
          <w:p w14:paraId="61B7ADC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危规号：22001</w:t>
            </w:r>
          </w:p>
        </w:tc>
        <w:tc>
          <w:tcPr>
            <w:tcW w:w="1457" w:type="pct"/>
            <w:gridSpan w:val="2"/>
            <w:tcBorders>
              <w:tl2br w:val="nil"/>
              <w:tr2bl w:val="nil"/>
            </w:tcBorders>
            <w:noWrap w:val="0"/>
            <w:vAlign w:val="top"/>
          </w:tcPr>
          <w:p w14:paraId="24F3F1A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UN编号：1072</w:t>
            </w:r>
          </w:p>
        </w:tc>
        <w:tc>
          <w:tcPr>
            <w:tcW w:w="1764" w:type="pct"/>
            <w:tcBorders>
              <w:tl2br w:val="nil"/>
              <w:tr2bl w:val="nil"/>
            </w:tcBorders>
            <w:noWrap w:val="0"/>
            <w:vAlign w:val="top"/>
          </w:tcPr>
          <w:p w14:paraId="567FF88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CAS号：7782-44-7</w:t>
            </w:r>
          </w:p>
        </w:tc>
      </w:tr>
      <w:tr w14:paraId="466D46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continue"/>
            <w:tcBorders>
              <w:tl2br w:val="nil"/>
              <w:tr2bl w:val="nil"/>
            </w:tcBorders>
            <w:noWrap w:val="0"/>
            <w:vAlign w:val="top"/>
          </w:tcPr>
          <w:p w14:paraId="752DDEA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tc>
        <w:tc>
          <w:tcPr>
            <w:tcW w:w="4607" w:type="pct"/>
            <w:gridSpan w:val="10"/>
            <w:tcBorders>
              <w:tl2br w:val="nil"/>
              <w:tr2bl w:val="nil"/>
            </w:tcBorders>
            <w:noWrap w:val="0"/>
            <w:vAlign w:val="top"/>
          </w:tcPr>
          <w:p w14:paraId="71F447F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危险性类别：氧化性气体</w:t>
            </w:r>
            <w:r>
              <w:rPr>
                <w:rFonts w:hint="eastAsia" w:ascii="宋体" w:hAnsi="宋体" w:eastAsia="宋体" w:cs="宋体"/>
                <w:sz w:val="21"/>
                <w:szCs w:val="21"/>
                <w:lang w:eastAsia="zh-CN"/>
              </w:rPr>
              <w:t>，</w:t>
            </w:r>
            <w:r>
              <w:rPr>
                <w:rFonts w:hint="eastAsia" w:ascii="宋体" w:hAnsi="宋体" w:eastAsia="宋体" w:cs="宋体"/>
                <w:sz w:val="21"/>
                <w:szCs w:val="21"/>
              </w:rPr>
              <w:t>类别1 加压气体</w:t>
            </w:r>
          </w:p>
        </w:tc>
      </w:tr>
      <w:tr w14:paraId="54515C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restart"/>
            <w:tcBorders>
              <w:tl2br w:val="nil"/>
              <w:tr2bl w:val="nil"/>
            </w:tcBorders>
            <w:noWrap w:val="0"/>
            <w:vAlign w:val="center"/>
          </w:tcPr>
          <w:p w14:paraId="4B98A3A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理化</w:t>
            </w:r>
          </w:p>
          <w:p w14:paraId="05FDA24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性质</w:t>
            </w:r>
          </w:p>
        </w:tc>
        <w:tc>
          <w:tcPr>
            <w:tcW w:w="1386" w:type="pct"/>
            <w:gridSpan w:val="7"/>
            <w:tcBorders>
              <w:tl2br w:val="nil"/>
              <w:tr2bl w:val="nil"/>
            </w:tcBorders>
            <w:noWrap w:val="0"/>
            <w:vAlign w:val="top"/>
          </w:tcPr>
          <w:p w14:paraId="640AD9D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外观与性状</w:t>
            </w:r>
          </w:p>
        </w:tc>
        <w:tc>
          <w:tcPr>
            <w:tcW w:w="3221" w:type="pct"/>
            <w:gridSpan w:val="3"/>
            <w:tcBorders>
              <w:tl2br w:val="nil"/>
              <w:tr2bl w:val="nil"/>
            </w:tcBorders>
            <w:noWrap w:val="0"/>
            <w:vAlign w:val="top"/>
          </w:tcPr>
          <w:p w14:paraId="7657737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无色无臭气体</w:t>
            </w:r>
          </w:p>
        </w:tc>
      </w:tr>
      <w:tr w14:paraId="30984C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continue"/>
            <w:tcBorders>
              <w:tl2br w:val="nil"/>
              <w:tr2bl w:val="nil"/>
            </w:tcBorders>
            <w:noWrap w:val="0"/>
            <w:vAlign w:val="center"/>
          </w:tcPr>
          <w:p w14:paraId="4F324127">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rPr>
            </w:pPr>
          </w:p>
        </w:tc>
        <w:tc>
          <w:tcPr>
            <w:tcW w:w="1386" w:type="pct"/>
            <w:gridSpan w:val="7"/>
            <w:tcBorders>
              <w:tl2br w:val="nil"/>
              <w:tr2bl w:val="nil"/>
            </w:tcBorders>
            <w:noWrap w:val="0"/>
            <w:vAlign w:val="center"/>
          </w:tcPr>
          <w:p w14:paraId="33B0405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熔点：-218.8</w:t>
            </w:r>
          </w:p>
        </w:tc>
        <w:tc>
          <w:tcPr>
            <w:tcW w:w="1457" w:type="pct"/>
            <w:gridSpan w:val="2"/>
            <w:vMerge w:val="restart"/>
            <w:tcBorders>
              <w:tl2br w:val="nil"/>
              <w:tr2bl w:val="nil"/>
            </w:tcBorders>
            <w:noWrap w:val="0"/>
            <w:vAlign w:val="top"/>
          </w:tcPr>
          <w:p w14:paraId="405A3277">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相对密度（水=1）：1.14(-183℃)</w:t>
            </w:r>
          </w:p>
          <w:p w14:paraId="3372B94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 xml:space="preserve">相对密度（空气=1）：1.43 </w:t>
            </w:r>
          </w:p>
        </w:tc>
        <w:tc>
          <w:tcPr>
            <w:tcW w:w="1764" w:type="pct"/>
            <w:tcBorders>
              <w:tl2br w:val="nil"/>
              <w:tr2bl w:val="nil"/>
            </w:tcBorders>
            <w:noWrap w:val="0"/>
            <w:vAlign w:val="top"/>
          </w:tcPr>
          <w:p w14:paraId="65F9B97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饱和蒸汽压（kPa）：506.62(-164℃)</w:t>
            </w:r>
          </w:p>
        </w:tc>
      </w:tr>
      <w:tr w14:paraId="011143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continue"/>
            <w:tcBorders>
              <w:tl2br w:val="nil"/>
              <w:tr2bl w:val="nil"/>
            </w:tcBorders>
            <w:noWrap w:val="0"/>
            <w:vAlign w:val="center"/>
          </w:tcPr>
          <w:p w14:paraId="17888FC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rPr>
            </w:pPr>
          </w:p>
        </w:tc>
        <w:tc>
          <w:tcPr>
            <w:tcW w:w="1386" w:type="pct"/>
            <w:gridSpan w:val="7"/>
            <w:tcBorders>
              <w:tl2br w:val="nil"/>
              <w:tr2bl w:val="nil"/>
            </w:tcBorders>
            <w:noWrap w:val="0"/>
            <w:vAlign w:val="center"/>
          </w:tcPr>
          <w:p w14:paraId="7530F2C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沸点：-183.1</w:t>
            </w:r>
          </w:p>
        </w:tc>
        <w:tc>
          <w:tcPr>
            <w:tcW w:w="1457" w:type="pct"/>
            <w:gridSpan w:val="2"/>
            <w:vMerge w:val="continue"/>
            <w:tcBorders>
              <w:tl2br w:val="nil"/>
              <w:tr2bl w:val="nil"/>
            </w:tcBorders>
            <w:noWrap w:val="0"/>
            <w:vAlign w:val="top"/>
          </w:tcPr>
          <w:p w14:paraId="6DE9617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tc>
        <w:tc>
          <w:tcPr>
            <w:tcW w:w="1764" w:type="pct"/>
            <w:tcBorders>
              <w:tl2br w:val="nil"/>
              <w:tr2bl w:val="nil"/>
            </w:tcBorders>
            <w:noWrap w:val="0"/>
            <w:vAlign w:val="top"/>
          </w:tcPr>
          <w:p w14:paraId="7752D2A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临界压力（MPa）：5.08</w:t>
            </w:r>
          </w:p>
        </w:tc>
      </w:tr>
      <w:tr w14:paraId="3B0C83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continue"/>
            <w:tcBorders>
              <w:tl2br w:val="nil"/>
              <w:tr2bl w:val="nil"/>
            </w:tcBorders>
            <w:noWrap w:val="0"/>
            <w:vAlign w:val="center"/>
          </w:tcPr>
          <w:p w14:paraId="2FFD075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rPr>
            </w:pPr>
          </w:p>
        </w:tc>
        <w:tc>
          <w:tcPr>
            <w:tcW w:w="1386" w:type="pct"/>
            <w:gridSpan w:val="7"/>
            <w:tcBorders>
              <w:tl2br w:val="nil"/>
              <w:tr2bl w:val="nil"/>
            </w:tcBorders>
            <w:noWrap w:val="0"/>
            <w:vAlign w:val="center"/>
          </w:tcPr>
          <w:p w14:paraId="29B64C5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临界温度：-118.4</w:t>
            </w:r>
          </w:p>
        </w:tc>
        <w:tc>
          <w:tcPr>
            <w:tcW w:w="3221" w:type="pct"/>
            <w:gridSpan w:val="3"/>
            <w:tcBorders>
              <w:tl2br w:val="nil"/>
              <w:tr2bl w:val="nil"/>
            </w:tcBorders>
            <w:noWrap w:val="0"/>
            <w:vAlign w:val="top"/>
          </w:tcPr>
          <w:p w14:paraId="603AE90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溶解性：溶于水及乙醇</w:t>
            </w:r>
          </w:p>
        </w:tc>
      </w:tr>
      <w:tr w14:paraId="2E2D16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restart"/>
            <w:tcBorders>
              <w:tl2br w:val="nil"/>
              <w:tr2bl w:val="nil"/>
            </w:tcBorders>
            <w:noWrap w:val="0"/>
            <w:vAlign w:val="center"/>
          </w:tcPr>
          <w:p w14:paraId="6096C28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毒性及健康危害</w:t>
            </w:r>
          </w:p>
        </w:tc>
        <w:tc>
          <w:tcPr>
            <w:tcW w:w="980" w:type="pct"/>
            <w:gridSpan w:val="5"/>
            <w:vMerge w:val="restart"/>
            <w:tcBorders>
              <w:tl2br w:val="nil"/>
              <w:tr2bl w:val="nil"/>
            </w:tcBorders>
            <w:noWrap w:val="0"/>
            <w:vAlign w:val="center"/>
          </w:tcPr>
          <w:p w14:paraId="3C4C6C2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车间卫生标准</w:t>
            </w:r>
          </w:p>
        </w:tc>
        <w:tc>
          <w:tcPr>
            <w:tcW w:w="1863" w:type="pct"/>
            <w:gridSpan w:val="4"/>
            <w:tcBorders>
              <w:tl2br w:val="nil"/>
              <w:tr2bl w:val="nil"/>
            </w:tcBorders>
            <w:noWrap w:val="0"/>
            <w:vAlign w:val="center"/>
          </w:tcPr>
          <w:p w14:paraId="12F442B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中国MAC未制定标准</w:t>
            </w:r>
          </w:p>
        </w:tc>
        <w:tc>
          <w:tcPr>
            <w:tcW w:w="1764" w:type="pct"/>
            <w:tcBorders>
              <w:tl2br w:val="nil"/>
              <w:tr2bl w:val="nil"/>
            </w:tcBorders>
            <w:noWrap w:val="0"/>
            <w:vAlign w:val="top"/>
          </w:tcPr>
          <w:p w14:paraId="1FF1C76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美国TLV-TWA（mg/m</w:t>
            </w:r>
            <w:r>
              <w:rPr>
                <w:rFonts w:hint="eastAsia" w:ascii="宋体" w:hAnsi="宋体" w:eastAsia="宋体" w:cs="宋体"/>
                <w:sz w:val="21"/>
                <w:szCs w:val="21"/>
                <w:vertAlign w:val="superscript"/>
              </w:rPr>
              <w:t>3</w:t>
            </w:r>
            <w:r>
              <w:rPr>
                <w:rFonts w:hint="eastAsia" w:ascii="宋体" w:hAnsi="宋体" w:eastAsia="宋体" w:cs="宋体"/>
                <w:sz w:val="21"/>
                <w:szCs w:val="21"/>
              </w:rPr>
              <w:t>）：</w:t>
            </w:r>
          </w:p>
          <w:p w14:paraId="68ACB5E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未制定标准</w:t>
            </w:r>
          </w:p>
        </w:tc>
      </w:tr>
      <w:tr w14:paraId="4AD4B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continue"/>
            <w:tcBorders>
              <w:tl2br w:val="nil"/>
              <w:tr2bl w:val="nil"/>
            </w:tcBorders>
            <w:noWrap w:val="0"/>
            <w:vAlign w:val="top"/>
          </w:tcPr>
          <w:p w14:paraId="1840F69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tc>
        <w:tc>
          <w:tcPr>
            <w:tcW w:w="980" w:type="pct"/>
            <w:gridSpan w:val="5"/>
            <w:vMerge w:val="continue"/>
            <w:tcBorders>
              <w:tl2br w:val="nil"/>
              <w:tr2bl w:val="nil"/>
            </w:tcBorders>
            <w:noWrap w:val="0"/>
            <w:vAlign w:val="center"/>
          </w:tcPr>
          <w:p w14:paraId="45CB7A9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tc>
        <w:tc>
          <w:tcPr>
            <w:tcW w:w="1863" w:type="pct"/>
            <w:gridSpan w:val="4"/>
            <w:tcBorders>
              <w:tl2br w:val="nil"/>
              <w:tr2bl w:val="nil"/>
            </w:tcBorders>
            <w:noWrap w:val="0"/>
            <w:vAlign w:val="center"/>
          </w:tcPr>
          <w:p w14:paraId="766376E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前苏联MAC未制定标准</w:t>
            </w:r>
          </w:p>
        </w:tc>
        <w:tc>
          <w:tcPr>
            <w:tcW w:w="1764" w:type="pct"/>
            <w:tcBorders>
              <w:tl2br w:val="nil"/>
              <w:tr2bl w:val="nil"/>
            </w:tcBorders>
            <w:noWrap w:val="0"/>
            <w:vAlign w:val="top"/>
          </w:tcPr>
          <w:p w14:paraId="396FCCB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美国TLV-STEL（mg/m</w:t>
            </w:r>
            <w:r>
              <w:rPr>
                <w:rFonts w:hint="eastAsia" w:ascii="宋体" w:hAnsi="宋体" w:eastAsia="宋体" w:cs="宋体"/>
                <w:sz w:val="21"/>
                <w:szCs w:val="21"/>
                <w:vertAlign w:val="superscript"/>
              </w:rPr>
              <w:t>3</w:t>
            </w:r>
            <w:r>
              <w:rPr>
                <w:rFonts w:hint="eastAsia" w:ascii="宋体" w:hAnsi="宋体" w:eastAsia="宋体" w:cs="宋体"/>
                <w:sz w:val="21"/>
                <w:szCs w:val="21"/>
              </w:rPr>
              <w:t xml:space="preserve">）： </w:t>
            </w:r>
          </w:p>
          <w:p w14:paraId="7C26188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未制定标准</w:t>
            </w:r>
          </w:p>
        </w:tc>
      </w:tr>
      <w:tr w14:paraId="5C6D18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continue"/>
            <w:tcBorders>
              <w:tl2br w:val="nil"/>
              <w:tr2bl w:val="nil"/>
            </w:tcBorders>
            <w:noWrap w:val="0"/>
            <w:vAlign w:val="top"/>
          </w:tcPr>
          <w:p w14:paraId="78F2831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tc>
        <w:tc>
          <w:tcPr>
            <w:tcW w:w="784" w:type="pct"/>
            <w:gridSpan w:val="3"/>
            <w:tcBorders>
              <w:tl2br w:val="nil"/>
              <w:tr2bl w:val="nil"/>
            </w:tcBorders>
            <w:noWrap w:val="0"/>
            <w:vAlign w:val="top"/>
          </w:tcPr>
          <w:p w14:paraId="135E34A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侵入途径</w:t>
            </w:r>
          </w:p>
        </w:tc>
        <w:tc>
          <w:tcPr>
            <w:tcW w:w="3823" w:type="pct"/>
            <w:gridSpan w:val="7"/>
            <w:tcBorders>
              <w:tl2br w:val="nil"/>
              <w:tr2bl w:val="nil"/>
            </w:tcBorders>
            <w:noWrap w:val="0"/>
            <w:vAlign w:val="top"/>
          </w:tcPr>
          <w:p w14:paraId="550B7EC4">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吸入</w:t>
            </w:r>
          </w:p>
        </w:tc>
      </w:tr>
      <w:tr w14:paraId="1AFB63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continue"/>
            <w:tcBorders>
              <w:tl2br w:val="nil"/>
              <w:tr2bl w:val="nil"/>
            </w:tcBorders>
            <w:noWrap w:val="0"/>
            <w:vAlign w:val="top"/>
          </w:tcPr>
          <w:p w14:paraId="1261EEB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tc>
        <w:tc>
          <w:tcPr>
            <w:tcW w:w="490" w:type="pct"/>
            <w:tcBorders>
              <w:tl2br w:val="nil"/>
              <w:tr2bl w:val="nil"/>
            </w:tcBorders>
            <w:noWrap w:val="0"/>
            <w:vAlign w:val="center"/>
          </w:tcPr>
          <w:p w14:paraId="29A30F77">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健  康</w:t>
            </w:r>
          </w:p>
          <w:p w14:paraId="42D7654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危  害</w:t>
            </w:r>
          </w:p>
        </w:tc>
        <w:tc>
          <w:tcPr>
            <w:tcW w:w="4117" w:type="pct"/>
            <w:gridSpan w:val="9"/>
            <w:tcBorders>
              <w:tl2br w:val="nil"/>
              <w:tr2bl w:val="nil"/>
            </w:tcBorders>
            <w:noWrap w:val="0"/>
            <w:vAlign w:val="top"/>
          </w:tcPr>
          <w:p w14:paraId="0CA194C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常压下，当氧的浓度超过40％时，有可能发生氧中毒。吸入40％～60％的氧时，出现胸骨后不适感、轻咳，进而胸闷、胸骨后烧灼感和呼吸困难，咳嗽加剧；严重时可发生肺水肿，甚至出现呼吸窘迫综合征。吸入氧浓度在80％以上时，出现面部肌肉抽动、面色苍白、眩晕、心动过速、虚脱，继而全身强直性抽搐、昏迷、呼吸衰竭而死亡。长期处于氧分压为60～100kPa</w:t>
            </w:r>
            <w:r>
              <w:rPr>
                <w:rFonts w:hint="eastAsia" w:ascii="宋体" w:hAnsi="宋体" w:eastAsia="宋体" w:cs="宋体"/>
                <w:sz w:val="21"/>
                <w:szCs w:val="21"/>
                <w:lang w:eastAsia="zh-CN"/>
              </w:rPr>
              <w:t>（</w:t>
            </w:r>
            <w:r>
              <w:rPr>
                <w:rFonts w:hint="eastAsia" w:ascii="宋体" w:hAnsi="宋体" w:eastAsia="宋体" w:cs="宋体"/>
                <w:sz w:val="21"/>
                <w:szCs w:val="21"/>
              </w:rPr>
              <w:t>相当于吸入氧浓度40％左右</w:t>
            </w:r>
            <w:r>
              <w:rPr>
                <w:rFonts w:hint="eastAsia" w:ascii="宋体" w:hAnsi="宋体" w:eastAsia="宋体" w:cs="宋体"/>
                <w:sz w:val="21"/>
                <w:szCs w:val="21"/>
                <w:lang w:eastAsia="zh-CN"/>
              </w:rPr>
              <w:t>）</w:t>
            </w:r>
            <w:r>
              <w:rPr>
                <w:rFonts w:hint="eastAsia" w:ascii="宋体" w:hAnsi="宋体" w:eastAsia="宋体" w:cs="宋体"/>
                <w:sz w:val="21"/>
                <w:szCs w:val="21"/>
              </w:rPr>
              <w:t>的条件下可发生眼损害，严重者可失明。</w:t>
            </w:r>
          </w:p>
        </w:tc>
      </w:tr>
      <w:tr w14:paraId="14DB6D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restart"/>
            <w:tcBorders>
              <w:tl2br w:val="nil"/>
              <w:tr2bl w:val="nil"/>
            </w:tcBorders>
            <w:noWrap w:val="0"/>
            <w:vAlign w:val="top"/>
          </w:tcPr>
          <w:p w14:paraId="0F9DE3B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燃烧</w:t>
            </w:r>
          </w:p>
          <w:p w14:paraId="4323305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爆炸危险性</w:t>
            </w:r>
          </w:p>
        </w:tc>
        <w:tc>
          <w:tcPr>
            <w:tcW w:w="1274" w:type="pct"/>
            <w:gridSpan w:val="6"/>
            <w:tcBorders>
              <w:tl2br w:val="nil"/>
              <w:tr2bl w:val="nil"/>
            </w:tcBorders>
            <w:noWrap w:val="0"/>
            <w:vAlign w:val="top"/>
          </w:tcPr>
          <w:p w14:paraId="6D5360A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燃烧性：本品助燃</w:t>
            </w:r>
          </w:p>
        </w:tc>
        <w:tc>
          <w:tcPr>
            <w:tcW w:w="1274" w:type="pct"/>
            <w:gridSpan w:val="2"/>
            <w:tcBorders>
              <w:tl2br w:val="nil"/>
              <w:tr2bl w:val="nil"/>
            </w:tcBorders>
            <w:noWrap w:val="0"/>
            <w:vAlign w:val="top"/>
          </w:tcPr>
          <w:p w14:paraId="2F97484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闪点：  无意义</w:t>
            </w:r>
          </w:p>
        </w:tc>
        <w:tc>
          <w:tcPr>
            <w:tcW w:w="2059" w:type="pct"/>
            <w:gridSpan w:val="2"/>
            <w:tcBorders>
              <w:tl2br w:val="nil"/>
              <w:tr2bl w:val="nil"/>
            </w:tcBorders>
            <w:noWrap w:val="0"/>
            <w:vAlign w:val="top"/>
          </w:tcPr>
          <w:p w14:paraId="6B19B76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 xml:space="preserve">爆炸极限： </w:t>
            </w:r>
          </w:p>
        </w:tc>
      </w:tr>
      <w:tr w14:paraId="3D3189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2" w:type="pct"/>
            <w:vMerge w:val="continue"/>
            <w:tcBorders>
              <w:tl2br w:val="nil"/>
              <w:tr2bl w:val="nil"/>
            </w:tcBorders>
            <w:noWrap w:val="0"/>
            <w:vAlign w:val="top"/>
          </w:tcPr>
          <w:p w14:paraId="7F1AF11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tc>
        <w:tc>
          <w:tcPr>
            <w:tcW w:w="1274" w:type="pct"/>
            <w:gridSpan w:val="6"/>
            <w:tcBorders>
              <w:tl2br w:val="nil"/>
              <w:tr2bl w:val="nil"/>
            </w:tcBorders>
            <w:noWrap w:val="0"/>
            <w:vAlign w:val="top"/>
          </w:tcPr>
          <w:p w14:paraId="4E7C8C4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稳定性： 稳定</w:t>
            </w:r>
          </w:p>
        </w:tc>
        <w:tc>
          <w:tcPr>
            <w:tcW w:w="1274" w:type="pct"/>
            <w:gridSpan w:val="2"/>
            <w:tcBorders>
              <w:tl2br w:val="nil"/>
              <w:tr2bl w:val="nil"/>
            </w:tcBorders>
            <w:noWrap w:val="0"/>
            <w:vAlign w:val="top"/>
          </w:tcPr>
          <w:p w14:paraId="3E240EE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引燃温度（℃）：260</w:t>
            </w:r>
          </w:p>
        </w:tc>
        <w:tc>
          <w:tcPr>
            <w:tcW w:w="2059" w:type="pct"/>
            <w:gridSpan w:val="2"/>
            <w:tcBorders>
              <w:tl2br w:val="nil"/>
              <w:tr2bl w:val="nil"/>
            </w:tcBorders>
            <w:noWrap w:val="0"/>
            <w:vAlign w:val="top"/>
          </w:tcPr>
          <w:p w14:paraId="006BEEF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聚合危险：不能出现</w:t>
            </w:r>
          </w:p>
        </w:tc>
      </w:tr>
      <w:tr w14:paraId="5966C0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continue"/>
            <w:tcBorders>
              <w:tl2br w:val="nil"/>
              <w:tr2bl w:val="nil"/>
            </w:tcBorders>
            <w:noWrap w:val="0"/>
            <w:vAlign w:val="top"/>
          </w:tcPr>
          <w:p w14:paraId="71DE39B4">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tc>
        <w:tc>
          <w:tcPr>
            <w:tcW w:w="686" w:type="pct"/>
            <w:gridSpan w:val="2"/>
            <w:tcBorders>
              <w:tl2br w:val="nil"/>
              <w:tr2bl w:val="nil"/>
            </w:tcBorders>
            <w:noWrap w:val="0"/>
            <w:vAlign w:val="top"/>
          </w:tcPr>
          <w:p w14:paraId="74BAA39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禁忌物</w:t>
            </w:r>
          </w:p>
        </w:tc>
        <w:tc>
          <w:tcPr>
            <w:tcW w:w="3921" w:type="pct"/>
            <w:gridSpan w:val="8"/>
            <w:tcBorders>
              <w:tl2br w:val="nil"/>
              <w:tr2bl w:val="nil"/>
            </w:tcBorders>
            <w:noWrap w:val="0"/>
            <w:vAlign w:val="top"/>
          </w:tcPr>
          <w:p w14:paraId="422C377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易燃或可燃物、活性金属粉末、乙炔。</w:t>
            </w:r>
          </w:p>
        </w:tc>
      </w:tr>
      <w:tr w14:paraId="3ABE8A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continue"/>
            <w:tcBorders>
              <w:tl2br w:val="nil"/>
              <w:tr2bl w:val="nil"/>
            </w:tcBorders>
            <w:noWrap w:val="0"/>
            <w:vAlign w:val="top"/>
          </w:tcPr>
          <w:p w14:paraId="30F0DF0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tc>
        <w:tc>
          <w:tcPr>
            <w:tcW w:w="686" w:type="pct"/>
            <w:gridSpan w:val="2"/>
            <w:tcBorders>
              <w:tl2br w:val="nil"/>
              <w:tr2bl w:val="nil"/>
            </w:tcBorders>
            <w:noWrap w:val="0"/>
            <w:vAlign w:val="center"/>
          </w:tcPr>
          <w:p w14:paraId="4D1FE347">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危险特性</w:t>
            </w:r>
          </w:p>
        </w:tc>
        <w:tc>
          <w:tcPr>
            <w:tcW w:w="3921" w:type="pct"/>
            <w:gridSpan w:val="8"/>
            <w:tcBorders>
              <w:tl2br w:val="nil"/>
              <w:tr2bl w:val="nil"/>
            </w:tcBorders>
            <w:noWrap w:val="0"/>
            <w:vAlign w:val="top"/>
          </w:tcPr>
          <w:p w14:paraId="7768F6D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是易燃物、可燃物燃烧爆炸的基本要素之一</w:t>
            </w:r>
            <w:r>
              <w:rPr>
                <w:rFonts w:hint="eastAsia" w:ascii="宋体" w:hAnsi="宋体" w:eastAsia="宋体" w:cs="宋体"/>
                <w:sz w:val="21"/>
                <w:szCs w:val="21"/>
                <w:lang w:eastAsia="zh-CN"/>
              </w:rPr>
              <w:t>，</w:t>
            </w:r>
            <w:r>
              <w:rPr>
                <w:rFonts w:hint="eastAsia" w:ascii="宋体" w:hAnsi="宋体" w:eastAsia="宋体" w:cs="宋体"/>
                <w:sz w:val="21"/>
                <w:szCs w:val="21"/>
              </w:rPr>
              <w:t xml:space="preserve"> 能氧化大多数活性物质。与易燃物（如乙炔、甲烷等）形成有爆炸性的混合物。</w:t>
            </w:r>
          </w:p>
        </w:tc>
      </w:tr>
      <w:tr w14:paraId="6A0747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continue"/>
            <w:tcBorders>
              <w:tl2br w:val="nil"/>
              <w:tr2bl w:val="nil"/>
            </w:tcBorders>
            <w:noWrap w:val="0"/>
            <w:vAlign w:val="top"/>
          </w:tcPr>
          <w:p w14:paraId="3E7EAC8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tc>
        <w:tc>
          <w:tcPr>
            <w:tcW w:w="686" w:type="pct"/>
            <w:gridSpan w:val="2"/>
            <w:tcBorders>
              <w:tl2br w:val="nil"/>
              <w:tr2bl w:val="nil"/>
            </w:tcBorders>
            <w:noWrap w:val="0"/>
            <w:vAlign w:val="center"/>
          </w:tcPr>
          <w:p w14:paraId="2BE20B4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灭火方法</w:t>
            </w:r>
          </w:p>
        </w:tc>
        <w:tc>
          <w:tcPr>
            <w:tcW w:w="3921" w:type="pct"/>
            <w:gridSpan w:val="8"/>
            <w:tcBorders>
              <w:tl2br w:val="nil"/>
              <w:tr2bl w:val="nil"/>
            </w:tcBorders>
            <w:noWrap w:val="0"/>
            <w:vAlign w:val="top"/>
          </w:tcPr>
          <w:p w14:paraId="30EA828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用水保持容器冷却，以防受热爆炸，急剧助长火势。迅速切断气源，用水喷淋保护切断气源的人员，然后根据着火原因选择适当灭火剂</w:t>
            </w:r>
          </w:p>
        </w:tc>
      </w:tr>
      <w:tr w14:paraId="033819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tcBorders>
              <w:tl2br w:val="nil"/>
              <w:tr2bl w:val="nil"/>
            </w:tcBorders>
            <w:noWrap w:val="0"/>
            <w:vAlign w:val="top"/>
          </w:tcPr>
          <w:p w14:paraId="2882BFB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 xml:space="preserve">急救  </w:t>
            </w:r>
          </w:p>
          <w:p w14:paraId="719F821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 xml:space="preserve">措施  </w:t>
            </w:r>
          </w:p>
        </w:tc>
        <w:tc>
          <w:tcPr>
            <w:tcW w:w="4607" w:type="pct"/>
            <w:gridSpan w:val="10"/>
            <w:tcBorders>
              <w:tl2br w:val="nil"/>
              <w:tr2bl w:val="nil"/>
            </w:tcBorders>
            <w:noWrap w:val="0"/>
            <w:vAlign w:val="top"/>
          </w:tcPr>
          <w:p w14:paraId="5118385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迅速脱离现场至空气新鲜处。保持呼吸道通畅。如呼吸停止，立即进行人工呼吸。就医。</w:t>
            </w:r>
          </w:p>
        </w:tc>
      </w:tr>
      <w:tr w14:paraId="2E370E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restart"/>
            <w:tcBorders>
              <w:tl2br w:val="nil"/>
              <w:tr2bl w:val="nil"/>
            </w:tcBorders>
            <w:noWrap w:val="0"/>
            <w:vAlign w:val="top"/>
          </w:tcPr>
          <w:p w14:paraId="5E6C71C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p w14:paraId="1FF7BE4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防护</w:t>
            </w:r>
          </w:p>
          <w:p w14:paraId="72E5A81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措施</w:t>
            </w:r>
          </w:p>
        </w:tc>
        <w:tc>
          <w:tcPr>
            <w:tcW w:w="882" w:type="pct"/>
            <w:gridSpan w:val="4"/>
            <w:tcBorders>
              <w:tl2br w:val="nil"/>
              <w:tr2bl w:val="nil"/>
            </w:tcBorders>
            <w:noWrap w:val="0"/>
            <w:vAlign w:val="top"/>
          </w:tcPr>
          <w:p w14:paraId="03FAAE18">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工程控制</w:t>
            </w:r>
          </w:p>
        </w:tc>
        <w:tc>
          <w:tcPr>
            <w:tcW w:w="3725" w:type="pct"/>
            <w:gridSpan w:val="6"/>
            <w:tcBorders>
              <w:tl2br w:val="nil"/>
              <w:tr2bl w:val="nil"/>
            </w:tcBorders>
            <w:noWrap w:val="0"/>
            <w:vAlign w:val="top"/>
          </w:tcPr>
          <w:p w14:paraId="6D97F09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密闭操作。提供良好的自然通风条件。</w:t>
            </w:r>
          </w:p>
        </w:tc>
      </w:tr>
      <w:tr w14:paraId="4C4C99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continue"/>
            <w:tcBorders>
              <w:tl2br w:val="nil"/>
              <w:tr2bl w:val="nil"/>
            </w:tcBorders>
            <w:noWrap w:val="0"/>
            <w:vAlign w:val="top"/>
          </w:tcPr>
          <w:p w14:paraId="316BF631">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tc>
        <w:tc>
          <w:tcPr>
            <w:tcW w:w="882" w:type="pct"/>
            <w:gridSpan w:val="4"/>
            <w:tcBorders>
              <w:tl2br w:val="nil"/>
              <w:tr2bl w:val="nil"/>
            </w:tcBorders>
            <w:noWrap w:val="0"/>
            <w:vAlign w:val="top"/>
          </w:tcPr>
          <w:p w14:paraId="1C312CE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呼吸系统防护</w:t>
            </w:r>
          </w:p>
        </w:tc>
        <w:tc>
          <w:tcPr>
            <w:tcW w:w="3725" w:type="pct"/>
            <w:gridSpan w:val="6"/>
            <w:tcBorders>
              <w:tl2br w:val="nil"/>
              <w:tr2bl w:val="nil"/>
            </w:tcBorders>
            <w:noWrap w:val="0"/>
            <w:vAlign w:val="top"/>
          </w:tcPr>
          <w:p w14:paraId="478C4D79">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一般不需特殊防护</w:t>
            </w:r>
          </w:p>
        </w:tc>
      </w:tr>
      <w:tr w14:paraId="16100F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vMerge w:val="continue"/>
            <w:tcBorders>
              <w:tl2br w:val="nil"/>
              <w:tr2bl w:val="nil"/>
            </w:tcBorders>
            <w:noWrap w:val="0"/>
            <w:vAlign w:val="top"/>
          </w:tcPr>
          <w:p w14:paraId="1978B7F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p>
        </w:tc>
        <w:tc>
          <w:tcPr>
            <w:tcW w:w="882" w:type="pct"/>
            <w:gridSpan w:val="4"/>
            <w:tcBorders>
              <w:tl2br w:val="nil"/>
              <w:tr2bl w:val="nil"/>
            </w:tcBorders>
            <w:noWrap w:val="0"/>
            <w:vAlign w:val="top"/>
          </w:tcPr>
          <w:p w14:paraId="539574C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其  它</w:t>
            </w:r>
          </w:p>
        </w:tc>
        <w:tc>
          <w:tcPr>
            <w:tcW w:w="3725" w:type="pct"/>
            <w:gridSpan w:val="6"/>
            <w:tcBorders>
              <w:tl2br w:val="nil"/>
              <w:tr2bl w:val="nil"/>
            </w:tcBorders>
            <w:noWrap w:val="0"/>
            <w:vAlign w:val="top"/>
          </w:tcPr>
          <w:p w14:paraId="6D6CBA77">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一般不需特殊防护</w:t>
            </w:r>
          </w:p>
        </w:tc>
      </w:tr>
      <w:tr w14:paraId="3F0CB2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tcBorders>
              <w:tl2br w:val="nil"/>
              <w:tr2bl w:val="nil"/>
            </w:tcBorders>
            <w:noWrap w:val="0"/>
            <w:vAlign w:val="top"/>
          </w:tcPr>
          <w:p w14:paraId="0F45E7D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泄漏应急处理</w:t>
            </w:r>
          </w:p>
        </w:tc>
        <w:tc>
          <w:tcPr>
            <w:tcW w:w="4607" w:type="pct"/>
            <w:gridSpan w:val="10"/>
            <w:tcBorders>
              <w:tl2br w:val="nil"/>
              <w:tr2bl w:val="nil"/>
            </w:tcBorders>
            <w:noWrap w:val="0"/>
            <w:vAlign w:val="top"/>
          </w:tcPr>
          <w:p w14:paraId="709EFC1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迅速撤离泄漏污染区人员至上风处，并进行隔离，严格限制出入。切断火源。建议应急处理人员戴自给正压式呼吸器，穿一般作业工作服。避免与可燃物或易燃物接触。尽可能切断泄漏源。合理通风，加速扩散。漏气容器要妥善处理，修复、检验后再用。</w:t>
            </w:r>
          </w:p>
        </w:tc>
      </w:tr>
      <w:tr w14:paraId="757DD1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tcBorders>
              <w:tl2br w:val="nil"/>
              <w:tr2bl w:val="nil"/>
            </w:tcBorders>
            <w:noWrap w:val="0"/>
            <w:vAlign w:val="top"/>
          </w:tcPr>
          <w:p w14:paraId="0B6D80D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储运注意事项</w:t>
            </w:r>
          </w:p>
        </w:tc>
        <w:tc>
          <w:tcPr>
            <w:tcW w:w="4607" w:type="pct"/>
            <w:gridSpan w:val="10"/>
            <w:tcBorders>
              <w:tl2br w:val="nil"/>
              <w:tr2bl w:val="nil"/>
            </w:tcBorders>
            <w:noWrap w:val="0"/>
            <w:vAlign w:val="top"/>
          </w:tcPr>
          <w:p w14:paraId="2FFB7AB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氧气钢瓶不得沾污油脂。采用</w:t>
            </w:r>
            <w:r>
              <w:rPr>
                <w:rFonts w:hint="eastAsia" w:ascii="宋体" w:hAnsi="宋体" w:eastAsia="宋体" w:cs="宋体"/>
                <w:sz w:val="21"/>
                <w:szCs w:val="21"/>
                <w:lang w:eastAsia="zh-CN"/>
              </w:rPr>
              <w:t>钢瓶</w:t>
            </w:r>
            <w:r>
              <w:rPr>
                <w:rFonts w:hint="eastAsia" w:ascii="宋体" w:hAnsi="宋体" w:eastAsia="宋体" w:cs="宋体"/>
                <w:sz w:val="21"/>
                <w:szCs w:val="21"/>
              </w:rPr>
              <w:t>运输时必须戴好钢瓶上的安全帽。钢瓶一般平放，并应将瓶口朝同一方向，不可交叉；高度不得超过车辆的防护栏板，并用三角木垫卡牢，防止滚动。严禁与易燃物或可燃物、活性金属粉末等混装混运。夏季应早晚运输，防止日光</w:t>
            </w:r>
            <w:r>
              <w:rPr>
                <w:rFonts w:hint="eastAsia" w:ascii="宋体" w:hAnsi="宋体" w:eastAsia="宋体" w:cs="宋体"/>
                <w:sz w:val="21"/>
                <w:szCs w:val="21"/>
                <w:lang w:eastAsia="zh-CN"/>
              </w:rPr>
              <w:t>暴晒</w:t>
            </w:r>
            <w:r>
              <w:rPr>
                <w:rFonts w:hint="eastAsia" w:ascii="宋体" w:hAnsi="宋体" w:eastAsia="宋体" w:cs="宋体"/>
                <w:sz w:val="21"/>
                <w:szCs w:val="21"/>
              </w:rPr>
              <w:t>。铁路运输时要禁止溜放。</w:t>
            </w:r>
          </w:p>
        </w:tc>
      </w:tr>
      <w:tr w14:paraId="2C2A36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tcBorders>
              <w:tl2br w:val="nil"/>
              <w:tr2bl w:val="nil"/>
            </w:tcBorders>
            <w:noWrap w:val="0"/>
            <w:vAlign w:val="top"/>
          </w:tcPr>
          <w:p w14:paraId="7141FE1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环境</w:t>
            </w:r>
          </w:p>
          <w:p w14:paraId="11BD25E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资料</w:t>
            </w:r>
          </w:p>
        </w:tc>
        <w:tc>
          <w:tcPr>
            <w:tcW w:w="4607" w:type="pct"/>
            <w:gridSpan w:val="10"/>
            <w:tcBorders>
              <w:tl2br w:val="nil"/>
              <w:tr2bl w:val="nil"/>
            </w:tcBorders>
            <w:noWrap w:val="0"/>
            <w:vAlign w:val="center"/>
          </w:tcPr>
          <w:p w14:paraId="5EDF373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14:paraId="3A664B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92" w:type="pct"/>
            <w:tcBorders>
              <w:tl2br w:val="nil"/>
              <w:tr2bl w:val="nil"/>
            </w:tcBorders>
            <w:noWrap w:val="0"/>
            <w:vAlign w:val="top"/>
          </w:tcPr>
          <w:p w14:paraId="75031927">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废弃处理</w:t>
            </w:r>
          </w:p>
        </w:tc>
        <w:tc>
          <w:tcPr>
            <w:tcW w:w="4607" w:type="pct"/>
            <w:gridSpan w:val="10"/>
            <w:tcBorders>
              <w:tl2br w:val="nil"/>
              <w:tr2bl w:val="nil"/>
            </w:tcBorders>
            <w:noWrap w:val="0"/>
            <w:vAlign w:val="center"/>
          </w:tcPr>
          <w:p w14:paraId="68FA629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处置前应参阅国家和地方有关法规。废气直接排入大气。</w:t>
            </w:r>
          </w:p>
        </w:tc>
      </w:tr>
    </w:tbl>
    <w:p w14:paraId="490DD102">
      <w:pPr>
        <w:keepNext w:val="0"/>
        <w:keepLines w:val="0"/>
        <w:pageBreakBefore w:val="0"/>
        <w:widowControl w:val="0"/>
        <w:kinsoku/>
        <w:bidi w:val="0"/>
        <w:spacing w:before="50" w:beforeLines="50" w:line="240" w:lineRule="auto"/>
        <w:ind w:left="0" w:leftChars="0" w:right="0" w:rightChars="0" w:firstLine="0" w:firstLineChars="0"/>
        <w:jc w:val="center"/>
        <w:rPr>
          <w:rFonts w:hint="eastAsia" w:cs="Times New Roman"/>
          <w:b/>
          <w:kern w:val="2"/>
          <w:sz w:val="24"/>
          <w:szCs w:val="24"/>
          <w:lang w:val="en-US" w:eastAsia="zh-CN" w:bidi="ar-SA"/>
        </w:rPr>
      </w:pPr>
      <w:r>
        <w:rPr>
          <w:rFonts w:hint="eastAsia" w:ascii="宋体" w:hAnsi="宋体" w:eastAsia="宋体" w:cs="Times New Roman"/>
          <w:b/>
          <w:kern w:val="2"/>
          <w:sz w:val="24"/>
          <w:szCs w:val="24"/>
          <w:lang w:val="en-US" w:eastAsia="zh-CN" w:bidi="ar-SA"/>
        </w:rPr>
        <w:t xml:space="preserve">表 </w:t>
      </w:r>
      <w:r>
        <w:rPr>
          <w:rFonts w:hint="eastAsia" w:ascii="宋体" w:hAnsi="宋体" w:eastAsia="宋体" w:cs="Times New Roman"/>
          <w:b/>
          <w:kern w:val="2"/>
          <w:sz w:val="24"/>
          <w:szCs w:val="24"/>
          <w:lang w:val="en-US" w:eastAsia="zh-CN" w:bidi="ar-SA"/>
        </w:rPr>
        <w:fldChar w:fldCharType="begin"/>
      </w:r>
      <w:r>
        <w:rPr>
          <w:rFonts w:hint="eastAsia" w:ascii="宋体" w:hAnsi="宋体" w:eastAsia="宋体" w:cs="Times New Roman"/>
          <w:b/>
          <w:kern w:val="2"/>
          <w:sz w:val="24"/>
          <w:szCs w:val="24"/>
          <w:lang w:val="en-US" w:eastAsia="zh-CN" w:bidi="ar-SA"/>
        </w:rPr>
        <w:instrText xml:space="preserve"> STYLEREF 1 \s </w:instrText>
      </w:r>
      <w:r>
        <w:rPr>
          <w:rFonts w:hint="eastAsia" w:ascii="宋体" w:hAnsi="宋体" w:eastAsia="宋体" w:cs="Times New Roman"/>
          <w:b/>
          <w:kern w:val="2"/>
          <w:sz w:val="24"/>
          <w:szCs w:val="24"/>
          <w:lang w:val="en-US" w:eastAsia="zh-CN" w:bidi="ar-SA"/>
        </w:rPr>
        <w:fldChar w:fldCharType="separate"/>
      </w:r>
      <w:r>
        <w:rPr>
          <w:rFonts w:hint="eastAsia" w:ascii="宋体" w:hAnsi="宋体" w:eastAsia="宋体" w:cs="Times New Roman"/>
          <w:b/>
          <w:kern w:val="2"/>
          <w:sz w:val="24"/>
          <w:szCs w:val="24"/>
          <w:lang w:val="en-US" w:eastAsia="zh-CN" w:bidi="ar-SA"/>
        </w:rPr>
        <w:t>3</w:t>
      </w:r>
      <w:r>
        <w:rPr>
          <w:rFonts w:hint="eastAsia" w:ascii="宋体" w:hAnsi="宋体" w:eastAsia="宋体" w:cs="Times New Roman"/>
          <w:b/>
          <w:kern w:val="2"/>
          <w:sz w:val="24"/>
          <w:szCs w:val="24"/>
          <w:lang w:val="en-US" w:eastAsia="zh-CN" w:bidi="ar-SA"/>
        </w:rPr>
        <w:fldChar w:fldCharType="end"/>
      </w:r>
      <w:r>
        <w:rPr>
          <w:rFonts w:hint="eastAsia" w:ascii="宋体" w:hAnsi="宋体" w:eastAsia="宋体" w:cs="Times New Roman"/>
          <w:b/>
          <w:kern w:val="2"/>
          <w:sz w:val="24"/>
          <w:szCs w:val="24"/>
          <w:lang w:val="en-US" w:eastAsia="zh-CN" w:bidi="ar-SA"/>
        </w:rPr>
        <w:t>-</w:t>
      </w:r>
      <w:r>
        <w:rPr>
          <w:rFonts w:hint="eastAsia" w:ascii="宋体" w:hAnsi="宋体" w:eastAsia="宋体" w:cs="Times New Roman"/>
          <w:b/>
          <w:kern w:val="2"/>
          <w:sz w:val="24"/>
          <w:szCs w:val="24"/>
          <w:lang w:val="en-US" w:eastAsia="zh-CN" w:bidi="ar-SA"/>
        </w:rPr>
        <w:fldChar w:fldCharType="begin"/>
      </w:r>
      <w:r>
        <w:rPr>
          <w:rFonts w:hint="eastAsia" w:ascii="宋体" w:hAnsi="宋体" w:eastAsia="宋体" w:cs="Times New Roman"/>
          <w:b/>
          <w:kern w:val="2"/>
          <w:sz w:val="24"/>
          <w:szCs w:val="24"/>
          <w:lang w:val="en-US" w:eastAsia="zh-CN" w:bidi="ar-SA"/>
        </w:rPr>
        <w:instrText xml:space="preserve"> SEQ 表 \* ARABIC \s 1 </w:instrText>
      </w:r>
      <w:r>
        <w:rPr>
          <w:rFonts w:hint="eastAsia" w:ascii="宋体" w:hAnsi="宋体" w:eastAsia="宋体" w:cs="Times New Roman"/>
          <w:b/>
          <w:kern w:val="2"/>
          <w:sz w:val="24"/>
          <w:szCs w:val="24"/>
          <w:lang w:val="en-US" w:eastAsia="zh-CN" w:bidi="ar-SA"/>
        </w:rPr>
        <w:fldChar w:fldCharType="separate"/>
      </w:r>
      <w:r>
        <w:rPr>
          <w:rFonts w:hint="eastAsia" w:ascii="宋体" w:hAnsi="宋体" w:eastAsia="宋体" w:cs="Times New Roman"/>
          <w:b/>
          <w:kern w:val="2"/>
          <w:sz w:val="24"/>
          <w:szCs w:val="24"/>
          <w:lang w:val="en-US" w:eastAsia="zh-CN" w:bidi="ar-SA"/>
        </w:rPr>
        <w:t>3</w:t>
      </w:r>
      <w:r>
        <w:rPr>
          <w:rFonts w:hint="eastAsia" w:ascii="宋体" w:hAnsi="宋体" w:eastAsia="宋体" w:cs="Times New Roman"/>
          <w:b/>
          <w:kern w:val="2"/>
          <w:sz w:val="24"/>
          <w:szCs w:val="24"/>
          <w:lang w:val="en-US" w:eastAsia="zh-CN" w:bidi="ar-SA"/>
        </w:rPr>
        <w:fldChar w:fldCharType="end"/>
      </w:r>
      <w:r>
        <w:rPr>
          <w:rFonts w:hint="eastAsia" w:ascii="宋体" w:hAnsi="宋体" w:eastAsia="宋体" w:cs="Times New Roman"/>
          <w:b/>
          <w:kern w:val="2"/>
          <w:sz w:val="24"/>
          <w:szCs w:val="24"/>
          <w:lang w:val="en-US" w:eastAsia="zh-CN" w:bidi="ar-SA"/>
        </w:rPr>
        <w:t xml:space="preserve">  </w:t>
      </w:r>
      <w:r>
        <w:rPr>
          <w:rFonts w:hint="eastAsia" w:ascii="宋体" w:hAnsi="宋体" w:cs="Times New Roman"/>
          <w:b/>
          <w:kern w:val="2"/>
          <w:sz w:val="24"/>
          <w:szCs w:val="24"/>
          <w:lang w:val="en-US" w:eastAsia="zh-CN" w:bidi="ar-SA"/>
        </w:rPr>
        <w:t>危险化学品理化特性及危险特性</w:t>
      </w:r>
      <w:r>
        <w:rPr>
          <w:rFonts w:hint="eastAsia" w:cs="Times New Roman"/>
          <w:b/>
          <w:kern w:val="2"/>
          <w:sz w:val="24"/>
          <w:szCs w:val="24"/>
          <w:lang w:val="en-US" w:eastAsia="zh-CN" w:bidi="ar-SA"/>
        </w:rPr>
        <w:t>（乙炔）</w:t>
      </w:r>
    </w:p>
    <w:tbl>
      <w:tblPr>
        <w:tblStyle w:val="32"/>
        <w:tblW w:w="4999"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594"/>
        <w:gridCol w:w="943"/>
        <w:gridCol w:w="638"/>
        <w:gridCol w:w="1246"/>
        <w:gridCol w:w="297"/>
        <w:gridCol w:w="344"/>
        <w:gridCol w:w="494"/>
        <w:gridCol w:w="1423"/>
        <w:gridCol w:w="251"/>
        <w:gridCol w:w="2291"/>
      </w:tblGrid>
      <w:tr w14:paraId="3F4570C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restart"/>
            <w:noWrap w:val="0"/>
            <w:vAlign w:val="center"/>
          </w:tcPr>
          <w:p w14:paraId="645243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标识</w:t>
            </w:r>
          </w:p>
        </w:tc>
        <w:tc>
          <w:tcPr>
            <w:tcW w:w="2324" w:type="pct"/>
            <w:gridSpan w:val="6"/>
            <w:noWrap w:val="0"/>
            <w:vAlign w:val="center"/>
          </w:tcPr>
          <w:p w14:paraId="2C31A2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中文名： 乙炔             </w:t>
            </w:r>
          </w:p>
        </w:tc>
        <w:tc>
          <w:tcPr>
            <w:tcW w:w="2325" w:type="pct"/>
            <w:gridSpan w:val="3"/>
            <w:noWrap w:val="0"/>
            <w:vAlign w:val="center"/>
          </w:tcPr>
          <w:p w14:paraId="57B4B5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rPr>
              <w:t xml:space="preserve">  英文名：</w:t>
            </w:r>
            <w:r>
              <w:rPr>
                <w:rFonts w:hint="eastAsia" w:ascii="宋体" w:hAnsi="宋体" w:eastAsia="宋体" w:cs="宋体"/>
                <w:color w:val="000000"/>
                <w:kern w:val="0"/>
                <w:sz w:val="21"/>
                <w:szCs w:val="21"/>
                <w:lang w:eastAsia="zh-CN"/>
              </w:rPr>
              <w:t>Carbon monoxide</w:t>
            </w:r>
          </w:p>
        </w:tc>
      </w:tr>
      <w:tr w14:paraId="6DC10D9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7977E6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1658" w:type="pct"/>
            <w:gridSpan w:val="3"/>
            <w:noWrap w:val="0"/>
            <w:vAlign w:val="center"/>
          </w:tcPr>
          <w:p w14:paraId="3C1C4E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分子式：C</w:t>
            </w:r>
            <w:r>
              <w:rPr>
                <w:rFonts w:hint="eastAsia" w:ascii="宋体" w:hAnsi="宋体" w:eastAsia="宋体" w:cs="宋体"/>
                <w:color w:val="000000"/>
                <w:kern w:val="0"/>
                <w:sz w:val="21"/>
                <w:szCs w:val="21"/>
                <w:vertAlign w:val="subscript"/>
              </w:rPr>
              <w:t>2</w:t>
            </w:r>
            <w:r>
              <w:rPr>
                <w:rFonts w:hint="eastAsia" w:ascii="宋体" w:hAnsi="宋体" w:eastAsia="宋体" w:cs="宋体"/>
                <w:color w:val="000000"/>
                <w:kern w:val="0"/>
                <w:sz w:val="21"/>
                <w:szCs w:val="21"/>
              </w:rPr>
              <w:t>H</w:t>
            </w:r>
            <w:r>
              <w:rPr>
                <w:rFonts w:hint="eastAsia" w:ascii="宋体" w:hAnsi="宋体" w:eastAsia="宋体" w:cs="宋体"/>
                <w:color w:val="000000"/>
                <w:kern w:val="0"/>
                <w:sz w:val="21"/>
                <w:szCs w:val="21"/>
                <w:vertAlign w:val="subscript"/>
              </w:rPr>
              <w:t>2</w:t>
            </w:r>
          </w:p>
        </w:tc>
        <w:tc>
          <w:tcPr>
            <w:tcW w:w="1501" w:type="pct"/>
            <w:gridSpan w:val="4"/>
            <w:noWrap w:val="0"/>
            <w:vAlign w:val="center"/>
          </w:tcPr>
          <w:p w14:paraId="6FE83E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分子量：26.04</w:t>
            </w:r>
          </w:p>
        </w:tc>
        <w:tc>
          <w:tcPr>
            <w:tcW w:w="1489" w:type="pct"/>
            <w:gridSpan w:val="2"/>
            <w:noWrap w:val="0"/>
            <w:vAlign w:val="center"/>
          </w:tcPr>
          <w:p w14:paraId="0CDE4D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CAS号：74-86-2</w:t>
            </w:r>
          </w:p>
        </w:tc>
      </w:tr>
      <w:tr w14:paraId="2C02E88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061016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4650" w:type="pct"/>
            <w:gridSpan w:val="9"/>
            <w:noWrap w:val="0"/>
            <w:vAlign w:val="center"/>
          </w:tcPr>
          <w:p w14:paraId="1568FC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危险性类别：易燃气体</w:t>
            </w:r>
            <w:r>
              <w:rPr>
                <w:rFonts w:hint="eastAsia" w:ascii="宋体" w:hAnsi="宋体" w:eastAsia="宋体" w:cs="宋体"/>
                <w:color w:val="000000"/>
                <w:kern w:val="0"/>
                <w:sz w:val="21"/>
                <w:szCs w:val="21"/>
                <w:lang w:eastAsia="zh-CN"/>
              </w:rPr>
              <w:t>，</w:t>
            </w:r>
            <w:r>
              <w:rPr>
                <w:rFonts w:hint="eastAsia" w:ascii="宋体" w:hAnsi="宋体" w:eastAsia="宋体" w:cs="宋体"/>
                <w:color w:val="000000"/>
                <w:kern w:val="0"/>
                <w:sz w:val="21"/>
                <w:szCs w:val="21"/>
              </w:rPr>
              <w:t>类别1，化学不稳定性气体</w:t>
            </w:r>
            <w:r>
              <w:rPr>
                <w:rFonts w:hint="eastAsia" w:ascii="宋体" w:hAnsi="宋体" w:eastAsia="宋体" w:cs="宋体"/>
                <w:color w:val="000000"/>
                <w:kern w:val="0"/>
                <w:sz w:val="21"/>
                <w:szCs w:val="21"/>
                <w:lang w:eastAsia="zh-CN"/>
              </w:rPr>
              <w:t>，</w:t>
            </w:r>
            <w:r>
              <w:rPr>
                <w:rFonts w:hint="eastAsia" w:ascii="宋体" w:hAnsi="宋体" w:eastAsia="宋体" w:cs="宋体"/>
                <w:color w:val="000000"/>
                <w:kern w:val="0"/>
                <w:sz w:val="21"/>
                <w:szCs w:val="21"/>
              </w:rPr>
              <w:t xml:space="preserve">类别A ，加压气体 </w:t>
            </w:r>
          </w:p>
        </w:tc>
      </w:tr>
      <w:tr w14:paraId="1552F5B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restart"/>
            <w:noWrap w:val="0"/>
            <w:vAlign w:val="center"/>
          </w:tcPr>
          <w:p w14:paraId="0D7411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理化</w:t>
            </w:r>
          </w:p>
          <w:p w14:paraId="011810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性质</w:t>
            </w:r>
          </w:p>
        </w:tc>
        <w:tc>
          <w:tcPr>
            <w:tcW w:w="4650" w:type="pct"/>
            <w:gridSpan w:val="9"/>
            <w:noWrap w:val="0"/>
            <w:vAlign w:val="center"/>
          </w:tcPr>
          <w:p w14:paraId="2BA34E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外观与性状：无色无臭气体，工业品有使人不愉快的大蒜气味。</w:t>
            </w:r>
          </w:p>
        </w:tc>
      </w:tr>
      <w:tr w14:paraId="464F845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2FCFCF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2034" w:type="pct"/>
            <w:gridSpan w:val="5"/>
            <w:noWrap w:val="0"/>
            <w:vAlign w:val="center"/>
          </w:tcPr>
          <w:p w14:paraId="3D79F0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熔点（℃）：-81.8(119kPa)</w:t>
            </w:r>
          </w:p>
        </w:tc>
        <w:tc>
          <w:tcPr>
            <w:tcW w:w="2615" w:type="pct"/>
            <w:gridSpan w:val="4"/>
            <w:noWrap w:val="0"/>
            <w:vAlign w:val="center"/>
          </w:tcPr>
          <w:p w14:paraId="4AED99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沸点（℃）：-83.8</w:t>
            </w:r>
          </w:p>
        </w:tc>
      </w:tr>
      <w:tr w14:paraId="1CDCC04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27BAD4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2034" w:type="pct"/>
            <w:gridSpan w:val="5"/>
            <w:noWrap w:val="0"/>
            <w:vAlign w:val="center"/>
          </w:tcPr>
          <w:p w14:paraId="41EE36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临界温度（℃）：35.2</w:t>
            </w:r>
          </w:p>
        </w:tc>
        <w:tc>
          <w:tcPr>
            <w:tcW w:w="2615" w:type="pct"/>
            <w:gridSpan w:val="4"/>
            <w:noWrap w:val="0"/>
            <w:vAlign w:val="center"/>
          </w:tcPr>
          <w:p w14:paraId="45CC35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临界压力（MPa）：6.14</w:t>
            </w:r>
          </w:p>
        </w:tc>
      </w:tr>
      <w:tr w14:paraId="75D3A4D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0212A0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2034" w:type="pct"/>
            <w:gridSpan w:val="5"/>
            <w:noWrap w:val="0"/>
            <w:vAlign w:val="center"/>
          </w:tcPr>
          <w:p w14:paraId="21F776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eastAsia="zh-CN"/>
              </w:rPr>
              <w:t>饱和蒸汽</w:t>
            </w:r>
            <w:r>
              <w:rPr>
                <w:rFonts w:hint="eastAsia" w:ascii="宋体" w:hAnsi="宋体" w:eastAsia="宋体" w:cs="宋体"/>
                <w:color w:val="000000"/>
                <w:kern w:val="0"/>
                <w:sz w:val="21"/>
                <w:szCs w:val="21"/>
              </w:rPr>
              <w:t>压（KPa）：4053(16.8℃)</w:t>
            </w:r>
          </w:p>
        </w:tc>
        <w:tc>
          <w:tcPr>
            <w:tcW w:w="2615" w:type="pct"/>
            <w:gridSpan w:val="4"/>
            <w:noWrap w:val="0"/>
            <w:vAlign w:val="center"/>
          </w:tcPr>
          <w:p w14:paraId="561187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燃烧热 （KJ／mol）：1298.4</w:t>
            </w:r>
          </w:p>
        </w:tc>
      </w:tr>
      <w:tr w14:paraId="2D5A20B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692418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4650" w:type="pct"/>
            <w:gridSpan w:val="9"/>
            <w:noWrap w:val="0"/>
            <w:vAlign w:val="center"/>
          </w:tcPr>
          <w:p w14:paraId="3F9E85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相对密度（水＝1）：0.62 （空气＝1）：0.91</w:t>
            </w:r>
          </w:p>
        </w:tc>
      </w:tr>
      <w:tr w14:paraId="077DB7A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15BBC6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4650" w:type="pct"/>
            <w:gridSpan w:val="9"/>
            <w:noWrap w:val="0"/>
            <w:vAlign w:val="center"/>
          </w:tcPr>
          <w:p w14:paraId="2C1D0A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溶解性： 微溶于水、乙醇，溶于丙酮、氯仿、苯。</w:t>
            </w:r>
          </w:p>
        </w:tc>
      </w:tr>
      <w:tr w14:paraId="3669E4B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restart"/>
            <w:noWrap w:val="0"/>
            <w:vAlign w:val="center"/>
          </w:tcPr>
          <w:p w14:paraId="13A330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燃烧爆炸危险性</w:t>
            </w:r>
          </w:p>
        </w:tc>
        <w:tc>
          <w:tcPr>
            <w:tcW w:w="4650" w:type="pct"/>
            <w:gridSpan w:val="9"/>
            <w:noWrap w:val="0"/>
            <w:vAlign w:val="center"/>
          </w:tcPr>
          <w:p w14:paraId="55F2E3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燃烧性：本品易燃，具窒息性。</w:t>
            </w:r>
          </w:p>
        </w:tc>
      </w:tr>
      <w:tr w14:paraId="674C348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4793D9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2034" w:type="pct"/>
            <w:gridSpan w:val="5"/>
            <w:noWrap w:val="0"/>
            <w:vAlign w:val="center"/>
          </w:tcPr>
          <w:p w14:paraId="60196F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引燃温度（℃）： 305</w:t>
            </w:r>
          </w:p>
        </w:tc>
        <w:tc>
          <w:tcPr>
            <w:tcW w:w="2615" w:type="pct"/>
            <w:gridSpan w:val="4"/>
            <w:noWrap w:val="0"/>
            <w:vAlign w:val="center"/>
          </w:tcPr>
          <w:p w14:paraId="65FA0B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闪点（℃）</w:t>
            </w:r>
            <w:r>
              <w:rPr>
                <w:rFonts w:hint="eastAsia" w:ascii="宋体" w:hAnsi="宋体" w:eastAsia="宋体" w:cs="宋体"/>
                <w:color w:val="000000"/>
                <w:kern w:val="0"/>
                <w:sz w:val="21"/>
                <w:szCs w:val="21"/>
                <w:lang w:eastAsia="zh-CN"/>
              </w:rPr>
              <w:t>：</w:t>
            </w:r>
            <w:r>
              <w:rPr>
                <w:rFonts w:hint="eastAsia" w:ascii="宋体" w:hAnsi="宋体" w:eastAsia="宋体" w:cs="宋体"/>
                <w:color w:val="000000"/>
                <w:kern w:val="0"/>
                <w:sz w:val="21"/>
                <w:szCs w:val="21"/>
              </w:rPr>
              <w:t xml:space="preserve">        无意义</w:t>
            </w:r>
          </w:p>
        </w:tc>
      </w:tr>
      <w:tr w14:paraId="1742496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27C7CA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2034" w:type="pct"/>
            <w:gridSpan w:val="5"/>
            <w:noWrap w:val="0"/>
            <w:vAlign w:val="center"/>
          </w:tcPr>
          <w:p w14:paraId="1E0350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爆炸下限（%）：  2.1</w:t>
            </w:r>
          </w:p>
        </w:tc>
        <w:tc>
          <w:tcPr>
            <w:tcW w:w="2615" w:type="pct"/>
            <w:gridSpan w:val="4"/>
            <w:noWrap w:val="0"/>
            <w:vAlign w:val="center"/>
          </w:tcPr>
          <w:p w14:paraId="2D91C3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爆炸上限（%）：   80.0</w:t>
            </w:r>
          </w:p>
        </w:tc>
      </w:tr>
      <w:tr w14:paraId="3E2F179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571966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2034" w:type="pct"/>
            <w:gridSpan w:val="5"/>
            <w:noWrap w:val="0"/>
            <w:vAlign w:val="center"/>
          </w:tcPr>
          <w:p w14:paraId="62E8CA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最小点火能（mj）：无意义</w:t>
            </w:r>
          </w:p>
        </w:tc>
        <w:tc>
          <w:tcPr>
            <w:tcW w:w="2615" w:type="pct"/>
            <w:gridSpan w:val="4"/>
            <w:noWrap w:val="0"/>
            <w:vAlign w:val="center"/>
          </w:tcPr>
          <w:p w14:paraId="365EC0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最大爆炸压力</w:t>
            </w:r>
            <w:r>
              <w:rPr>
                <w:rFonts w:hint="eastAsia" w:cs="宋体"/>
                <w:color w:val="000000"/>
                <w:kern w:val="0"/>
                <w:sz w:val="21"/>
                <w:szCs w:val="21"/>
                <w:lang w:eastAsia="zh-CN"/>
              </w:rPr>
              <w:t>（</w:t>
            </w:r>
            <w:r>
              <w:rPr>
                <w:rFonts w:hint="eastAsia" w:ascii="宋体" w:hAnsi="宋体" w:eastAsia="宋体" w:cs="宋体"/>
                <w:color w:val="000000"/>
                <w:kern w:val="0"/>
                <w:sz w:val="21"/>
                <w:szCs w:val="21"/>
              </w:rPr>
              <w:t>MPa</w:t>
            </w:r>
            <w:r>
              <w:rPr>
                <w:rFonts w:hint="eastAsia" w:cs="宋体"/>
                <w:color w:val="000000"/>
                <w:kern w:val="0"/>
                <w:sz w:val="21"/>
                <w:szCs w:val="21"/>
                <w:lang w:eastAsia="zh-CN"/>
              </w:rPr>
              <w:t>）</w:t>
            </w:r>
            <w:r>
              <w:rPr>
                <w:rFonts w:hint="eastAsia" w:ascii="宋体" w:hAnsi="宋体" w:eastAsia="宋体" w:cs="宋体"/>
                <w:color w:val="000000"/>
                <w:kern w:val="0"/>
                <w:sz w:val="21"/>
                <w:szCs w:val="21"/>
              </w:rPr>
              <w:t>：无意义</w:t>
            </w:r>
          </w:p>
        </w:tc>
      </w:tr>
      <w:tr w14:paraId="1C723B3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476589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553" w:type="pct"/>
            <w:noWrap w:val="0"/>
            <w:vAlign w:val="center"/>
          </w:tcPr>
          <w:p w14:paraId="390C58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危险</w:t>
            </w:r>
          </w:p>
          <w:p w14:paraId="29A303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特性</w:t>
            </w:r>
          </w:p>
        </w:tc>
        <w:tc>
          <w:tcPr>
            <w:tcW w:w="4096" w:type="pct"/>
            <w:gridSpan w:val="8"/>
            <w:noWrap w:val="0"/>
            <w:vAlign w:val="center"/>
          </w:tcPr>
          <w:p w14:paraId="385243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极易燃烧爆炸。与空气混合能形成爆炸性混合物，遇明火、高热能引起燃烧爆炸。与氧化剂接触猛烈反应。与氟、氯等接触会发生剧烈的化学反应。能与铜、银、汞等的化合物生成爆炸性物质。</w:t>
            </w:r>
          </w:p>
        </w:tc>
      </w:tr>
      <w:tr w14:paraId="17B77F9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7F63AA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553" w:type="pct"/>
            <w:noWrap w:val="0"/>
            <w:vAlign w:val="center"/>
          </w:tcPr>
          <w:p w14:paraId="720AB0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禁配物</w:t>
            </w:r>
          </w:p>
        </w:tc>
        <w:tc>
          <w:tcPr>
            <w:tcW w:w="4096" w:type="pct"/>
            <w:gridSpan w:val="8"/>
            <w:noWrap w:val="0"/>
            <w:vAlign w:val="top"/>
          </w:tcPr>
          <w:p w14:paraId="440E76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强氧化剂、强酸、卤素。</w:t>
            </w:r>
          </w:p>
        </w:tc>
      </w:tr>
      <w:tr w14:paraId="643B1A4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051C8C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553" w:type="pct"/>
            <w:noWrap w:val="0"/>
            <w:vAlign w:val="center"/>
          </w:tcPr>
          <w:p w14:paraId="5C41E4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消防</w:t>
            </w:r>
          </w:p>
          <w:p w14:paraId="69EE16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措施</w:t>
            </w:r>
          </w:p>
        </w:tc>
        <w:tc>
          <w:tcPr>
            <w:tcW w:w="4096" w:type="pct"/>
            <w:gridSpan w:val="8"/>
            <w:noWrap w:val="0"/>
            <w:vAlign w:val="center"/>
          </w:tcPr>
          <w:p w14:paraId="11CBB4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切断气源。若不能切断气源，则不允许熄灭泄漏处的火焰。喷水冷却容器，可能的话将容器从火场移至空旷处。灭火剂：雾状水、泡沫、二氧化碳、干粉。</w:t>
            </w:r>
          </w:p>
        </w:tc>
      </w:tr>
      <w:tr w14:paraId="06C4DD3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restart"/>
            <w:noWrap w:val="0"/>
            <w:vAlign w:val="center"/>
          </w:tcPr>
          <w:p w14:paraId="329D3F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毒性</w:t>
            </w:r>
          </w:p>
        </w:tc>
        <w:tc>
          <w:tcPr>
            <w:tcW w:w="553" w:type="pct"/>
            <w:noWrap w:val="0"/>
            <w:vAlign w:val="center"/>
          </w:tcPr>
          <w:p w14:paraId="616D7A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急性</w:t>
            </w:r>
          </w:p>
          <w:p w14:paraId="279DF1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毒性</w:t>
            </w:r>
          </w:p>
        </w:tc>
        <w:tc>
          <w:tcPr>
            <w:tcW w:w="4096" w:type="pct"/>
            <w:gridSpan w:val="8"/>
            <w:noWrap w:val="0"/>
            <w:vAlign w:val="top"/>
          </w:tcPr>
          <w:p w14:paraId="62F2FC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LD</w:t>
            </w:r>
            <w:r>
              <w:rPr>
                <w:rFonts w:hint="eastAsia" w:ascii="宋体" w:hAnsi="宋体" w:eastAsia="宋体" w:cs="宋体"/>
                <w:color w:val="000000"/>
                <w:kern w:val="0"/>
                <w:sz w:val="21"/>
                <w:szCs w:val="21"/>
                <w:vertAlign w:val="subscript"/>
              </w:rPr>
              <w:t>50</w:t>
            </w:r>
            <w:r>
              <w:rPr>
                <w:rFonts w:hint="eastAsia" w:ascii="宋体" w:hAnsi="宋体" w:eastAsia="宋体" w:cs="宋体"/>
                <w:color w:val="000000"/>
                <w:kern w:val="0"/>
                <w:sz w:val="21"/>
                <w:szCs w:val="21"/>
              </w:rPr>
              <w:t xml:space="preserve"> ：无资料</w:t>
            </w:r>
          </w:p>
          <w:p w14:paraId="72F06B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LC</w:t>
            </w:r>
            <w:r>
              <w:rPr>
                <w:rFonts w:hint="eastAsia" w:ascii="宋体" w:hAnsi="宋体" w:eastAsia="宋体" w:cs="宋体"/>
                <w:color w:val="000000"/>
                <w:kern w:val="0"/>
                <w:sz w:val="21"/>
                <w:szCs w:val="21"/>
                <w:vertAlign w:val="subscript"/>
              </w:rPr>
              <w:t>50</w:t>
            </w:r>
            <w:r>
              <w:rPr>
                <w:rFonts w:hint="eastAsia" w:ascii="宋体" w:hAnsi="宋体" w:eastAsia="宋体" w:cs="宋体"/>
                <w:color w:val="000000"/>
                <w:kern w:val="0"/>
                <w:sz w:val="21"/>
                <w:szCs w:val="21"/>
              </w:rPr>
              <w:t xml:space="preserve"> ：无资料</w:t>
            </w:r>
          </w:p>
        </w:tc>
      </w:tr>
      <w:tr w14:paraId="7E3F3DE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79A187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553" w:type="pct"/>
            <w:noWrap w:val="0"/>
            <w:vAlign w:val="center"/>
          </w:tcPr>
          <w:p w14:paraId="6D8877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毒性</w:t>
            </w:r>
          </w:p>
        </w:tc>
        <w:tc>
          <w:tcPr>
            <w:tcW w:w="4096" w:type="pct"/>
            <w:gridSpan w:val="8"/>
            <w:noWrap w:val="0"/>
            <w:vAlign w:val="center"/>
          </w:tcPr>
          <w:p w14:paraId="462EA8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无资料</w:t>
            </w:r>
          </w:p>
        </w:tc>
      </w:tr>
      <w:tr w14:paraId="2EF2335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5E17FE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553" w:type="pct"/>
            <w:noWrap w:val="0"/>
            <w:vAlign w:val="center"/>
          </w:tcPr>
          <w:p w14:paraId="1A3D82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最高容</w:t>
            </w:r>
          </w:p>
          <w:p w14:paraId="074EE3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许浓度</w:t>
            </w:r>
          </w:p>
        </w:tc>
        <w:tc>
          <w:tcPr>
            <w:tcW w:w="4096" w:type="pct"/>
            <w:gridSpan w:val="8"/>
            <w:noWrap w:val="0"/>
            <w:vAlign w:val="center"/>
          </w:tcPr>
          <w:p w14:paraId="300209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中国MAC（mg/m</w:t>
            </w:r>
            <w:r>
              <w:rPr>
                <w:rFonts w:hint="eastAsia" w:ascii="宋体" w:hAnsi="宋体" w:eastAsia="宋体" w:cs="宋体"/>
                <w:color w:val="000000"/>
                <w:kern w:val="0"/>
                <w:sz w:val="21"/>
                <w:szCs w:val="21"/>
                <w:vertAlign w:val="superscript"/>
              </w:rPr>
              <w:t>3</w:t>
            </w:r>
            <w:r>
              <w:rPr>
                <w:rFonts w:hint="eastAsia" w:ascii="宋体" w:hAnsi="宋体" w:eastAsia="宋体" w:cs="宋体"/>
                <w:color w:val="000000"/>
                <w:kern w:val="0"/>
                <w:sz w:val="21"/>
                <w:szCs w:val="21"/>
              </w:rPr>
              <w:t>）：  未制定标准 前苏联MAC（mg/m</w:t>
            </w:r>
            <w:r>
              <w:rPr>
                <w:rFonts w:hint="eastAsia" w:ascii="宋体" w:hAnsi="宋体" w:eastAsia="宋体" w:cs="宋体"/>
                <w:color w:val="000000"/>
                <w:kern w:val="0"/>
                <w:sz w:val="21"/>
                <w:szCs w:val="21"/>
                <w:vertAlign w:val="superscript"/>
              </w:rPr>
              <w:t>3</w:t>
            </w:r>
            <w:r>
              <w:rPr>
                <w:rFonts w:hint="eastAsia" w:ascii="宋体" w:hAnsi="宋体" w:eastAsia="宋体" w:cs="宋体"/>
                <w:color w:val="000000"/>
                <w:kern w:val="0"/>
                <w:sz w:val="21"/>
                <w:szCs w:val="21"/>
              </w:rPr>
              <w:t>）：未制定标准</w:t>
            </w:r>
          </w:p>
          <w:p w14:paraId="1EE123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美国TVL-TWA        未制定标准 美国TVL-STEL       未制定标准</w:t>
            </w:r>
          </w:p>
        </w:tc>
      </w:tr>
      <w:tr w14:paraId="3FE0EBB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32CEA4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553" w:type="pct"/>
            <w:noWrap w:val="0"/>
            <w:vAlign w:val="center"/>
          </w:tcPr>
          <w:p w14:paraId="24EA47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健康</w:t>
            </w:r>
          </w:p>
          <w:p w14:paraId="476FE5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危害</w:t>
            </w:r>
          </w:p>
        </w:tc>
        <w:tc>
          <w:tcPr>
            <w:tcW w:w="4096" w:type="pct"/>
            <w:gridSpan w:val="8"/>
            <w:noWrap w:val="0"/>
            <w:vAlign w:val="center"/>
          </w:tcPr>
          <w:p w14:paraId="78410F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具有弱麻醉作用。高浓度吸入可引起单纯窒息。 急性中毒：暴露于20％浓度时，出现明显缺氧症状；吸入高浓度，初期兴奋、多语、哭笑不安，后出现眩晕、头痛、恶心、呕吐、共济失调、嗜睡；严重者昏迷、</w:t>
            </w:r>
            <w:r>
              <w:rPr>
                <w:rFonts w:hint="eastAsia" w:ascii="宋体" w:hAnsi="宋体" w:eastAsia="宋体" w:cs="宋体"/>
                <w:color w:val="000000"/>
                <w:kern w:val="0"/>
                <w:sz w:val="21"/>
                <w:szCs w:val="21"/>
                <w:lang w:eastAsia="zh-CN"/>
              </w:rPr>
              <w:t>发绀</w:t>
            </w:r>
            <w:r>
              <w:rPr>
                <w:rFonts w:hint="eastAsia" w:ascii="宋体" w:hAnsi="宋体" w:eastAsia="宋体" w:cs="宋体"/>
                <w:color w:val="000000"/>
                <w:kern w:val="0"/>
                <w:sz w:val="21"/>
                <w:szCs w:val="21"/>
              </w:rPr>
              <w:t>、瞳孔对光反应消失、脉弱而不齐。当混有磷化氢、硫化氢时，毒性增大，应予以注意。 </w:t>
            </w:r>
          </w:p>
        </w:tc>
      </w:tr>
      <w:tr w14:paraId="1ACA585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187CE8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553" w:type="pct"/>
            <w:noWrap w:val="0"/>
            <w:vAlign w:val="center"/>
          </w:tcPr>
          <w:p w14:paraId="3E7231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急救</w:t>
            </w:r>
          </w:p>
          <w:p w14:paraId="2E0FBD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措施</w:t>
            </w:r>
          </w:p>
        </w:tc>
        <w:tc>
          <w:tcPr>
            <w:tcW w:w="4096" w:type="pct"/>
            <w:gridSpan w:val="8"/>
            <w:noWrap w:val="0"/>
            <w:vAlign w:val="center"/>
          </w:tcPr>
          <w:p w14:paraId="271E06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迅速脱离现场至空气新鲜处。保持呼吸道通畅。如呼吸困难，给输氧。如呼吸停止，立即进行人工呼吸。就医。</w:t>
            </w:r>
          </w:p>
        </w:tc>
      </w:tr>
      <w:tr w14:paraId="43FCE1A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restart"/>
            <w:noWrap w:val="0"/>
            <w:vAlign w:val="center"/>
          </w:tcPr>
          <w:p w14:paraId="3B3B21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贮运条件</w:t>
            </w:r>
          </w:p>
        </w:tc>
        <w:tc>
          <w:tcPr>
            <w:tcW w:w="927" w:type="pct"/>
            <w:gridSpan w:val="2"/>
            <w:noWrap w:val="0"/>
            <w:vAlign w:val="center"/>
          </w:tcPr>
          <w:p w14:paraId="00A3AD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危规号：21024</w:t>
            </w:r>
          </w:p>
        </w:tc>
        <w:tc>
          <w:tcPr>
            <w:tcW w:w="905" w:type="pct"/>
            <w:gridSpan w:val="2"/>
            <w:noWrap w:val="0"/>
            <w:vAlign w:val="center"/>
          </w:tcPr>
          <w:p w14:paraId="3791F6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UN编号：1001</w:t>
            </w:r>
          </w:p>
        </w:tc>
        <w:tc>
          <w:tcPr>
            <w:tcW w:w="1474" w:type="pct"/>
            <w:gridSpan w:val="4"/>
            <w:noWrap w:val="0"/>
            <w:vAlign w:val="center"/>
          </w:tcPr>
          <w:p w14:paraId="3A562A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包装标志：</w:t>
            </w:r>
          </w:p>
        </w:tc>
        <w:tc>
          <w:tcPr>
            <w:tcW w:w="1342" w:type="pct"/>
            <w:noWrap w:val="0"/>
            <w:vAlign w:val="center"/>
          </w:tcPr>
          <w:p w14:paraId="18BEF3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包装类别：O52 </w:t>
            </w:r>
          </w:p>
        </w:tc>
      </w:tr>
      <w:tr w14:paraId="1BFB78D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vMerge w:val="continue"/>
            <w:noWrap w:val="0"/>
            <w:vAlign w:val="center"/>
          </w:tcPr>
          <w:p w14:paraId="22FF8D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4650" w:type="pct"/>
            <w:gridSpan w:val="9"/>
            <w:noWrap w:val="0"/>
            <w:vAlign w:val="center"/>
          </w:tcPr>
          <w:p w14:paraId="1DEE4B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乙炔的包装法通常是溶解在溶剂及多孔物中</w:t>
            </w:r>
            <w:r>
              <w:rPr>
                <w:rFonts w:hint="eastAsia" w:ascii="宋体" w:hAnsi="宋体" w:eastAsia="宋体" w:cs="宋体"/>
                <w:color w:val="000000"/>
                <w:kern w:val="0"/>
                <w:sz w:val="21"/>
                <w:szCs w:val="21"/>
                <w:lang w:eastAsia="zh-CN"/>
              </w:rPr>
              <w:t>，</w:t>
            </w:r>
            <w:r>
              <w:rPr>
                <w:rFonts w:hint="eastAsia" w:ascii="宋体" w:hAnsi="宋体" w:eastAsia="宋体" w:cs="宋体"/>
                <w:color w:val="000000"/>
                <w:kern w:val="0"/>
                <w:sz w:val="21"/>
                <w:szCs w:val="21"/>
              </w:rPr>
              <w:t xml:space="preserve"> 装入钢瓶内。储存于阴凉、通风的库房。远离火种、热源。库温不宜超过30℃。应与氧化剂、酸类、卤素分开存放，切忌混储。采用防爆型照明、通风设施。禁止使用易产生火花的机械设备和工具。储区应备有泄漏应急处理设备。</w:t>
            </w:r>
          </w:p>
        </w:tc>
      </w:tr>
      <w:tr w14:paraId="4891E80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9" w:type="pct"/>
            <w:noWrap w:val="0"/>
            <w:vAlign w:val="center"/>
          </w:tcPr>
          <w:p w14:paraId="2A4C75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泄漏应急处理</w:t>
            </w:r>
          </w:p>
        </w:tc>
        <w:tc>
          <w:tcPr>
            <w:tcW w:w="4650" w:type="pct"/>
            <w:gridSpan w:val="9"/>
            <w:noWrap w:val="0"/>
            <w:vAlign w:val="center"/>
          </w:tcPr>
          <w:p w14:paraId="143D49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迅速撤离泄漏污染区人员至上风处，并进行隔离，严格限制出入。切断火源。建议应急处理人员戴自给正压式呼吸器，穿防静电工作服。尽可能切断泄漏源。合理通风，加速扩散。喷雾状水稀释、溶解。构筑围堤或挖坑收容产生的大量废水。如有可能，将漏出气用排风机送至空旷地方或装设适当喷头烧掉。漏气容器要妥善处理，修复、检验后再用。</w:t>
            </w:r>
          </w:p>
        </w:tc>
      </w:tr>
    </w:tbl>
    <w:p w14:paraId="4E7A37BD">
      <w:pPr>
        <w:keepNext w:val="0"/>
        <w:keepLines w:val="0"/>
        <w:pageBreakBefore w:val="0"/>
        <w:widowControl w:val="0"/>
        <w:kinsoku/>
        <w:bidi w:val="0"/>
        <w:spacing w:before="50" w:beforeLines="50" w:line="240" w:lineRule="auto"/>
        <w:ind w:left="0" w:leftChars="0" w:right="0" w:rightChars="0" w:firstLine="0" w:firstLineChars="0"/>
        <w:jc w:val="center"/>
        <w:rPr>
          <w:rFonts w:hint="eastAsia" w:cs="Times New Roman"/>
          <w:b/>
          <w:kern w:val="2"/>
          <w:sz w:val="24"/>
          <w:szCs w:val="24"/>
          <w:lang w:val="en-US" w:eastAsia="zh-CN" w:bidi="ar-SA"/>
        </w:rPr>
      </w:pPr>
      <w:r>
        <w:rPr>
          <w:rFonts w:hint="eastAsia" w:ascii="宋体" w:hAnsi="宋体" w:eastAsia="宋体" w:cs="Times New Roman"/>
          <w:b/>
          <w:kern w:val="2"/>
          <w:sz w:val="24"/>
          <w:szCs w:val="24"/>
          <w:lang w:val="en-US" w:eastAsia="zh-CN" w:bidi="ar-SA"/>
        </w:rPr>
        <w:t xml:space="preserve">表 </w:t>
      </w:r>
      <w:r>
        <w:rPr>
          <w:rFonts w:hint="eastAsia" w:ascii="宋体" w:hAnsi="宋体" w:eastAsia="宋体" w:cs="Times New Roman"/>
          <w:b/>
          <w:kern w:val="2"/>
          <w:sz w:val="24"/>
          <w:szCs w:val="24"/>
          <w:lang w:val="en-US" w:eastAsia="zh-CN" w:bidi="ar-SA"/>
        </w:rPr>
        <w:fldChar w:fldCharType="begin"/>
      </w:r>
      <w:r>
        <w:rPr>
          <w:rFonts w:hint="eastAsia" w:ascii="宋体" w:hAnsi="宋体" w:eastAsia="宋体" w:cs="Times New Roman"/>
          <w:b/>
          <w:kern w:val="2"/>
          <w:sz w:val="24"/>
          <w:szCs w:val="24"/>
          <w:lang w:val="en-US" w:eastAsia="zh-CN" w:bidi="ar-SA"/>
        </w:rPr>
        <w:instrText xml:space="preserve"> STYLEREF 1 \s </w:instrText>
      </w:r>
      <w:r>
        <w:rPr>
          <w:rFonts w:hint="eastAsia" w:ascii="宋体" w:hAnsi="宋体" w:eastAsia="宋体" w:cs="Times New Roman"/>
          <w:b/>
          <w:kern w:val="2"/>
          <w:sz w:val="24"/>
          <w:szCs w:val="24"/>
          <w:lang w:val="en-US" w:eastAsia="zh-CN" w:bidi="ar-SA"/>
        </w:rPr>
        <w:fldChar w:fldCharType="separate"/>
      </w:r>
      <w:r>
        <w:rPr>
          <w:rFonts w:hint="eastAsia" w:ascii="宋体" w:hAnsi="宋体" w:eastAsia="宋体" w:cs="Times New Roman"/>
          <w:b/>
          <w:kern w:val="2"/>
          <w:sz w:val="24"/>
          <w:szCs w:val="24"/>
          <w:lang w:val="en-US" w:eastAsia="zh-CN" w:bidi="ar-SA"/>
        </w:rPr>
        <w:t>3</w:t>
      </w:r>
      <w:r>
        <w:rPr>
          <w:rFonts w:hint="eastAsia" w:ascii="宋体" w:hAnsi="宋体" w:eastAsia="宋体" w:cs="Times New Roman"/>
          <w:b/>
          <w:kern w:val="2"/>
          <w:sz w:val="24"/>
          <w:szCs w:val="24"/>
          <w:lang w:val="en-US" w:eastAsia="zh-CN" w:bidi="ar-SA"/>
        </w:rPr>
        <w:fldChar w:fldCharType="end"/>
      </w:r>
      <w:r>
        <w:rPr>
          <w:rFonts w:hint="eastAsia" w:ascii="宋体" w:hAnsi="宋体" w:eastAsia="宋体" w:cs="Times New Roman"/>
          <w:b/>
          <w:kern w:val="2"/>
          <w:sz w:val="24"/>
          <w:szCs w:val="24"/>
          <w:lang w:val="en-US" w:eastAsia="zh-CN" w:bidi="ar-SA"/>
        </w:rPr>
        <w:t>-</w:t>
      </w:r>
      <w:r>
        <w:rPr>
          <w:rFonts w:hint="eastAsia" w:ascii="宋体" w:hAnsi="宋体" w:eastAsia="宋体" w:cs="Times New Roman"/>
          <w:b/>
          <w:kern w:val="2"/>
          <w:sz w:val="24"/>
          <w:szCs w:val="24"/>
          <w:lang w:val="en-US" w:eastAsia="zh-CN" w:bidi="ar-SA"/>
        </w:rPr>
        <w:fldChar w:fldCharType="begin"/>
      </w:r>
      <w:r>
        <w:rPr>
          <w:rFonts w:hint="eastAsia" w:ascii="宋体" w:hAnsi="宋体" w:eastAsia="宋体" w:cs="Times New Roman"/>
          <w:b/>
          <w:kern w:val="2"/>
          <w:sz w:val="24"/>
          <w:szCs w:val="24"/>
          <w:lang w:val="en-US" w:eastAsia="zh-CN" w:bidi="ar-SA"/>
        </w:rPr>
        <w:instrText xml:space="preserve"> SEQ 表 \* ARABIC \s 1 </w:instrText>
      </w:r>
      <w:r>
        <w:rPr>
          <w:rFonts w:hint="eastAsia" w:ascii="宋体" w:hAnsi="宋体" w:eastAsia="宋体" w:cs="Times New Roman"/>
          <w:b/>
          <w:kern w:val="2"/>
          <w:sz w:val="24"/>
          <w:szCs w:val="24"/>
          <w:lang w:val="en-US" w:eastAsia="zh-CN" w:bidi="ar-SA"/>
        </w:rPr>
        <w:fldChar w:fldCharType="separate"/>
      </w:r>
      <w:r>
        <w:rPr>
          <w:rFonts w:hint="eastAsia" w:ascii="宋体" w:hAnsi="宋体" w:eastAsia="宋体" w:cs="Times New Roman"/>
          <w:b/>
          <w:kern w:val="2"/>
          <w:sz w:val="24"/>
          <w:szCs w:val="24"/>
          <w:lang w:val="en-US" w:eastAsia="zh-CN" w:bidi="ar-SA"/>
        </w:rPr>
        <w:t>4</w:t>
      </w:r>
      <w:r>
        <w:rPr>
          <w:rFonts w:hint="eastAsia" w:ascii="宋体" w:hAnsi="宋体" w:eastAsia="宋体" w:cs="Times New Roman"/>
          <w:b/>
          <w:kern w:val="2"/>
          <w:sz w:val="24"/>
          <w:szCs w:val="24"/>
          <w:lang w:val="en-US" w:eastAsia="zh-CN" w:bidi="ar-SA"/>
        </w:rPr>
        <w:fldChar w:fldCharType="end"/>
      </w:r>
      <w:r>
        <w:rPr>
          <w:rFonts w:hint="eastAsia" w:ascii="宋体" w:hAnsi="宋体" w:eastAsia="宋体" w:cs="Times New Roman"/>
          <w:b/>
          <w:kern w:val="2"/>
          <w:sz w:val="24"/>
          <w:szCs w:val="24"/>
          <w:lang w:val="en-US" w:eastAsia="zh-CN" w:bidi="ar-SA"/>
        </w:rPr>
        <w:t xml:space="preserve">  </w:t>
      </w:r>
      <w:r>
        <w:rPr>
          <w:rFonts w:hint="eastAsia" w:ascii="宋体" w:hAnsi="宋体" w:cs="Times New Roman"/>
          <w:b/>
          <w:kern w:val="2"/>
          <w:sz w:val="24"/>
          <w:szCs w:val="24"/>
          <w:lang w:val="en-US" w:eastAsia="zh-CN" w:bidi="ar-SA"/>
        </w:rPr>
        <w:t>危险化学品理化特性及危险特性</w:t>
      </w:r>
      <w:r>
        <w:rPr>
          <w:rFonts w:hint="eastAsia" w:cs="Times New Roman"/>
          <w:b/>
          <w:kern w:val="2"/>
          <w:sz w:val="24"/>
          <w:szCs w:val="24"/>
          <w:lang w:val="en-US" w:eastAsia="zh-CN" w:bidi="ar-SA"/>
        </w:rPr>
        <w:t>（柴油）</w:t>
      </w:r>
    </w:p>
    <w:tbl>
      <w:tblPr>
        <w:tblStyle w:val="32"/>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33"/>
        <w:gridCol w:w="2422"/>
        <w:gridCol w:w="522"/>
        <w:gridCol w:w="494"/>
        <w:gridCol w:w="1164"/>
        <w:gridCol w:w="977"/>
        <w:gridCol w:w="2509"/>
      </w:tblGrid>
      <w:tr w14:paraId="44D69A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restart"/>
            <w:tcBorders>
              <w:tl2br w:val="nil"/>
              <w:tr2bl w:val="nil"/>
            </w:tcBorders>
            <w:noWrap w:val="0"/>
            <w:vAlign w:val="center"/>
          </w:tcPr>
          <w:p w14:paraId="4CD633A4">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r>
              <w:rPr>
                <w:rFonts w:hint="eastAsia" w:ascii="宋体" w:hAnsi="宋体" w:eastAsia="宋体" w:cs="宋体"/>
                <w:b/>
                <w:bCs w:val="0"/>
                <w:kern w:val="2"/>
                <w:sz w:val="21"/>
                <w:szCs w:val="21"/>
                <w:lang w:val="en-US" w:eastAsia="zh-CN" w:bidi="ar-SA"/>
              </w:rPr>
              <w:t>标识</w:t>
            </w:r>
          </w:p>
        </w:tc>
        <w:tc>
          <w:tcPr>
            <w:tcW w:w="2017" w:type="pct"/>
            <w:gridSpan w:val="3"/>
            <w:tcBorders>
              <w:tl2br w:val="nil"/>
              <w:tr2bl w:val="nil"/>
            </w:tcBorders>
            <w:noWrap w:val="0"/>
            <w:vAlign w:val="top"/>
          </w:tcPr>
          <w:p w14:paraId="0FCFCF64">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中文名：柴油</w:t>
            </w:r>
          </w:p>
        </w:tc>
        <w:tc>
          <w:tcPr>
            <w:tcW w:w="2727" w:type="pct"/>
            <w:gridSpan w:val="3"/>
            <w:tcBorders>
              <w:tl2br w:val="nil"/>
              <w:tr2bl w:val="nil"/>
            </w:tcBorders>
            <w:noWrap w:val="0"/>
            <w:vAlign w:val="top"/>
          </w:tcPr>
          <w:p w14:paraId="6437D18D">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英文名：Diesel oil； Diesel fuel</w:t>
            </w:r>
          </w:p>
        </w:tc>
      </w:tr>
      <w:tr w14:paraId="2064A2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continue"/>
            <w:tcBorders>
              <w:tl2br w:val="nil"/>
              <w:tr2bl w:val="nil"/>
            </w:tcBorders>
            <w:noWrap w:val="0"/>
            <w:vAlign w:val="center"/>
          </w:tcPr>
          <w:p w14:paraId="5C7A7523">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p>
        </w:tc>
        <w:tc>
          <w:tcPr>
            <w:tcW w:w="1727" w:type="pct"/>
            <w:gridSpan w:val="2"/>
            <w:tcBorders>
              <w:tl2br w:val="nil"/>
              <w:tr2bl w:val="nil"/>
            </w:tcBorders>
            <w:noWrap w:val="0"/>
            <w:vAlign w:val="top"/>
          </w:tcPr>
          <w:p w14:paraId="012953A6">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分子式：</w:t>
            </w:r>
          </w:p>
        </w:tc>
        <w:tc>
          <w:tcPr>
            <w:tcW w:w="1546" w:type="pct"/>
            <w:gridSpan w:val="3"/>
            <w:tcBorders>
              <w:tl2br w:val="nil"/>
              <w:tr2bl w:val="nil"/>
            </w:tcBorders>
            <w:noWrap w:val="0"/>
            <w:vAlign w:val="top"/>
          </w:tcPr>
          <w:p w14:paraId="3F4476ED">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分子量：</w:t>
            </w:r>
          </w:p>
        </w:tc>
        <w:tc>
          <w:tcPr>
            <w:tcW w:w="1471" w:type="pct"/>
            <w:tcBorders>
              <w:tl2br w:val="nil"/>
              <w:tr2bl w:val="nil"/>
            </w:tcBorders>
            <w:noWrap w:val="0"/>
            <w:vAlign w:val="top"/>
          </w:tcPr>
          <w:p w14:paraId="389399BA">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CAS号：68334-30-5</w:t>
            </w:r>
          </w:p>
        </w:tc>
      </w:tr>
      <w:tr w14:paraId="6F38C0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continue"/>
            <w:tcBorders>
              <w:tl2br w:val="nil"/>
              <w:tr2bl w:val="nil"/>
            </w:tcBorders>
            <w:noWrap w:val="0"/>
            <w:vAlign w:val="center"/>
          </w:tcPr>
          <w:p w14:paraId="4037EFCE">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p>
        </w:tc>
        <w:tc>
          <w:tcPr>
            <w:tcW w:w="4745" w:type="pct"/>
            <w:gridSpan w:val="6"/>
            <w:tcBorders>
              <w:tl2br w:val="nil"/>
              <w:tr2bl w:val="nil"/>
            </w:tcBorders>
            <w:noWrap w:val="0"/>
            <w:vAlign w:val="top"/>
          </w:tcPr>
          <w:p w14:paraId="059CB37C">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危规号：</w:t>
            </w:r>
          </w:p>
        </w:tc>
      </w:tr>
      <w:tr w14:paraId="23B00E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restart"/>
            <w:tcBorders>
              <w:tl2br w:val="nil"/>
              <w:tr2bl w:val="nil"/>
            </w:tcBorders>
            <w:noWrap w:val="0"/>
            <w:vAlign w:val="center"/>
          </w:tcPr>
          <w:p w14:paraId="7895F9D2">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r>
              <w:rPr>
                <w:rFonts w:hint="eastAsia" w:ascii="宋体" w:hAnsi="宋体" w:eastAsia="宋体" w:cs="宋体"/>
                <w:b/>
                <w:bCs w:val="0"/>
                <w:kern w:val="2"/>
                <w:sz w:val="21"/>
                <w:szCs w:val="21"/>
                <w:lang w:val="en-US" w:eastAsia="zh-CN" w:bidi="ar-SA"/>
              </w:rPr>
              <w:t>理化性质</w:t>
            </w:r>
          </w:p>
        </w:tc>
        <w:tc>
          <w:tcPr>
            <w:tcW w:w="4745" w:type="pct"/>
            <w:gridSpan w:val="6"/>
            <w:tcBorders>
              <w:tl2br w:val="nil"/>
              <w:tr2bl w:val="nil"/>
            </w:tcBorders>
            <w:noWrap w:val="0"/>
            <w:vAlign w:val="top"/>
          </w:tcPr>
          <w:p w14:paraId="45FA498F">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性状：稍有黏性的棕色液体。</w:t>
            </w:r>
          </w:p>
        </w:tc>
      </w:tr>
      <w:tr w14:paraId="3956C6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continue"/>
            <w:tcBorders>
              <w:tl2br w:val="nil"/>
              <w:tr2bl w:val="nil"/>
            </w:tcBorders>
            <w:noWrap w:val="0"/>
            <w:vAlign w:val="center"/>
          </w:tcPr>
          <w:p w14:paraId="2AEB1317">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p>
        </w:tc>
        <w:tc>
          <w:tcPr>
            <w:tcW w:w="4745" w:type="pct"/>
            <w:gridSpan w:val="6"/>
            <w:tcBorders>
              <w:tl2br w:val="nil"/>
              <w:tr2bl w:val="nil"/>
            </w:tcBorders>
            <w:noWrap w:val="0"/>
            <w:vAlign w:val="top"/>
          </w:tcPr>
          <w:p w14:paraId="1CF6CC54">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溶解性：与水混溶，可混溶于乙醇。</w:t>
            </w:r>
          </w:p>
        </w:tc>
      </w:tr>
      <w:tr w14:paraId="306D18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continue"/>
            <w:tcBorders>
              <w:tl2br w:val="nil"/>
              <w:tr2bl w:val="nil"/>
            </w:tcBorders>
            <w:noWrap w:val="0"/>
            <w:vAlign w:val="center"/>
          </w:tcPr>
          <w:p w14:paraId="72F6AC00">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p>
        </w:tc>
        <w:tc>
          <w:tcPr>
            <w:tcW w:w="1421" w:type="pct"/>
            <w:tcBorders>
              <w:tl2br w:val="nil"/>
              <w:tr2bl w:val="nil"/>
            </w:tcBorders>
            <w:noWrap w:val="0"/>
            <w:vAlign w:val="top"/>
          </w:tcPr>
          <w:p w14:paraId="02468CC5">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凝点（℃）：不高于0</w:t>
            </w:r>
          </w:p>
        </w:tc>
        <w:tc>
          <w:tcPr>
            <w:tcW w:w="1279" w:type="pct"/>
            <w:gridSpan w:val="3"/>
            <w:tcBorders>
              <w:tl2br w:val="nil"/>
              <w:tr2bl w:val="nil"/>
            </w:tcBorders>
            <w:noWrap w:val="0"/>
            <w:vAlign w:val="top"/>
          </w:tcPr>
          <w:p w14:paraId="37000139">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沸点（℃）：282－338</w:t>
            </w:r>
          </w:p>
        </w:tc>
        <w:tc>
          <w:tcPr>
            <w:tcW w:w="2044" w:type="pct"/>
            <w:gridSpan w:val="2"/>
            <w:tcBorders>
              <w:tl2br w:val="nil"/>
              <w:tr2bl w:val="nil"/>
            </w:tcBorders>
            <w:noWrap w:val="0"/>
            <w:vAlign w:val="top"/>
          </w:tcPr>
          <w:p w14:paraId="421AD7EA">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密度（20℃</w:t>
            </w:r>
            <w:r>
              <w:rPr>
                <w:rFonts w:hint="eastAsia" w:cs="宋体"/>
                <w:bCs/>
                <w:kern w:val="2"/>
                <w:sz w:val="21"/>
                <w:szCs w:val="21"/>
                <w:lang w:val="en-US" w:eastAsia="zh-CN" w:bidi="ar-SA"/>
              </w:rPr>
              <w:t>）</w:t>
            </w:r>
            <w:r>
              <w:rPr>
                <w:rFonts w:hint="eastAsia" w:ascii="宋体" w:hAnsi="宋体" w:eastAsia="宋体" w:cs="宋体"/>
                <w:bCs/>
                <w:kern w:val="2"/>
                <w:sz w:val="21"/>
                <w:szCs w:val="21"/>
                <w:lang w:val="en-US" w:eastAsia="zh-CN" w:bidi="ar-SA"/>
              </w:rPr>
              <w:t>810-850</w:t>
            </w:r>
            <w:r>
              <w:rPr>
                <w:rFonts w:hint="eastAsia" w:cs="宋体"/>
                <w:bCs/>
                <w:kern w:val="2"/>
                <w:sz w:val="21"/>
                <w:szCs w:val="21"/>
                <w:lang w:val="en-US" w:eastAsia="zh-CN" w:bidi="ar-SA"/>
              </w:rPr>
              <w:t>（</w:t>
            </w:r>
            <w:r>
              <w:rPr>
                <w:rFonts w:hint="eastAsia" w:ascii="宋体" w:hAnsi="宋体" w:eastAsia="宋体" w:cs="宋体"/>
                <w:bCs/>
                <w:kern w:val="2"/>
                <w:sz w:val="21"/>
                <w:szCs w:val="21"/>
                <w:lang w:val="en-US" w:eastAsia="zh-CN" w:bidi="ar-SA"/>
              </w:rPr>
              <w:t>kg/m3）</w:t>
            </w:r>
          </w:p>
        </w:tc>
      </w:tr>
      <w:tr w14:paraId="1D729C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continue"/>
            <w:tcBorders>
              <w:tl2br w:val="nil"/>
              <w:tr2bl w:val="nil"/>
            </w:tcBorders>
            <w:noWrap w:val="0"/>
            <w:vAlign w:val="center"/>
          </w:tcPr>
          <w:p w14:paraId="3108EF5D">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p>
        </w:tc>
        <w:tc>
          <w:tcPr>
            <w:tcW w:w="1421" w:type="pct"/>
            <w:tcBorders>
              <w:tl2br w:val="nil"/>
              <w:tr2bl w:val="nil"/>
            </w:tcBorders>
            <w:noWrap w:val="0"/>
            <w:vAlign w:val="top"/>
          </w:tcPr>
          <w:p w14:paraId="03741A18">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临界温度（℃）：</w:t>
            </w:r>
          </w:p>
        </w:tc>
        <w:tc>
          <w:tcPr>
            <w:tcW w:w="1279" w:type="pct"/>
            <w:gridSpan w:val="3"/>
            <w:tcBorders>
              <w:tl2br w:val="nil"/>
              <w:tr2bl w:val="nil"/>
            </w:tcBorders>
            <w:noWrap w:val="0"/>
            <w:vAlign w:val="top"/>
          </w:tcPr>
          <w:p w14:paraId="247E41CE">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临界压力（MPa）：</w:t>
            </w:r>
          </w:p>
        </w:tc>
        <w:tc>
          <w:tcPr>
            <w:tcW w:w="2044" w:type="pct"/>
            <w:gridSpan w:val="2"/>
            <w:tcBorders>
              <w:tl2br w:val="nil"/>
              <w:tr2bl w:val="nil"/>
            </w:tcBorders>
            <w:noWrap w:val="0"/>
            <w:vAlign w:val="top"/>
          </w:tcPr>
          <w:p w14:paraId="694E6E13">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相对密度（空气＝1）：3.38</w:t>
            </w:r>
          </w:p>
        </w:tc>
      </w:tr>
      <w:tr w14:paraId="623D71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continue"/>
            <w:tcBorders>
              <w:tl2br w:val="nil"/>
              <w:tr2bl w:val="nil"/>
            </w:tcBorders>
            <w:noWrap w:val="0"/>
            <w:vAlign w:val="center"/>
          </w:tcPr>
          <w:p w14:paraId="426BC5F5">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p>
        </w:tc>
        <w:tc>
          <w:tcPr>
            <w:tcW w:w="1421" w:type="pct"/>
            <w:tcBorders>
              <w:tl2br w:val="nil"/>
              <w:tr2bl w:val="nil"/>
            </w:tcBorders>
            <w:noWrap w:val="0"/>
            <w:vAlign w:val="top"/>
          </w:tcPr>
          <w:p w14:paraId="17A92EF8">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燃烧热（kJ/mol）：</w:t>
            </w:r>
          </w:p>
        </w:tc>
        <w:tc>
          <w:tcPr>
            <w:tcW w:w="1279" w:type="pct"/>
            <w:gridSpan w:val="3"/>
            <w:tcBorders>
              <w:tl2br w:val="nil"/>
              <w:tr2bl w:val="nil"/>
            </w:tcBorders>
            <w:noWrap w:val="0"/>
            <w:vAlign w:val="top"/>
          </w:tcPr>
          <w:p w14:paraId="199C9FBC">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最小点火能（mJ）：</w:t>
            </w:r>
          </w:p>
        </w:tc>
        <w:tc>
          <w:tcPr>
            <w:tcW w:w="2044" w:type="pct"/>
            <w:gridSpan w:val="2"/>
            <w:tcBorders>
              <w:tl2br w:val="nil"/>
              <w:tr2bl w:val="nil"/>
            </w:tcBorders>
            <w:noWrap w:val="0"/>
            <w:vAlign w:val="top"/>
          </w:tcPr>
          <w:p w14:paraId="680CEA52">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饱和蒸汽压（KPa）：0.67（25℃，纯品）</w:t>
            </w:r>
          </w:p>
        </w:tc>
      </w:tr>
      <w:tr w14:paraId="654067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restart"/>
            <w:tcBorders>
              <w:tl2br w:val="nil"/>
              <w:tr2bl w:val="nil"/>
            </w:tcBorders>
            <w:noWrap w:val="0"/>
            <w:vAlign w:val="center"/>
          </w:tcPr>
          <w:p w14:paraId="4F6AF221">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r>
              <w:rPr>
                <w:rFonts w:hint="eastAsia" w:ascii="宋体" w:hAnsi="宋体" w:eastAsia="宋体" w:cs="宋体"/>
                <w:b/>
                <w:bCs w:val="0"/>
                <w:kern w:val="2"/>
                <w:sz w:val="21"/>
                <w:szCs w:val="21"/>
                <w:lang w:val="en-US" w:eastAsia="zh-CN" w:bidi="ar-SA"/>
              </w:rPr>
              <w:t>燃烧爆炸危险性</w:t>
            </w:r>
          </w:p>
        </w:tc>
        <w:tc>
          <w:tcPr>
            <w:tcW w:w="1727" w:type="pct"/>
            <w:gridSpan w:val="2"/>
            <w:tcBorders>
              <w:tl2br w:val="nil"/>
              <w:tr2bl w:val="nil"/>
            </w:tcBorders>
            <w:noWrap w:val="0"/>
            <w:vAlign w:val="top"/>
          </w:tcPr>
          <w:p w14:paraId="4DF27109">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燃烧性：可燃</w:t>
            </w:r>
          </w:p>
        </w:tc>
        <w:tc>
          <w:tcPr>
            <w:tcW w:w="3017" w:type="pct"/>
            <w:gridSpan w:val="4"/>
            <w:tcBorders>
              <w:tl2br w:val="nil"/>
              <w:tr2bl w:val="nil"/>
            </w:tcBorders>
            <w:noWrap w:val="0"/>
            <w:vAlign w:val="top"/>
          </w:tcPr>
          <w:p w14:paraId="6CF60A04">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 xml:space="preserve">燃烧分解产物：一氧化碳、二氧化碳。 </w:t>
            </w:r>
          </w:p>
        </w:tc>
      </w:tr>
      <w:tr w14:paraId="5B81D3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continue"/>
            <w:tcBorders>
              <w:tl2br w:val="nil"/>
              <w:tr2bl w:val="nil"/>
            </w:tcBorders>
            <w:noWrap w:val="0"/>
            <w:vAlign w:val="center"/>
          </w:tcPr>
          <w:p w14:paraId="2A18A178">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p>
        </w:tc>
        <w:tc>
          <w:tcPr>
            <w:tcW w:w="1727" w:type="pct"/>
            <w:gridSpan w:val="2"/>
            <w:tcBorders>
              <w:tl2br w:val="nil"/>
              <w:tr2bl w:val="nil"/>
            </w:tcBorders>
            <w:noWrap w:val="0"/>
            <w:vAlign w:val="top"/>
          </w:tcPr>
          <w:p w14:paraId="5A8F40F3">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闪点（℃）：不低于60</w:t>
            </w:r>
          </w:p>
        </w:tc>
        <w:tc>
          <w:tcPr>
            <w:tcW w:w="3017" w:type="pct"/>
            <w:gridSpan w:val="4"/>
            <w:tcBorders>
              <w:tl2br w:val="nil"/>
              <w:tr2bl w:val="nil"/>
            </w:tcBorders>
            <w:noWrap w:val="0"/>
            <w:vAlign w:val="top"/>
          </w:tcPr>
          <w:p w14:paraId="5B4F8E6A">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聚合危害：不聚合</w:t>
            </w:r>
          </w:p>
        </w:tc>
      </w:tr>
      <w:tr w14:paraId="706B90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continue"/>
            <w:tcBorders>
              <w:tl2br w:val="nil"/>
              <w:tr2bl w:val="nil"/>
            </w:tcBorders>
            <w:noWrap w:val="0"/>
            <w:vAlign w:val="center"/>
          </w:tcPr>
          <w:p w14:paraId="0FBA9EF5">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p>
        </w:tc>
        <w:tc>
          <w:tcPr>
            <w:tcW w:w="1727" w:type="pct"/>
            <w:gridSpan w:val="2"/>
            <w:tcBorders>
              <w:tl2br w:val="nil"/>
              <w:tr2bl w:val="nil"/>
            </w:tcBorders>
            <w:noWrap w:val="0"/>
            <w:vAlign w:val="top"/>
          </w:tcPr>
          <w:p w14:paraId="3D3F254C">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爆炸下限（％）：约0.6</w:t>
            </w:r>
          </w:p>
        </w:tc>
        <w:tc>
          <w:tcPr>
            <w:tcW w:w="3017" w:type="pct"/>
            <w:gridSpan w:val="4"/>
            <w:tcBorders>
              <w:tl2br w:val="nil"/>
              <w:tr2bl w:val="nil"/>
            </w:tcBorders>
            <w:noWrap w:val="0"/>
            <w:vAlign w:val="top"/>
          </w:tcPr>
          <w:p w14:paraId="2D129C8F">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稳定性：稳定</w:t>
            </w:r>
          </w:p>
        </w:tc>
      </w:tr>
      <w:tr w14:paraId="2F78CE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continue"/>
            <w:tcBorders>
              <w:tl2br w:val="nil"/>
              <w:tr2bl w:val="nil"/>
            </w:tcBorders>
            <w:noWrap w:val="0"/>
            <w:vAlign w:val="center"/>
          </w:tcPr>
          <w:p w14:paraId="2D762981">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p>
        </w:tc>
        <w:tc>
          <w:tcPr>
            <w:tcW w:w="1727" w:type="pct"/>
            <w:gridSpan w:val="2"/>
            <w:tcBorders>
              <w:tl2br w:val="nil"/>
              <w:tr2bl w:val="nil"/>
            </w:tcBorders>
            <w:noWrap w:val="0"/>
            <w:vAlign w:val="top"/>
          </w:tcPr>
          <w:p w14:paraId="7894838D">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爆炸上限（％）：约7.5</w:t>
            </w:r>
          </w:p>
        </w:tc>
        <w:tc>
          <w:tcPr>
            <w:tcW w:w="3017" w:type="pct"/>
            <w:gridSpan w:val="4"/>
            <w:tcBorders>
              <w:tl2br w:val="nil"/>
              <w:tr2bl w:val="nil"/>
            </w:tcBorders>
            <w:noWrap w:val="0"/>
            <w:vAlign w:val="top"/>
          </w:tcPr>
          <w:p w14:paraId="39A60DCF">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最大爆炸压力（MPa）：无资料</w:t>
            </w:r>
          </w:p>
        </w:tc>
      </w:tr>
      <w:tr w14:paraId="600F4C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continue"/>
            <w:tcBorders>
              <w:tl2br w:val="nil"/>
              <w:tr2bl w:val="nil"/>
            </w:tcBorders>
            <w:noWrap w:val="0"/>
            <w:vAlign w:val="center"/>
          </w:tcPr>
          <w:p w14:paraId="5B6EB350">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p>
        </w:tc>
        <w:tc>
          <w:tcPr>
            <w:tcW w:w="1727" w:type="pct"/>
            <w:gridSpan w:val="2"/>
            <w:tcBorders>
              <w:tl2br w:val="nil"/>
              <w:tr2bl w:val="nil"/>
            </w:tcBorders>
            <w:noWrap w:val="0"/>
            <w:vAlign w:val="top"/>
          </w:tcPr>
          <w:p w14:paraId="0623FF14">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引燃温度（℃）：257</w:t>
            </w:r>
          </w:p>
        </w:tc>
        <w:tc>
          <w:tcPr>
            <w:tcW w:w="3017" w:type="pct"/>
            <w:gridSpan w:val="4"/>
            <w:tcBorders>
              <w:tl2br w:val="nil"/>
              <w:tr2bl w:val="nil"/>
            </w:tcBorders>
            <w:noWrap w:val="0"/>
            <w:vAlign w:val="top"/>
          </w:tcPr>
          <w:p w14:paraId="59F024CB">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禁忌物： 强氧化剂、卤素。</w:t>
            </w:r>
          </w:p>
        </w:tc>
      </w:tr>
      <w:tr w14:paraId="0F3604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continue"/>
            <w:tcBorders>
              <w:tl2br w:val="nil"/>
              <w:tr2bl w:val="nil"/>
            </w:tcBorders>
            <w:noWrap w:val="0"/>
            <w:vAlign w:val="center"/>
          </w:tcPr>
          <w:p w14:paraId="7584F822">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p>
        </w:tc>
        <w:tc>
          <w:tcPr>
            <w:tcW w:w="4745" w:type="pct"/>
            <w:gridSpan w:val="6"/>
            <w:tcBorders>
              <w:tl2br w:val="nil"/>
              <w:tr2bl w:val="nil"/>
            </w:tcBorders>
            <w:noWrap w:val="0"/>
            <w:vAlign w:val="top"/>
          </w:tcPr>
          <w:p w14:paraId="1BD47DAF">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危险特性：遇明火、高热或与氧化剂接触，有引起燃烧爆炸的危险。若遇高热，容器内压增大，有开裂和爆炸的危险。</w:t>
            </w:r>
          </w:p>
        </w:tc>
      </w:tr>
      <w:tr w14:paraId="575584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54" w:type="pct"/>
            <w:vMerge w:val="continue"/>
            <w:tcBorders>
              <w:tl2br w:val="nil"/>
              <w:tr2bl w:val="nil"/>
            </w:tcBorders>
            <w:noWrap w:val="0"/>
            <w:vAlign w:val="center"/>
          </w:tcPr>
          <w:p w14:paraId="30995CB7">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p>
        </w:tc>
        <w:tc>
          <w:tcPr>
            <w:tcW w:w="4745" w:type="pct"/>
            <w:gridSpan w:val="6"/>
            <w:tcBorders>
              <w:tl2br w:val="nil"/>
              <w:tr2bl w:val="nil"/>
            </w:tcBorders>
            <w:noWrap w:val="0"/>
            <w:vAlign w:val="top"/>
          </w:tcPr>
          <w:p w14:paraId="52E99F7F">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灭火方法：消防人员必须佩戴防毒面具、穿全身消防服，在上风向灭火。尽可能将容器从火场移至空旷处。喷水保持火场容器冷却，直至灭火结束。在火场中的容器若已变色或从安全泄压装置中产生声音，必须马上撤离。灭火剂：雾状水、泡沫、干粉、二氧化碳、砂土。</w:t>
            </w:r>
          </w:p>
        </w:tc>
      </w:tr>
      <w:tr w14:paraId="0F5C34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54" w:type="pct"/>
            <w:tcBorders>
              <w:tl2br w:val="nil"/>
              <w:tr2bl w:val="nil"/>
            </w:tcBorders>
            <w:noWrap w:val="0"/>
            <w:vAlign w:val="center"/>
          </w:tcPr>
          <w:p w14:paraId="066925D5">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r>
              <w:rPr>
                <w:rFonts w:hint="eastAsia" w:ascii="宋体" w:hAnsi="宋体" w:eastAsia="宋体" w:cs="宋体"/>
                <w:b/>
                <w:bCs w:val="0"/>
                <w:kern w:val="2"/>
                <w:sz w:val="21"/>
                <w:szCs w:val="21"/>
                <w:lang w:val="en-US" w:eastAsia="zh-CN" w:bidi="ar-SA"/>
              </w:rPr>
              <w:t>对人体危害</w:t>
            </w:r>
          </w:p>
        </w:tc>
        <w:tc>
          <w:tcPr>
            <w:tcW w:w="4745" w:type="pct"/>
            <w:gridSpan w:val="6"/>
            <w:tcBorders>
              <w:tl2br w:val="nil"/>
              <w:tr2bl w:val="nil"/>
            </w:tcBorders>
            <w:noWrap w:val="0"/>
            <w:vAlign w:val="top"/>
          </w:tcPr>
          <w:p w14:paraId="1A608475">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侵入途径：吸入、食入、经皮肤吸收。</w:t>
            </w:r>
          </w:p>
          <w:p w14:paraId="2B2E5106">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皮肤接触可为主要吸收途径，可致急性肾脏损害。柴油可引起接触性皮炎、油性痤疮。</w:t>
            </w:r>
            <w:r>
              <w:rPr>
                <w:rFonts w:hint="eastAsia" w:cs="宋体"/>
                <w:bCs/>
                <w:kern w:val="2"/>
                <w:sz w:val="21"/>
                <w:szCs w:val="21"/>
                <w:lang w:val="en-US" w:eastAsia="zh-CN" w:bidi="ar-SA"/>
              </w:rPr>
              <w:t>吸入</w:t>
            </w:r>
            <w:r>
              <w:rPr>
                <w:rFonts w:hint="eastAsia" w:ascii="宋体" w:hAnsi="宋体" w:eastAsia="宋体" w:cs="宋体"/>
                <w:bCs/>
                <w:kern w:val="2"/>
                <w:sz w:val="21"/>
                <w:szCs w:val="21"/>
                <w:lang w:val="en-US" w:eastAsia="zh-CN" w:bidi="ar-SA"/>
              </w:rPr>
              <w:t>雾滴或液体呛入可引起吸入性肺炎。能经胎盘进入胎儿血中。柴油废气可引起眼、鼻</w:t>
            </w:r>
            <w:r>
              <w:rPr>
                <w:rFonts w:hint="eastAsia" w:cs="宋体"/>
                <w:bCs/>
                <w:kern w:val="2"/>
                <w:sz w:val="21"/>
                <w:szCs w:val="21"/>
                <w:lang w:val="en-US" w:eastAsia="zh-CN" w:bidi="ar-SA"/>
              </w:rPr>
              <w:t>刺激症状</w:t>
            </w:r>
            <w:r>
              <w:rPr>
                <w:rFonts w:hint="eastAsia" w:ascii="宋体" w:hAnsi="宋体" w:eastAsia="宋体" w:cs="宋体"/>
                <w:bCs/>
                <w:kern w:val="2"/>
                <w:sz w:val="21"/>
                <w:szCs w:val="21"/>
                <w:lang w:val="en-US" w:eastAsia="zh-CN" w:bidi="ar-SA"/>
              </w:rPr>
              <w:t>，头晕及头痛。</w:t>
            </w:r>
          </w:p>
        </w:tc>
      </w:tr>
      <w:tr w14:paraId="324DDB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54" w:type="pct"/>
            <w:tcBorders>
              <w:tl2br w:val="nil"/>
              <w:tr2bl w:val="nil"/>
            </w:tcBorders>
            <w:noWrap w:val="0"/>
            <w:vAlign w:val="center"/>
          </w:tcPr>
          <w:p w14:paraId="30784919">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r>
              <w:rPr>
                <w:rFonts w:hint="eastAsia" w:ascii="宋体" w:hAnsi="宋体" w:eastAsia="宋体" w:cs="宋体"/>
                <w:b/>
                <w:bCs w:val="0"/>
                <w:kern w:val="2"/>
                <w:sz w:val="21"/>
                <w:szCs w:val="21"/>
                <w:lang w:val="en-US" w:eastAsia="zh-CN" w:bidi="ar-SA"/>
              </w:rPr>
              <w:t>急救</w:t>
            </w:r>
          </w:p>
        </w:tc>
        <w:tc>
          <w:tcPr>
            <w:tcW w:w="4745" w:type="pct"/>
            <w:gridSpan w:val="6"/>
            <w:tcBorders>
              <w:tl2br w:val="nil"/>
              <w:tr2bl w:val="nil"/>
            </w:tcBorders>
            <w:noWrap w:val="0"/>
            <w:vAlign w:val="top"/>
          </w:tcPr>
          <w:p w14:paraId="59D28D06">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皮肤接触：立即脱去污染的衣着，用肥皂水和清水彻底冲洗皮肤。就医。</w:t>
            </w:r>
          </w:p>
          <w:p w14:paraId="1E33CC9B">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眼睛接触：立即提起眼睑，用大量流动清水或生理盐水彻底冲洗。就医。</w:t>
            </w:r>
          </w:p>
          <w:p w14:paraId="62540EEA">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吸入：迅速脱离现场至空气新鲜处，保持呼吸道通畅。如呼吸困难，给输氧。如呼吸停止，立即进行人工呼吸。就医。</w:t>
            </w:r>
          </w:p>
          <w:p w14:paraId="26212DC5">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食入：尽快彻底洗胃。就医。</w:t>
            </w:r>
          </w:p>
        </w:tc>
      </w:tr>
      <w:tr w14:paraId="4FFC4E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54" w:type="pct"/>
            <w:tcBorders>
              <w:tl2br w:val="nil"/>
              <w:tr2bl w:val="nil"/>
            </w:tcBorders>
            <w:noWrap w:val="0"/>
            <w:vAlign w:val="center"/>
          </w:tcPr>
          <w:p w14:paraId="4C5D521D">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r>
              <w:rPr>
                <w:rFonts w:hint="eastAsia" w:ascii="宋体" w:hAnsi="宋体" w:eastAsia="宋体" w:cs="宋体"/>
                <w:b/>
                <w:bCs w:val="0"/>
                <w:kern w:val="2"/>
                <w:sz w:val="21"/>
                <w:szCs w:val="21"/>
                <w:lang w:val="en-US" w:eastAsia="zh-CN" w:bidi="ar-SA"/>
              </w:rPr>
              <w:t>防护</w:t>
            </w:r>
          </w:p>
        </w:tc>
        <w:tc>
          <w:tcPr>
            <w:tcW w:w="4745" w:type="pct"/>
            <w:gridSpan w:val="6"/>
            <w:tcBorders>
              <w:tl2br w:val="nil"/>
              <w:tr2bl w:val="nil"/>
            </w:tcBorders>
            <w:noWrap w:val="0"/>
            <w:vAlign w:val="top"/>
          </w:tcPr>
          <w:p w14:paraId="223DCE56">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工程防护：密闭操作，注意通风。</w:t>
            </w:r>
          </w:p>
          <w:p w14:paraId="575AD466">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个人防护：空气中浓度超标时，建议佩戴自吸过滤式防毒面具（半面罩）。紧急事态抢救或撤离时，必须佩戴空气呼吸器。戴化学安全防护眼镜。穿一般作业防护服。戴橡胶耐油手套。工作现场禁止吸烟。避免长期反复接触。</w:t>
            </w:r>
          </w:p>
        </w:tc>
      </w:tr>
      <w:tr w14:paraId="77A0E1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54" w:type="pct"/>
            <w:tcBorders>
              <w:tl2br w:val="nil"/>
              <w:tr2bl w:val="nil"/>
            </w:tcBorders>
            <w:noWrap w:val="0"/>
            <w:vAlign w:val="center"/>
          </w:tcPr>
          <w:p w14:paraId="7086D2A0">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r>
              <w:rPr>
                <w:rFonts w:hint="eastAsia" w:ascii="宋体" w:hAnsi="宋体" w:eastAsia="宋体" w:cs="宋体"/>
                <w:b/>
                <w:bCs w:val="0"/>
                <w:kern w:val="2"/>
                <w:sz w:val="21"/>
                <w:szCs w:val="21"/>
                <w:lang w:val="en-US" w:eastAsia="zh-CN" w:bidi="ar-SA"/>
              </w:rPr>
              <w:t>泄漏处理</w:t>
            </w:r>
          </w:p>
        </w:tc>
        <w:tc>
          <w:tcPr>
            <w:tcW w:w="4745" w:type="pct"/>
            <w:gridSpan w:val="6"/>
            <w:tcBorders>
              <w:tl2br w:val="nil"/>
              <w:tr2bl w:val="nil"/>
            </w:tcBorders>
            <w:noWrap w:val="0"/>
            <w:vAlign w:val="top"/>
          </w:tcPr>
          <w:p w14:paraId="7ACDE760">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迅速撤离泄漏污染区人员至安全区，并进行隔离，严格限制出入。切断火源。建议应急处理人员戴自给正压式呼吸器，穿一般作业工作服。尽可能切断泄漏源。防止流入下水道、排洪沟等限制性空间。小量泄漏：用活性炭</w:t>
            </w:r>
            <w:r>
              <w:rPr>
                <w:rFonts w:hint="eastAsia" w:cs="宋体"/>
                <w:bCs/>
                <w:kern w:val="2"/>
                <w:sz w:val="21"/>
                <w:szCs w:val="21"/>
                <w:lang w:val="en-US" w:eastAsia="zh-CN" w:bidi="ar-SA"/>
              </w:rPr>
              <w:t>或其他</w:t>
            </w:r>
            <w:r>
              <w:rPr>
                <w:rFonts w:hint="eastAsia" w:ascii="宋体" w:hAnsi="宋体" w:eastAsia="宋体" w:cs="宋体"/>
                <w:bCs/>
                <w:kern w:val="2"/>
                <w:sz w:val="21"/>
                <w:szCs w:val="21"/>
                <w:lang w:val="en-US" w:eastAsia="zh-CN" w:bidi="ar-SA"/>
              </w:rPr>
              <w:t>惰性材料吸收。大量泄漏：构筑围堤或挖坑收容。用泵移至槽车或专用收集器内，回收或运至废物处理场所处置。</w:t>
            </w:r>
          </w:p>
        </w:tc>
      </w:tr>
      <w:tr w14:paraId="7412BA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54" w:type="pct"/>
            <w:tcBorders>
              <w:tl2br w:val="nil"/>
              <w:tr2bl w:val="nil"/>
            </w:tcBorders>
            <w:noWrap w:val="0"/>
            <w:vAlign w:val="center"/>
          </w:tcPr>
          <w:p w14:paraId="39B76AC2">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bCs w:val="0"/>
                <w:kern w:val="2"/>
                <w:sz w:val="21"/>
                <w:szCs w:val="21"/>
                <w:lang w:val="en-US" w:eastAsia="zh-CN" w:bidi="ar-SA"/>
              </w:rPr>
            </w:pPr>
            <w:r>
              <w:rPr>
                <w:rFonts w:hint="eastAsia" w:ascii="宋体" w:hAnsi="宋体" w:eastAsia="宋体" w:cs="宋体"/>
                <w:b/>
                <w:bCs w:val="0"/>
                <w:kern w:val="2"/>
                <w:sz w:val="21"/>
                <w:szCs w:val="21"/>
                <w:lang w:val="en-US" w:eastAsia="zh-CN" w:bidi="ar-SA"/>
              </w:rPr>
              <w:t>贮运</w:t>
            </w:r>
          </w:p>
        </w:tc>
        <w:tc>
          <w:tcPr>
            <w:tcW w:w="4745" w:type="pct"/>
            <w:gridSpan w:val="6"/>
            <w:tcBorders>
              <w:tl2br w:val="nil"/>
              <w:tr2bl w:val="nil"/>
            </w:tcBorders>
            <w:noWrap w:val="0"/>
            <w:vAlign w:val="top"/>
          </w:tcPr>
          <w:p w14:paraId="4250995F">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储运条件：储存于阴凉、通风的库房内。远离火种、热源。应与氧化剂、卤素分开存放，切忌混储。采用防爆型照明、通风设施。禁止使用易产生火花的机械设备和工具。储区应备有泄漏应急处理设备工具和合适的收容材料。</w:t>
            </w:r>
          </w:p>
          <w:p w14:paraId="1C374DB0">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right="0" w:firstLine="0" w:firstLineChars="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运输前应先检查包装容器是否完整、密封，运输过程中要确保容器不泄漏、不倒塌、不坠落、不损坏。运输时运输车辆配备相应的品种和数量的消防器材及泄漏应急处理设备。夏季最好早晚运输。运输时所用的槽车应有接地链，槽内可设隔板以减少振荡产生静电。严禁与氧化剂、卤素、食用化学品等混装混运。运输途中应防暴晒、雨淋，防高温。中途停留时应远离火种、热源、高温区。装运该物品的车辆排气管必须配备阻火装置，禁止使用易产生火花的机械设备和工具装卸。运输车船必须彻底清洗、消毒，否则不得装运</w:t>
            </w:r>
            <w:r>
              <w:rPr>
                <w:rFonts w:hint="eastAsia" w:cs="宋体"/>
                <w:bCs/>
                <w:kern w:val="2"/>
                <w:sz w:val="21"/>
                <w:szCs w:val="21"/>
                <w:lang w:val="en-US" w:eastAsia="zh-CN" w:bidi="ar-SA"/>
              </w:rPr>
              <w:t>其他</w:t>
            </w:r>
            <w:r>
              <w:rPr>
                <w:rFonts w:hint="eastAsia" w:ascii="宋体" w:hAnsi="宋体" w:eastAsia="宋体" w:cs="宋体"/>
                <w:bCs/>
                <w:kern w:val="2"/>
                <w:sz w:val="21"/>
                <w:szCs w:val="21"/>
                <w:lang w:val="en-US" w:eastAsia="zh-CN" w:bidi="ar-SA"/>
              </w:rPr>
              <w:t xml:space="preserve">物品。船运时，配装位置应远离卧室、厨房，并与机舱、电源、火源等部位隔离。公路运输时要按规定路线行驶。  </w:t>
            </w:r>
          </w:p>
        </w:tc>
      </w:tr>
    </w:tbl>
    <w:p w14:paraId="5676D74A">
      <w:pPr>
        <w:keepNext w:val="0"/>
        <w:keepLines w:val="0"/>
        <w:pageBreakBefore w:val="0"/>
        <w:widowControl w:val="0"/>
        <w:kinsoku/>
        <w:bidi w:val="0"/>
        <w:spacing w:before="50" w:beforeLines="50" w:line="240" w:lineRule="auto"/>
        <w:ind w:left="0" w:leftChars="0" w:right="0" w:rightChars="0" w:firstLine="0" w:firstLineChars="0"/>
        <w:jc w:val="center"/>
        <w:rPr>
          <w:rFonts w:hint="eastAsia" w:cs="Times New Roman"/>
          <w:b/>
          <w:kern w:val="2"/>
          <w:sz w:val="24"/>
          <w:szCs w:val="24"/>
          <w:lang w:val="en-US" w:eastAsia="zh-CN" w:bidi="ar-SA"/>
        </w:rPr>
      </w:pPr>
      <w:r>
        <w:rPr>
          <w:rFonts w:hint="eastAsia" w:ascii="宋体" w:hAnsi="宋体" w:eastAsia="宋体" w:cs="Times New Roman"/>
          <w:b/>
          <w:kern w:val="2"/>
          <w:sz w:val="24"/>
          <w:szCs w:val="24"/>
          <w:lang w:val="en-US" w:eastAsia="zh-CN" w:bidi="ar-SA"/>
        </w:rPr>
        <w:t xml:space="preserve">表 </w:t>
      </w:r>
      <w:r>
        <w:rPr>
          <w:rFonts w:hint="eastAsia" w:ascii="宋体" w:hAnsi="宋体" w:eastAsia="宋体" w:cs="Times New Roman"/>
          <w:b/>
          <w:kern w:val="2"/>
          <w:sz w:val="24"/>
          <w:szCs w:val="24"/>
          <w:lang w:val="en-US" w:eastAsia="zh-CN" w:bidi="ar-SA"/>
        </w:rPr>
        <w:fldChar w:fldCharType="begin"/>
      </w:r>
      <w:r>
        <w:rPr>
          <w:rFonts w:hint="eastAsia" w:ascii="宋体" w:hAnsi="宋体" w:eastAsia="宋体" w:cs="Times New Roman"/>
          <w:b/>
          <w:kern w:val="2"/>
          <w:sz w:val="24"/>
          <w:szCs w:val="24"/>
          <w:lang w:val="en-US" w:eastAsia="zh-CN" w:bidi="ar-SA"/>
        </w:rPr>
        <w:instrText xml:space="preserve"> STYLEREF 1 \s </w:instrText>
      </w:r>
      <w:r>
        <w:rPr>
          <w:rFonts w:hint="eastAsia" w:ascii="宋体" w:hAnsi="宋体" w:eastAsia="宋体" w:cs="Times New Roman"/>
          <w:b/>
          <w:kern w:val="2"/>
          <w:sz w:val="24"/>
          <w:szCs w:val="24"/>
          <w:lang w:val="en-US" w:eastAsia="zh-CN" w:bidi="ar-SA"/>
        </w:rPr>
        <w:fldChar w:fldCharType="separate"/>
      </w:r>
      <w:r>
        <w:rPr>
          <w:rFonts w:hint="eastAsia" w:ascii="宋体" w:hAnsi="宋体" w:eastAsia="宋体" w:cs="Times New Roman"/>
          <w:b/>
          <w:kern w:val="2"/>
          <w:sz w:val="24"/>
          <w:szCs w:val="24"/>
          <w:lang w:val="en-US" w:eastAsia="zh-CN" w:bidi="ar-SA"/>
        </w:rPr>
        <w:t>3</w:t>
      </w:r>
      <w:r>
        <w:rPr>
          <w:rFonts w:hint="eastAsia" w:ascii="宋体" w:hAnsi="宋体" w:eastAsia="宋体" w:cs="Times New Roman"/>
          <w:b/>
          <w:kern w:val="2"/>
          <w:sz w:val="24"/>
          <w:szCs w:val="24"/>
          <w:lang w:val="en-US" w:eastAsia="zh-CN" w:bidi="ar-SA"/>
        </w:rPr>
        <w:fldChar w:fldCharType="end"/>
      </w:r>
      <w:r>
        <w:rPr>
          <w:rFonts w:hint="eastAsia" w:ascii="宋体" w:hAnsi="宋体" w:eastAsia="宋体" w:cs="Times New Roman"/>
          <w:b/>
          <w:kern w:val="2"/>
          <w:sz w:val="24"/>
          <w:szCs w:val="24"/>
          <w:lang w:val="en-US" w:eastAsia="zh-CN" w:bidi="ar-SA"/>
        </w:rPr>
        <w:t>-</w:t>
      </w:r>
      <w:r>
        <w:rPr>
          <w:rFonts w:hint="eastAsia" w:ascii="宋体" w:hAnsi="宋体" w:eastAsia="宋体" w:cs="Times New Roman"/>
          <w:b/>
          <w:kern w:val="2"/>
          <w:sz w:val="24"/>
          <w:szCs w:val="24"/>
          <w:lang w:val="en-US" w:eastAsia="zh-CN" w:bidi="ar-SA"/>
        </w:rPr>
        <w:fldChar w:fldCharType="begin"/>
      </w:r>
      <w:r>
        <w:rPr>
          <w:rFonts w:hint="eastAsia" w:ascii="宋体" w:hAnsi="宋体" w:eastAsia="宋体" w:cs="Times New Roman"/>
          <w:b/>
          <w:kern w:val="2"/>
          <w:sz w:val="24"/>
          <w:szCs w:val="24"/>
          <w:lang w:val="en-US" w:eastAsia="zh-CN" w:bidi="ar-SA"/>
        </w:rPr>
        <w:instrText xml:space="preserve"> SEQ 表 \* ARABIC \s 1 </w:instrText>
      </w:r>
      <w:r>
        <w:rPr>
          <w:rFonts w:hint="eastAsia" w:ascii="宋体" w:hAnsi="宋体" w:eastAsia="宋体" w:cs="Times New Roman"/>
          <w:b/>
          <w:kern w:val="2"/>
          <w:sz w:val="24"/>
          <w:szCs w:val="24"/>
          <w:lang w:val="en-US" w:eastAsia="zh-CN" w:bidi="ar-SA"/>
        </w:rPr>
        <w:fldChar w:fldCharType="separate"/>
      </w:r>
      <w:r>
        <w:rPr>
          <w:rFonts w:hint="eastAsia" w:ascii="宋体" w:hAnsi="宋体" w:eastAsia="宋体" w:cs="Times New Roman"/>
          <w:b/>
          <w:kern w:val="2"/>
          <w:sz w:val="24"/>
          <w:szCs w:val="24"/>
          <w:lang w:val="en-US" w:eastAsia="zh-CN" w:bidi="ar-SA"/>
        </w:rPr>
        <w:t>5</w:t>
      </w:r>
      <w:r>
        <w:rPr>
          <w:rFonts w:hint="eastAsia" w:ascii="宋体" w:hAnsi="宋体" w:eastAsia="宋体" w:cs="Times New Roman"/>
          <w:b/>
          <w:kern w:val="2"/>
          <w:sz w:val="24"/>
          <w:szCs w:val="24"/>
          <w:lang w:val="en-US" w:eastAsia="zh-CN" w:bidi="ar-SA"/>
        </w:rPr>
        <w:fldChar w:fldCharType="end"/>
      </w:r>
      <w:r>
        <w:rPr>
          <w:rFonts w:hint="eastAsia" w:ascii="宋体" w:hAnsi="宋体" w:eastAsia="宋体" w:cs="Times New Roman"/>
          <w:b/>
          <w:kern w:val="2"/>
          <w:sz w:val="24"/>
          <w:szCs w:val="24"/>
          <w:lang w:val="en-US" w:eastAsia="zh-CN" w:bidi="ar-SA"/>
        </w:rPr>
        <w:t xml:space="preserve">  </w:t>
      </w:r>
      <w:r>
        <w:rPr>
          <w:rFonts w:hint="eastAsia" w:ascii="宋体" w:hAnsi="宋体" w:cs="Times New Roman"/>
          <w:b/>
          <w:kern w:val="2"/>
          <w:sz w:val="24"/>
          <w:szCs w:val="24"/>
          <w:lang w:val="en-US" w:eastAsia="zh-CN" w:bidi="ar-SA"/>
        </w:rPr>
        <w:t>危险化学品理化特性及危险特性</w:t>
      </w:r>
      <w:r>
        <w:rPr>
          <w:rFonts w:hint="eastAsia" w:cs="Times New Roman"/>
          <w:b/>
          <w:kern w:val="2"/>
          <w:sz w:val="24"/>
          <w:szCs w:val="24"/>
          <w:lang w:val="en-US" w:eastAsia="zh-CN" w:bidi="ar-SA"/>
        </w:rPr>
        <w:t>（一氧化碳）</w:t>
      </w:r>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593"/>
        <w:gridCol w:w="941"/>
        <w:gridCol w:w="637"/>
        <w:gridCol w:w="1248"/>
        <w:gridCol w:w="295"/>
        <w:gridCol w:w="346"/>
        <w:gridCol w:w="494"/>
        <w:gridCol w:w="1423"/>
        <w:gridCol w:w="249"/>
        <w:gridCol w:w="2294"/>
      </w:tblGrid>
      <w:tr w14:paraId="116786E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restart"/>
            <w:noWrap w:val="0"/>
            <w:vAlign w:val="center"/>
          </w:tcPr>
          <w:p w14:paraId="4FE8B6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标识</w:t>
            </w:r>
          </w:p>
        </w:tc>
        <w:tc>
          <w:tcPr>
            <w:tcW w:w="2324" w:type="pct"/>
            <w:gridSpan w:val="6"/>
            <w:noWrap w:val="0"/>
            <w:vAlign w:val="center"/>
          </w:tcPr>
          <w:p w14:paraId="3A90C4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中文名： 一氧化碳             </w:t>
            </w:r>
          </w:p>
        </w:tc>
        <w:tc>
          <w:tcPr>
            <w:tcW w:w="2327" w:type="pct"/>
            <w:gridSpan w:val="3"/>
            <w:noWrap w:val="0"/>
            <w:vAlign w:val="center"/>
          </w:tcPr>
          <w:p w14:paraId="0477E6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rPr>
              <w:t xml:space="preserve">  英文名：</w:t>
            </w:r>
            <w:r>
              <w:rPr>
                <w:rFonts w:hint="eastAsia" w:ascii="宋体" w:hAnsi="宋体" w:eastAsia="宋体" w:cs="宋体"/>
                <w:color w:val="000000"/>
                <w:kern w:val="0"/>
                <w:sz w:val="21"/>
                <w:szCs w:val="21"/>
                <w:lang w:eastAsia="zh-CN"/>
              </w:rPr>
              <w:t>Carbon monoxide</w:t>
            </w:r>
          </w:p>
        </w:tc>
      </w:tr>
      <w:tr w14:paraId="3C87943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7CB776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1658" w:type="pct"/>
            <w:gridSpan w:val="3"/>
            <w:noWrap w:val="0"/>
            <w:vAlign w:val="center"/>
          </w:tcPr>
          <w:p w14:paraId="78B082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分子式：</w:t>
            </w:r>
            <w:r>
              <w:rPr>
                <w:rFonts w:hint="eastAsia" w:ascii="宋体" w:hAnsi="宋体" w:eastAsia="宋体" w:cs="宋体"/>
                <w:color w:val="000000"/>
                <w:kern w:val="0"/>
                <w:sz w:val="21"/>
                <w:szCs w:val="21"/>
                <w:lang w:val="en-US" w:eastAsia="zh-CN"/>
              </w:rPr>
              <w:t>CO</w:t>
            </w:r>
          </w:p>
        </w:tc>
        <w:tc>
          <w:tcPr>
            <w:tcW w:w="1501" w:type="pct"/>
            <w:gridSpan w:val="4"/>
            <w:noWrap w:val="0"/>
            <w:vAlign w:val="center"/>
          </w:tcPr>
          <w:p w14:paraId="4D9551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分子量：28.0101</w:t>
            </w:r>
          </w:p>
        </w:tc>
        <w:tc>
          <w:tcPr>
            <w:tcW w:w="1492" w:type="pct"/>
            <w:gridSpan w:val="2"/>
            <w:noWrap w:val="0"/>
            <w:vAlign w:val="center"/>
          </w:tcPr>
          <w:p w14:paraId="2F0211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CAS号：630-08-0</w:t>
            </w:r>
          </w:p>
        </w:tc>
      </w:tr>
      <w:tr w14:paraId="6059768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5E1095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4651" w:type="pct"/>
            <w:gridSpan w:val="9"/>
            <w:noWrap w:val="0"/>
            <w:vAlign w:val="center"/>
          </w:tcPr>
          <w:p w14:paraId="1BE390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危险性类别：</w:t>
            </w:r>
            <w:r>
              <w:rPr>
                <w:rFonts w:hint="eastAsia" w:ascii="宋体" w:hAnsi="宋体" w:eastAsia="宋体" w:cs="宋体"/>
                <w:color w:val="000000"/>
                <w:kern w:val="0"/>
                <w:sz w:val="21"/>
                <w:szCs w:val="21"/>
                <w:lang w:val="en-US" w:eastAsia="zh-CN"/>
              </w:rPr>
              <w:t xml:space="preserve">第2.1类 </w:t>
            </w:r>
            <w:r>
              <w:rPr>
                <w:rFonts w:hint="eastAsia" w:ascii="宋体" w:hAnsi="宋体" w:eastAsia="宋体" w:cs="宋体"/>
                <w:color w:val="000000"/>
                <w:kern w:val="0"/>
                <w:sz w:val="21"/>
                <w:szCs w:val="21"/>
              </w:rPr>
              <w:t xml:space="preserve">易燃气体 </w:t>
            </w:r>
          </w:p>
        </w:tc>
      </w:tr>
      <w:tr w14:paraId="586C1D1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restart"/>
            <w:noWrap w:val="0"/>
            <w:vAlign w:val="center"/>
          </w:tcPr>
          <w:p w14:paraId="023B96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理化</w:t>
            </w:r>
          </w:p>
          <w:p w14:paraId="4D224B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性质</w:t>
            </w:r>
          </w:p>
        </w:tc>
        <w:tc>
          <w:tcPr>
            <w:tcW w:w="4651" w:type="pct"/>
            <w:gridSpan w:val="9"/>
            <w:noWrap w:val="0"/>
            <w:vAlign w:val="center"/>
          </w:tcPr>
          <w:p w14:paraId="1C3B84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外观与性状：无色无</w:t>
            </w:r>
            <w:r>
              <w:rPr>
                <w:rFonts w:hint="eastAsia" w:ascii="宋体" w:hAnsi="宋体" w:eastAsia="宋体" w:cs="宋体"/>
                <w:color w:val="000000"/>
                <w:kern w:val="0"/>
                <w:sz w:val="21"/>
                <w:szCs w:val="21"/>
                <w:lang w:val="en-US" w:eastAsia="zh-CN"/>
              </w:rPr>
              <w:t>味</w:t>
            </w:r>
            <w:r>
              <w:rPr>
                <w:rFonts w:hint="eastAsia" w:ascii="宋体" w:hAnsi="宋体" w:eastAsia="宋体" w:cs="宋体"/>
                <w:color w:val="000000"/>
                <w:kern w:val="0"/>
                <w:sz w:val="21"/>
                <w:szCs w:val="21"/>
              </w:rPr>
              <w:t>气体。</w:t>
            </w:r>
          </w:p>
        </w:tc>
      </w:tr>
      <w:tr w14:paraId="6D34EAC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450AC0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2034" w:type="pct"/>
            <w:gridSpan w:val="5"/>
            <w:noWrap w:val="0"/>
            <w:vAlign w:val="center"/>
          </w:tcPr>
          <w:p w14:paraId="64AEFB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熔点（℃）：-</w:t>
            </w:r>
            <w:r>
              <w:rPr>
                <w:rFonts w:hint="eastAsia" w:ascii="宋体" w:hAnsi="宋体" w:eastAsia="宋体" w:cs="宋体"/>
                <w:color w:val="000000"/>
                <w:kern w:val="0"/>
                <w:sz w:val="21"/>
                <w:szCs w:val="21"/>
                <w:lang w:val="en-US" w:eastAsia="zh-CN"/>
              </w:rPr>
              <w:t>205</w:t>
            </w:r>
            <w:r>
              <w:rPr>
                <w:rFonts w:hint="eastAsia" w:ascii="宋体" w:hAnsi="宋体" w:eastAsia="宋体" w:cs="宋体"/>
                <w:color w:val="000000"/>
                <w:kern w:val="0"/>
                <w:sz w:val="21"/>
                <w:szCs w:val="21"/>
              </w:rPr>
              <w:t>(</w:t>
            </w:r>
            <w:r>
              <w:rPr>
                <w:rFonts w:hint="eastAsia" w:ascii="宋体" w:hAnsi="宋体" w:eastAsia="宋体" w:cs="宋体"/>
                <w:color w:val="000000"/>
                <w:kern w:val="0"/>
                <w:sz w:val="21"/>
                <w:szCs w:val="21"/>
                <w:lang w:val="en-US" w:eastAsia="zh-CN"/>
              </w:rPr>
              <w:t>101.325</w:t>
            </w:r>
            <w:r>
              <w:rPr>
                <w:rFonts w:hint="eastAsia" w:ascii="宋体" w:hAnsi="宋体" w:eastAsia="宋体" w:cs="宋体"/>
                <w:color w:val="000000"/>
                <w:kern w:val="0"/>
                <w:sz w:val="21"/>
                <w:szCs w:val="21"/>
              </w:rPr>
              <w:t>kPa)</w:t>
            </w:r>
          </w:p>
        </w:tc>
        <w:tc>
          <w:tcPr>
            <w:tcW w:w="2617" w:type="pct"/>
            <w:gridSpan w:val="4"/>
            <w:noWrap w:val="0"/>
            <w:vAlign w:val="center"/>
          </w:tcPr>
          <w:p w14:paraId="3AE9A2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沸点（℃）：-</w:t>
            </w:r>
            <w:r>
              <w:rPr>
                <w:rFonts w:hint="eastAsia" w:ascii="宋体" w:hAnsi="宋体" w:eastAsia="宋体" w:cs="宋体"/>
                <w:color w:val="000000"/>
                <w:kern w:val="0"/>
                <w:sz w:val="21"/>
                <w:szCs w:val="21"/>
                <w:lang w:val="en-US" w:eastAsia="zh-CN"/>
              </w:rPr>
              <w:t>191.5</w:t>
            </w:r>
          </w:p>
        </w:tc>
      </w:tr>
      <w:tr w14:paraId="713101D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4250AE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2034" w:type="pct"/>
            <w:gridSpan w:val="5"/>
            <w:noWrap w:val="0"/>
            <w:vAlign w:val="center"/>
          </w:tcPr>
          <w:p w14:paraId="71DC64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临界温度（℃）：</w:t>
            </w:r>
            <w:r>
              <w:rPr>
                <w:rFonts w:hint="eastAsia" w:ascii="宋体" w:hAnsi="宋体" w:eastAsia="宋体" w:cs="宋体"/>
                <w:color w:val="000000"/>
                <w:kern w:val="0"/>
                <w:sz w:val="21"/>
                <w:szCs w:val="21"/>
                <w:lang w:val="en-US" w:eastAsia="zh-CN"/>
              </w:rPr>
              <w:t>-140.2</w:t>
            </w:r>
          </w:p>
        </w:tc>
        <w:tc>
          <w:tcPr>
            <w:tcW w:w="2617" w:type="pct"/>
            <w:gridSpan w:val="4"/>
            <w:noWrap w:val="0"/>
            <w:vAlign w:val="center"/>
          </w:tcPr>
          <w:p w14:paraId="140EEA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临界压力（MPa）：</w:t>
            </w:r>
            <w:r>
              <w:rPr>
                <w:rFonts w:hint="eastAsia" w:ascii="宋体" w:hAnsi="宋体" w:eastAsia="宋体" w:cs="宋体"/>
                <w:color w:val="000000"/>
                <w:kern w:val="0"/>
                <w:sz w:val="21"/>
                <w:szCs w:val="21"/>
                <w:lang w:val="en-US" w:eastAsia="zh-CN"/>
              </w:rPr>
              <w:t>3.499</w:t>
            </w:r>
          </w:p>
        </w:tc>
      </w:tr>
      <w:tr w14:paraId="195C7D1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33BE7F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2034" w:type="pct"/>
            <w:gridSpan w:val="5"/>
            <w:noWrap w:val="0"/>
            <w:vAlign w:val="center"/>
          </w:tcPr>
          <w:p w14:paraId="75F3C4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饱和蒸汽压（KPa）：</w:t>
            </w:r>
            <w:r>
              <w:rPr>
                <w:rFonts w:hint="eastAsia" w:ascii="宋体" w:hAnsi="宋体" w:eastAsia="宋体" w:cs="宋体"/>
                <w:color w:val="000000"/>
                <w:kern w:val="0"/>
                <w:sz w:val="21"/>
                <w:szCs w:val="21"/>
                <w:lang w:val="en-US" w:eastAsia="zh-CN"/>
              </w:rPr>
              <w:t>无资料</w:t>
            </w:r>
          </w:p>
        </w:tc>
        <w:tc>
          <w:tcPr>
            <w:tcW w:w="2617" w:type="pct"/>
            <w:gridSpan w:val="4"/>
            <w:noWrap w:val="0"/>
            <w:vAlign w:val="center"/>
          </w:tcPr>
          <w:p w14:paraId="65D3F4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燃烧热 （KJ／mol）：</w:t>
            </w:r>
            <w:r>
              <w:rPr>
                <w:rFonts w:hint="eastAsia" w:ascii="宋体" w:hAnsi="宋体" w:eastAsia="宋体" w:cs="宋体"/>
                <w:color w:val="000000"/>
                <w:kern w:val="0"/>
                <w:sz w:val="21"/>
                <w:szCs w:val="21"/>
                <w:lang w:val="en-US" w:eastAsia="zh-CN"/>
              </w:rPr>
              <w:t>无资料</w:t>
            </w:r>
          </w:p>
        </w:tc>
      </w:tr>
      <w:tr w14:paraId="15F09AB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799C9A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4651" w:type="pct"/>
            <w:gridSpan w:val="9"/>
            <w:noWrap w:val="0"/>
            <w:vAlign w:val="center"/>
          </w:tcPr>
          <w:p w14:paraId="723261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eastAsia="zh-CN"/>
              </w:rPr>
              <w:t>相对密度（水＝1）：0.</w:t>
            </w:r>
            <w:r>
              <w:rPr>
                <w:rFonts w:hint="eastAsia" w:ascii="宋体" w:hAnsi="宋体" w:eastAsia="宋体" w:cs="宋体"/>
                <w:color w:val="000000"/>
                <w:kern w:val="0"/>
                <w:sz w:val="21"/>
                <w:szCs w:val="21"/>
                <w:lang w:val="en-US" w:eastAsia="zh-CN"/>
              </w:rPr>
              <w:t>79</w:t>
            </w:r>
            <w:r>
              <w:rPr>
                <w:rFonts w:hint="eastAsia" w:ascii="宋体" w:hAnsi="宋体" w:eastAsia="宋体" w:cs="宋体"/>
                <w:color w:val="000000"/>
                <w:kern w:val="0"/>
                <w:sz w:val="21"/>
                <w:szCs w:val="21"/>
                <w:lang w:eastAsia="zh-CN"/>
              </w:rPr>
              <w:t xml:space="preserve"> （空气＝1）：0.9</w:t>
            </w:r>
            <w:r>
              <w:rPr>
                <w:rFonts w:hint="eastAsia" w:ascii="宋体" w:hAnsi="宋体" w:eastAsia="宋体" w:cs="宋体"/>
                <w:color w:val="000000"/>
                <w:kern w:val="0"/>
                <w:sz w:val="21"/>
                <w:szCs w:val="21"/>
                <w:lang w:val="en-US" w:eastAsia="zh-CN"/>
              </w:rPr>
              <w:t>7</w:t>
            </w:r>
          </w:p>
        </w:tc>
      </w:tr>
      <w:tr w14:paraId="0297323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27716A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4651" w:type="pct"/>
            <w:gridSpan w:val="9"/>
            <w:noWrap w:val="0"/>
            <w:vAlign w:val="center"/>
          </w:tcPr>
          <w:p w14:paraId="09A94D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溶解性： </w:t>
            </w:r>
            <w:r>
              <w:rPr>
                <w:rFonts w:hint="eastAsia" w:ascii="宋体" w:hAnsi="宋体" w:eastAsia="宋体" w:cs="宋体"/>
                <w:color w:val="000000"/>
                <w:kern w:val="0"/>
                <w:sz w:val="21"/>
                <w:szCs w:val="21"/>
                <w:lang w:val="en-US" w:eastAsia="zh-CN"/>
              </w:rPr>
              <w:t>难</w:t>
            </w:r>
            <w:r>
              <w:rPr>
                <w:rFonts w:hint="eastAsia" w:ascii="宋体" w:hAnsi="宋体" w:eastAsia="宋体" w:cs="宋体"/>
                <w:color w:val="000000"/>
                <w:kern w:val="0"/>
                <w:sz w:val="21"/>
                <w:szCs w:val="21"/>
              </w:rPr>
              <w:t>溶于水，溶于乙醇、苯</w:t>
            </w:r>
            <w:r>
              <w:rPr>
                <w:rFonts w:hint="eastAsia" w:ascii="宋体" w:hAnsi="宋体" w:eastAsia="宋体" w:cs="宋体"/>
                <w:color w:val="000000"/>
                <w:kern w:val="0"/>
                <w:sz w:val="21"/>
                <w:szCs w:val="21"/>
                <w:lang w:val="en-US" w:eastAsia="zh-CN"/>
              </w:rPr>
              <w:t>等多数有机溶剂</w:t>
            </w:r>
            <w:r>
              <w:rPr>
                <w:rFonts w:hint="eastAsia" w:ascii="宋体" w:hAnsi="宋体" w:eastAsia="宋体" w:cs="宋体"/>
                <w:color w:val="000000"/>
                <w:kern w:val="0"/>
                <w:sz w:val="21"/>
                <w:szCs w:val="21"/>
              </w:rPr>
              <w:t>。</w:t>
            </w:r>
          </w:p>
        </w:tc>
      </w:tr>
      <w:tr w14:paraId="0F7246B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restart"/>
            <w:noWrap w:val="0"/>
            <w:vAlign w:val="center"/>
          </w:tcPr>
          <w:p w14:paraId="5F69D0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燃烧爆炸危险性</w:t>
            </w:r>
          </w:p>
        </w:tc>
        <w:tc>
          <w:tcPr>
            <w:tcW w:w="4651" w:type="pct"/>
            <w:gridSpan w:val="9"/>
            <w:noWrap w:val="0"/>
            <w:vAlign w:val="center"/>
          </w:tcPr>
          <w:p w14:paraId="6DB275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燃烧性：易燃</w:t>
            </w:r>
          </w:p>
        </w:tc>
      </w:tr>
      <w:tr w14:paraId="5B32720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109925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2034" w:type="pct"/>
            <w:gridSpan w:val="5"/>
            <w:noWrap w:val="0"/>
            <w:vAlign w:val="center"/>
          </w:tcPr>
          <w:p w14:paraId="498D69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xml:space="preserve">引燃温度（℃）： </w:t>
            </w:r>
            <w:r>
              <w:rPr>
                <w:rFonts w:hint="eastAsia" w:ascii="宋体" w:hAnsi="宋体" w:eastAsia="宋体" w:cs="宋体"/>
                <w:color w:val="000000"/>
                <w:kern w:val="0"/>
                <w:sz w:val="21"/>
                <w:szCs w:val="21"/>
                <w:lang w:val="en-US" w:eastAsia="zh-CN"/>
              </w:rPr>
              <w:t>610</w:t>
            </w:r>
          </w:p>
        </w:tc>
        <w:tc>
          <w:tcPr>
            <w:tcW w:w="2617" w:type="pct"/>
            <w:gridSpan w:val="4"/>
            <w:noWrap w:val="0"/>
            <w:vAlign w:val="center"/>
          </w:tcPr>
          <w:p w14:paraId="505EA4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闪点（℃）</w:t>
            </w:r>
            <w:r>
              <w:rPr>
                <w:rFonts w:hint="eastAsia" w:ascii="宋体" w:hAnsi="宋体" w:eastAsia="宋体" w:cs="宋体"/>
                <w:color w:val="000000"/>
                <w:kern w:val="0"/>
                <w:sz w:val="21"/>
                <w:szCs w:val="21"/>
                <w:lang w:eastAsia="zh-CN"/>
              </w:rPr>
              <w:t>：</w:t>
            </w:r>
            <w:r>
              <w:rPr>
                <w:rFonts w:hint="eastAsia" w:ascii="宋体" w:hAnsi="宋体" w:eastAsia="宋体" w:cs="宋体"/>
                <w:color w:val="000000"/>
                <w:kern w:val="0"/>
                <w:sz w:val="21"/>
                <w:szCs w:val="21"/>
              </w:rPr>
              <w:t>低于-50℃</w:t>
            </w:r>
          </w:p>
        </w:tc>
      </w:tr>
      <w:tr w14:paraId="206C8BA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591652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2034" w:type="pct"/>
            <w:gridSpan w:val="5"/>
            <w:noWrap w:val="0"/>
            <w:vAlign w:val="center"/>
          </w:tcPr>
          <w:p w14:paraId="4D01C6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xml:space="preserve">爆炸下限（%）：  </w:t>
            </w:r>
            <w:r>
              <w:rPr>
                <w:rFonts w:hint="eastAsia" w:ascii="宋体" w:hAnsi="宋体" w:eastAsia="宋体" w:cs="宋体"/>
                <w:color w:val="000000"/>
                <w:kern w:val="0"/>
                <w:sz w:val="21"/>
                <w:szCs w:val="21"/>
                <w:lang w:val="en-US" w:eastAsia="zh-CN"/>
              </w:rPr>
              <w:t>12.5</w:t>
            </w:r>
          </w:p>
        </w:tc>
        <w:tc>
          <w:tcPr>
            <w:tcW w:w="2617" w:type="pct"/>
            <w:gridSpan w:val="4"/>
            <w:noWrap w:val="0"/>
            <w:vAlign w:val="center"/>
          </w:tcPr>
          <w:p w14:paraId="1CF871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xml:space="preserve">爆炸上限（%）：   </w:t>
            </w:r>
            <w:r>
              <w:rPr>
                <w:rFonts w:hint="eastAsia" w:ascii="宋体" w:hAnsi="宋体" w:eastAsia="宋体" w:cs="宋体"/>
                <w:color w:val="000000"/>
                <w:kern w:val="0"/>
                <w:sz w:val="21"/>
                <w:szCs w:val="21"/>
                <w:lang w:val="en-US" w:eastAsia="zh-CN"/>
              </w:rPr>
              <w:t>74.2</w:t>
            </w:r>
          </w:p>
        </w:tc>
      </w:tr>
      <w:tr w14:paraId="23E21D7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793326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2034" w:type="pct"/>
            <w:gridSpan w:val="5"/>
            <w:noWrap w:val="0"/>
            <w:vAlign w:val="center"/>
          </w:tcPr>
          <w:p w14:paraId="3FB15A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最小点火能（mj）</w:t>
            </w:r>
            <w:r>
              <w:rPr>
                <w:rFonts w:hint="eastAsia" w:cs="宋体"/>
                <w:color w:val="000000"/>
                <w:kern w:val="0"/>
                <w:sz w:val="21"/>
                <w:szCs w:val="21"/>
                <w:lang w:eastAsia="zh-CN"/>
              </w:rPr>
              <w:t>：</w:t>
            </w:r>
          </w:p>
        </w:tc>
        <w:tc>
          <w:tcPr>
            <w:tcW w:w="2617" w:type="pct"/>
            <w:gridSpan w:val="4"/>
            <w:noWrap w:val="0"/>
            <w:vAlign w:val="center"/>
          </w:tcPr>
          <w:p w14:paraId="79CB0E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最大爆炸压力</w:t>
            </w:r>
            <w:r>
              <w:rPr>
                <w:rFonts w:hint="eastAsia" w:cs="宋体"/>
                <w:color w:val="000000"/>
                <w:kern w:val="0"/>
                <w:sz w:val="21"/>
                <w:szCs w:val="21"/>
                <w:lang w:eastAsia="zh-CN"/>
              </w:rPr>
              <w:t>（</w:t>
            </w:r>
            <w:r>
              <w:rPr>
                <w:rFonts w:hint="eastAsia" w:ascii="宋体" w:hAnsi="宋体" w:eastAsia="宋体" w:cs="宋体"/>
                <w:color w:val="000000"/>
                <w:kern w:val="0"/>
                <w:sz w:val="21"/>
                <w:szCs w:val="21"/>
              </w:rPr>
              <w:t>MPa</w:t>
            </w:r>
            <w:r>
              <w:rPr>
                <w:rFonts w:hint="eastAsia" w:cs="宋体"/>
                <w:color w:val="000000"/>
                <w:kern w:val="0"/>
                <w:sz w:val="21"/>
                <w:szCs w:val="21"/>
                <w:lang w:eastAsia="zh-CN"/>
              </w:rPr>
              <w:t>）</w:t>
            </w:r>
            <w:r>
              <w:rPr>
                <w:rFonts w:hint="eastAsia" w:ascii="宋体" w:hAnsi="宋体" w:eastAsia="宋体" w:cs="宋体"/>
                <w:color w:val="000000"/>
                <w:kern w:val="0"/>
                <w:sz w:val="21"/>
                <w:szCs w:val="21"/>
              </w:rPr>
              <w:t>：</w:t>
            </w:r>
            <w:r>
              <w:rPr>
                <w:rFonts w:hint="eastAsia" w:ascii="宋体" w:hAnsi="宋体" w:eastAsia="宋体" w:cs="宋体"/>
                <w:color w:val="000000"/>
                <w:kern w:val="0"/>
                <w:sz w:val="21"/>
                <w:szCs w:val="21"/>
                <w:lang w:val="en-US" w:eastAsia="zh-CN"/>
              </w:rPr>
              <w:t>0.72</w:t>
            </w:r>
          </w:p>
        </w:tc>
      </w:tr>
      <w:tr w14:paraId="7444A26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551835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552" w:type="pct"/>
            <w:noWrap w:val="0"/>
            <w:vAlign w:val="center"/>
          </w:tcPr>
          <w:p w14:paraId="275D37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危险</w:t>
            </w:r>
          </w:p>
          <w:p w14:paraId="3A79A0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特性</w:t>
            </w:r>
          </w:p>
        </w:tc>
        <w:tc>
          <w:tcPr>
            <w:tcW w:w="4099" w:type="pct"/>
            <w:gridSpan w:val="8"/>
            <w:noWrap w:val="0"/>
            <w:vAlign w:val="center"/>
          </w:tcPr>
          <w:p w14:paraId="760B3C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sz w:val="21"/>
                <w:szCs w:val="21"/>
                <w:lang w:val="en-US" w:eastAsia="zh-CN"/>
              </w:rPr>
              <w:t>与空气混合能形成爆炸性混合物，遇明火、高热能引起燃烧爆炸。若遇高温容器内压增大，有开裂和爆炸的危险。</w:t>
            </w:r>
          </w:p>
        </w:tc>
      </w:tr>
      <w:tr w14:paraId="0975E14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66E640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552" w:type="pct"/>
            <w:noWrap w:val="0"/>
            <w:vAlign w:val="center"/>
          </w:tcPr>
          <w:p w14:paraId="2CC411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禁配物</w:t>
            </w:r>
          </w:p>
        </w:tc>
        <w:tc>
          <w:tcPr>
            <w:tcW w:w="4099" w:type="pct"/>
            <w:gridSpan w:val="8"/>
            <w:noWrap w:val="0"/>
            <w:vAlign w:val="top"/>
          </w:tcPr>
          <w:p w14:paraId="6EF160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强氧化剂、</w:t>
            </w:r>
            <w:r>
              <w:rPr>
                <w:rFonts w:hint="eastAsia" w:ascii="宋体" w:hAnsi="宋体" w:eastAsia="宋体" w:cs="宋体"/>
                <w:color w:val="000000"/>
                <w:kern w:val="0"/>
                <w:sz w:val="21"/>
                <w:szCs w:val="21"/>
                <w:lang w:val="en-US" w:eastAsia="zh-CN"/>
              </w:rPr>
              <w:t>碱类</w:t>
            </w:r>
            <w:r>
              <w:rPr>
                <w:rFonts w:hint="eastAsia" w:ascii="宋体" w:hAnsi="宋体" w:eastAsia="宋体" w:cs="宋体"/>
                <w:color w:val="000000"/>
                <w:kern w:val="0"/>
                <w:sz w:val="21"/>
                <w:szCs w:val="21"/>
              </w:rPr>
              <w:t>。</w:t>
            </w:r>
          </w:p>
        </w:tc>
      </w:tr>
      <w:tr w14:paraId="0A544A5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7CAD13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552" w:type="pct"/>
            <w:noWrap w:val="0"/>
            <w:vAlign w:val="center"/>
          </w:tcPr>
          <w:p w14:paraId="7B5FA1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消防</w:t>
            </w:r>
          </w:p>
          <w:p w14:paraId="674F88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措施</w:t>
            </w:r>
          </w:p>
        </w:tc>
        <w:tc>
          <w:tcPr>
            <w:tcW w:w="4099" w:type="pct"/>
            <w:gridSpan w:val="8"/>
            <w:noWrap w:val="0"/>
            <w:vAlign w:val="center"/>
          </w:tcPr>
          <w:p w14:paraId="09BD2F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切断气源。若不能切断气源，则不允许熄灭泄漏处的火焰。喷水冷却容器，尽可能将容器从火场移至空旷处。可以采用的灭火剂：雾状水、泡沫、二氧化碳、干粉。</w:t>
            </w:r>
          </w:p>
        </w:tc>
      </w:tr>
      <w:tr w14:paraId="55D97D4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91" w:hRule="atLeast"/>
          <w:jc w:val="center"/>
        </w:trPr>
        <w:tc>
          <w:tcPr>
            <w:tcW w:w="348" w:type="pct"/>
            <w:vMerge w:val="restart"/>
            <w:noWrap w:val="0"/>
            <w:vAlign w:val="center"/>
          </w:tcPr>
          <w:p w14:paraId="036518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毒性</w:t>
            </w:r>
          </w:p>
        </w:tc>
        <w:tc>
          <w:tcPr>
            <w:tcW w:w="552" w:type="pct"/>
            <w:noWrap w:val="0"/>
            <w:vAlign w:val="center"/>
          </w:tcPr>
          <w:p w14:paraId="2FBD0B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急性</w:t>
            </w:r>
          </w:p>
          <w:p w14:paraId="4F2B4C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毒性</w:t>
            </w:r>
          </w:p>
        </w:tc>
        <w:tc>
          <w:tcPr>
            <w:tcW w:w="4099" w:type="pct"/>
            <w:gridSpan w:val="8"/>
            <w:noWrap w:val="0"/>
            <w:vAlign w:val="center"/>
          </w:tcPr>
          <w:p w14:paraId="4C6056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LD50 ：无资料</w:t>
            </w:r>
          </w:p>
          <w:p w14:paraId="50247D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LC50 ：1807ppm4小时（大鼠吸入）</w:t>
            </w:r>
          </w:p>
        </w:tc>
      </w:tr>
      <w:tr w14:paraId="7A3E204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7137D8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552" w:type="pct"/>
            <w:noWrap w:val="0"/>
            <w:vAlign w:val="center"/>
          </w:tcPr>
          <w:p w14:paraId="4F2B5F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健康</w:t>
            </w:r>
          </w:p>
          <w:p w14:paraId="5D7B18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危害</w:t>
            </w:r>
          </w:p>
        </w:tc>
        <w:tc>
          <w:tcPr>
            <w:tcW w:w="4099" w:type="pct"/>
            <w:gridSpan w:val="8"/>
            <w:noWrap w:val="0"/>
            <w:vAlign w:val="center"/>
          </w:tcPr>
          <w:p w14:paraId="272A96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在短时间内吸入过量的高浓度一氧化碳会造成急性一氧化碳中毒，使人出现中毒症状，引起脑、心、肝、肾、肺及其他组织的继发性营养不良性损伤。中毒者常很快进入昏迷，呼吸困难和呼吸肌麻痹而迅速死亡，甚至电击样死亡。 </w:t>
            </w:r>
          </w:p>
        </w:tc>
      </w:tr>
      <w:tr w14:paraId="777A936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5CF94E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552" w:type="pct"/>
            <w:noWrap w:val="0"/>
            <w:vAlign w:val="center"/>
          </w:tcPr>
          <w:p w14:paraId="346E36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急救</w:t>
            </w:r>
          </w:p>
          <w:p w14:paraId="54DCD9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措施</w:t>
            </w:r>
          </w:p>
        </w:tc>
        <w:tc>
          <w:tcPr>
            <w:tcW w:w="4099" w:type="pct"/>
            <w:gridSpan w:val="8"/>
            <w:noWrap w:val="0"/>
            <w:vAlign w:val="center"/>
          </w:tcPr>
          <w:p w14:paraId="2AE9E7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吸入：迅速脱离现场至空气新鲜处。保持呼吸道</w:t>
            </w:r>
            <w:r>
              <w:rPr>
                <w:rFonts w:hint="eastAsia" w:cs="宋体"/>
                <w:color w:val="000000"/>
                <w:kern w:val="0"/>
                <w:sz w:val="21"/>
                <w:szCs w:val="21"/>
                <w:lang w:eastAsia="zh-CN"/>
              </w:rPr>
              <w:t>通</w:t>
            </w:r>
            <w:r>
              <w:rPr>
                <w:rFonts w:hint="eastAsia" w:ascii="宋体" w:hAnsi="宋体" w:eastAsia="宋体" w:cs="宋体"/>
                <w:color w:val="000000"/>
                <w:kern w:val="0"/>
                <w:sz w:val="21"/>
                <w:szCs w:val="21"/>
              </w:rPr>
              <w:t>畅。如呼吸困难，给输氧。呼吸心跳停止时，立即进行人工呼吸和胸</w:t>
            </w:r>
            <w:r>
              <w:rPr>
                <w:rFonts w:hint="eastAsia" w:ascii="宋体" w:hAnsi="宋体" w:eastAsia="宋体" w:cs="宋体"/>
                <w:color w:val="000000"/>
                <w:kern w:val="0"/>
                <w:sz w:val="21"/>
                <w:szCs w:val="21"/>
                <w:lang w:val="en-US" w:eastAsia="zh-CN"/>
              </w:rPr>
              <w:t>外</w:t>
            </w:r>
            <w:r>
              <w:rPr>
                <w:rFonts w:hint="eastAsia" w:ascii="宋体" w:hAnsi="宋体" w:eastAsia="宋体" w:cs="宋体"/>
                <w:color w:val="000000"/>
                <w:kern w:val="0"/>
                <w:sz w:val="21"/>
                <w:szCs w:val="21"/>
              </w:rPr>
              <w:t>心脏按压术。就医。</w:t>
            </w:r>
          </w:p>
        </w:tc>
      </w:tr>
      <w:tr w14:paraId="7A3B84F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restart"/>
            <w:noWrap w:val="0"/>
            <w:vAlign w:val="center"/>
          </w:tcPr>
          <w:p w14:paraId="08E6D0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贮运条件</w:t>
            </w:r>
          </w:p>
        </w:tc>
        <w:tc>
          <w:tcPr>
            <w:tcW w:w="926" w:type="pct"/>
            <w:gridSpan w:val="2"/>
            <w:noWrap w:val="0"/>
            <w:vAlign w:val="center"/>
          </w:tcPr>
          <w:p w14:paraId="791E1A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危规号：</w:t>
            </w:r>
            <w:r>
              <w:rPr>
                <w:rFonts w:hint="eastAsia" w:ascii="宋体" w:hAnsi="宋体" w:eastAsia="宋体" w:cs="宋体"/>
                <w:color w:val="000000"/>
                <w:kern w:val="0"/>
                <w:sz w:val="21"/>
                <w:szCs w:val="21"/>
                <w:lang w:val="en-US" w:eastAsia="zh-CN"/>
              </w:rPr>
              <w:t>21005</w:t>
            </w:r>
          </w:p>
        </w:tc>
        <w:tc>
          <w:tcPr>
            <w:tcW w:w="905" w:type="pct"/>
            <w:gridSpan w:val="2"/>
            <w:noWrap w:val="0"/>
            <w:vAlign w:val="center"/>
          </w:tcPr>
          <w:p w14:paraId="0017BD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UN编号：10</w:t>
            </w:r>
            <w:r>
              <w:rPr>
                <w:rFonts w:hint="eastAsia" w:ascii="宋体" w:hAnsi="宋体" w:eastAsia="宋体" w:cs="宋体"/>
                <w:color w:val="000000"/>
                <w:kern w:val="0"/>
                <w:sz w:val="21"/>
                <w:szCs w:val="21"/>
                <w:lang w:val="en-US" w:eastAsia="zh-CN"/>
              </w:rPr>
              <w:t>16</w:t>
            </w:r>
          </w:p>
        </w:tc>
        <w:tc>
          <w:tcPr>
            <w:tcW w:w="1474" w:type="pct"/>
            <w:gridSpan w:val="4"/>
            <w:noWrap w:val="0"/>
            <w:vAlign w:val="center"/>
          </w:tcPr>
          <w:p w14:paraId="494F70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包装标志</w:t>
            </w:r>
            <w:r>
              <w:rPr>
                <w:rFonts w:hint="eastAsia" w:cs="宋体"/>
                <w:color w:val="000000"/>
                <w:kern w:val="0"/>
                <w:sz w:val="21"/>
                <w:szCs w:val="21"/>
                <w:lang w:eastAsia="zh-CN"/>
              </w:rPr>
              <w:t>：</w:t>
            </w:r>
          </w:p>
        </w:tc>
        <w:tc>
          <w:tcPr>
            <w:tcW w:w="1345" w:type="pct"/>
            <w:noWrap w:val="0"/>
            <w:vAlign w:val="center"/>
          </w:tcPr>
          <w:p w14:paraId="3CD71E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rPr>
              <w:t>包装类别</w:t>
            </w:r>
            <w:r>
              <w:rPr>
                <w:rFonts w:hint="eastAsia" w:cs="宋体"/>
                <w:color w:val="000000"/>
                <w:kern w:val="0"/>
                <w:sz w:val="21"/>
                <w:szCs w:val="21"/>
                <w:lang w:eastAsia="zh-CN"/>
              </w:rPr>
              <w:t>：</w:t>
            </w:r>
          </w:p>
        </w:tc>
      </w:tr>
      <w:tr w14:paraId="60732A5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vMerge w:val="continue"/>
            <w:noWrap w:val="0"/>
            <w:vAlign w:val="center"/>
          </w:tcPr>
          <w:p w14:paraId="15B3E9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p>
        </w:tc>
        <w:tc>
          <w:tcPr>
            <w:tcW w:w="4651" w:type="pct"/>
            <w:gridSpan w:val="9"/>
            <w:noWrap w:val="0"/>
            <w:vAlign w:val="center"/>
          </w:tcPr>
          <w:p w14:paraId="16071E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储存于阴凉、通风的库房。远离火种、热源。库温不宜超过30℃。应与氧化剂、碱类、食用化学品分开存放，切忌混储。采用防爆型照明、通风设施。禁止使用易产生火花的机械设备和工具。储区应备有泄漏应急处理设备。</w:t>
            </w:r>
          </w:p>
        </w:tc>
      </w:tr>
      <w:tr w14:paraId="2220553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3" w:hRule="atLeast"/>
          <w:jc w:val="center"/>
        </w:trPr>
        <w:tc>
          <w:tcPr>
            <w:tcW w:w="348" w:type="pct"/>
            <w:noWrap w:val="0"/>
            <w:vAlign w:val="center"/>
          </w:tcPr>
          <w:p w14:paraId="4810AD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泄漏应急处理</w:t>
            </w:r>
          </w:p>
        </w:tc>
        <w:tc>
          <w:tcPr>
            <w:tcW w:w="4651" w:type="pct"/>
            <w:gridSpan w:val="9"/>
            <w:noWrap w:val="0"/>
            <w:vAlign w:val="center"/>
          </w:tcPr>
          <w:p w14:paraId="653E3D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迅速撤离泄漏污染区人员至上风处，并立即隔离</w:t>
            </w:r>
            <w:r>
              <w:rPr>
                <w:rFonts w:hint="eastAsia" w:ascii="宋体" w:hAnsi="宋体" w:eastAsia="宋体" w:cs="宋体"/>
                <w:color w:val="000000"/>
                <w:kern w:val="0"/>
                <w:sz w:val="21"/>
                <w:szCs w:val="21"/>
                <w:lang w:val="en-US" w:eastAsia="zh-CN"/>
              </w:rPr>
              <w:t>150</w:t>
            </w:r>
            <w:r>
              <w:rPr>
                <w:rFonts w:hint="eastAsia" w:ascii="宋体" w:hAnsi="宋体" w:eastAsia="宋体" w:cs="宋体"/>
                <w:color w:val="000000"/>
                <w:kern w:val="0"/>
                <w:sz w:val="21"/>
                <w:szCs w:val="21"/>
              </w:rPr>
              <w:t>m，严格限制出入。切断火源。建议应急处理人员戴自给正压式呼吸器，穿防静电工作服。尽可能切断泄漏源。合理通风，加速扩散。喷雾状水稀释、溶解。构筑围堤或挖坑收容产生的大量废水。如有可能，将漏出气用排风机送至空旷地方或装设适当喷头烧掉。也可以用管路导至炉中、凹地焚之。漏气容器要妥善处理，修复、检验后再用。</w:t>
            </w:r>
          </w:p>
        </w:tc>
      </w:tr>
    </w:tbl>
    <w:p w14:paraId="3C631693">
      <w:pPr>
        <w:keepNext w:val="0"/>
        <w:keepLines w:val="0"/>
        <w:pageBreakBefore w:val="0"/>
        <w:widowControl w:val="0"/>
        <w:kinsoku/>
        <w:bidi w:val="0"/>
        <w:spacing w:before="50" w:beforeLines="50" w:line="240" w:lineRule="auto"/>
        <w:ind w:left="0" w:leftChars="0" w:right="0" w:rightChars="0" w:firstLine="0" w:firstLineChars="0"/>
        <w:jc w:val="center"/>
        <w:rPr>
          <w:rFonts w:hint="eastAsia" w:ascii="宋体" w:hAnsi="宋体" w:cs="Times New Roman"/>
          <w:b/>
          <w:kern w:val="2"/>
          <w:sz w:val="24"/>
          <w:szCs w:val="24"/>
          <w:lang w:val="en-US" w:eastAsia="zh-CN" w:bidi="ar-SA"/>
        </w:rPr>
      </w:pPr>
      <w:r>
        <w:rPr>
          <w:rFonts w:hint="eastAsia" w:ascii="宋体" w:hAnsi="宋体" w:eastAsia="宋体" w:cs="Times New Roman"/>
          <w:b/>
          <w:kern w:val="2"/>
          <w:sz w:val="24"/>
          <w:szCs w:val="24"/>
          <w:lang w:val="en-US" w:eastAsia="zh-CN" w:bidi="ar-SA"/>
        </w:rPr>
        <w:t xml:space="preserve">表 </w:t>
      </w:r>
      <w:r>
        <w:rPr>
          <w:rFonts w:hint="eastAsia" w:ascii="宋体" w:hAnsi="宋体" w:eastAsia="宋体" w:cs="Times New Roman"/>
          <w:b/>
          <w:kern w:val="2"/>
          <w:sz w:val="24"/>
          <w:szCs w:val="24"/>
          <w:lang w:val="en-US" w:eastAsia="zh-CN" w:bidi="ar-SA"/>
        </w:rPr>
        <w:fldChar w:fldCharType="begin"/>
      </w:r>
      <w:r>
        <w:rPr>
          <w:rFonts w:hint="eastAsia" w:ascii="宋体" w:hAnsi="宋体" w:eastAsia="宋体" w:cs="Times New Roman"/>
          <w:b/>
          <w:kern w:val="2"/>
          <w:sz w:val="24"/>
          <w:szCs w:val="24"/>
          <w:lang w:val="en-US" w:eastAsia="zh-CN" w:bidi="ar-SA"/>
        </w:rPr>
        <w:instrText xml:space="preserve"> STYLEREF 1 \s </w:instrText>
      </w:r>
      <w:r>
        <w:rPr>
          <w:rFonts w:hint="eastAsia" w:ascii="宋体" w:hAnsi="宋体" w:eastAsia="宋体" w:cs="Times New Roman"/>
          <w:b/>
          <w:kern w:val="2"/>
          <w:sz w:val="24"/>
          <w:szCs w:val="24"/>
          <w:lang w:val="en-US" w:eastAsia="zh-CN" w:bidi="ar-SA"/>
        </w:rPr>
        <w:fldChar w:fldCharType="separate"/>
      </w:r>
      <w:r>
        <w:rPr>
          <w:rFonts w:hint="eastAsia" w:ascii="宋体" w:hAnsi="宋体" w:eastAsia="宋体" w:cs="Times New Roman"/>
          <w:b/>
          <w:kern w:val="2"/>
          <w:sz w:val="24"/>
          <w:szCs w:val="24"/>
          <w:lang w:val="en-US" w:eastAsia="zh-CN" w:bidi="ar-SA"/>
        </w:rPr>
        <w:t>3</w:t>
      </w:r>
      <w:r>
        <w:rPr>
          <w:rFonts w:hint="eastAsia" w:ascii="宋体" w:hAnsi="宋体" w:eastAsia="宋体" w:cs="Times New Roman"/>
          <w:b/>
          <w:kern w:val="2"/>
          <w:sz w:val="24"/>
          <w:szCs w:val="24"/>
          <w:lang w:val="en-US" w:eastAsia="zh-CN" w:bidi="ar-SA"/>
        </w:rPr>
        <w:fldChar w:fldCharType="end"/>
      </w:r>
      <w:r>
        <w:rPr>
          <w:rFonts w:hint="eastAsia" w:ascii="宋体" w:hAnsi="宋体" w:eastAsia="宋体" w:cs="Times New Roman"/>
          <w:b/>
          <w:kern w:val="2"/>
          <w:sz w:val="24"/>
          <w:szCs w:val="24"/>
          <w:lang w:val="en-US" w:eastAsia="zh-CN" w:bidi="ar-SA"/>
        </w:rPr>
        <w:t>-</w:t>
      </w:r>
      <w:r>
        <w:rPr>
          <w:rFonts w:hint="eastAsia" w:ascii="宋体" w:hAnsi="宋体" w:eastAsia="宋体" w:cs="Times New Roman"/>
          <w:b/>
          <w:kern w:val="2"/>
          <w:sz w:val="24"/>
          <w:szCs w:val="24"/>
          <w:lang w:val="en-US" w:eastAsia="zh-CN" w:bidi="ar-SA"/>
        </w:rPr>
        <w:fldChar w:fldCharType="begin"/>
      </w:r>
      <w:r>
        <w:rPr>
          <w:rFonts w:hint="eastAsia" w:ascii="宋体" w:hAnsi="宋体" w:eastAsia="宋体" w:cs="Times New Roman"/>
          <w:b/>
          <w:kern w:val="2"/>
          <w:sz w:val="24"/>
          <w:szCs w:val="24"/>
          <w:lang w:val="en-US" w:eastAsia="zh-CN" w:bidi="ar-SA"/>
        </w:rPr>
        <w:instrText xml:space="preserve"> SEQ 表 \* ARABIC \s 1 </w:instrText>
      </w:r>
      <w:r>
        <w:rPr>
          <w:rFonts w:hint="eastAsia" w:ascii="宋体" w:hAnsi="宋体" w:eastAsia="宋体" w:cs="Times New Roman"/>
          <w:b/>
          <w:kern w:val="2"/>
          <w:sz w:val="24"/>
          <w:szCs w:val="24"/>
          <w:lang w:val="en-US" w:eastAsia="zh-CN" w:bidi="ar-SA"/>
        </w:rPr>
        <w:fldChar w:fldCharType="separate"/>
      </w:r>
      <w:r>
        <w:rPr>
          <w:rFonts w:hint="eastAsia" w:ascii="宋体" w:hAnsi="宋体" w:eastAsia="宋体" w:cs="Times New Roman"/>
          <w:b/>
          <w:kern w:val="2"/>
          <w:sz w:val="24"/>
          <w:szCs w:val="24"/>
          <w:lang w:val="en-US" w:eastAsia="zh-CN" w:bidi="ar-SA"/>
        </w:rPr>
        <w:t>6</w:t>
      </w:r>
      <w:r>
        <w:rPr>
          <w:rFonts w:hint="eastAsia" w:ascii="宋体" w:hAnsi="宋体" w:eastAsia="宋体" w:cs="Times New Roman"/>
          <w:b/>
          <w:kern w:val="2"/>
          <w:sz w:val="24"/>
          <w:szCs w:val="24"/>
          <w:lang w:val="en-US" w:eastAsia="zh-CN" w:bidi="ar-SA"/>
        </w:rPr>
        <w:fldChar w:fldCharType="end"/>
      </w:r>
      <w:r>
        <w:rPr>
          <w:rFonts w:hint="eastAsia" w:ascii="宋体" w:hAnsi="宋体" w:eastAsia="宋体" w:cs="Times New Roman"/>
          <w:b/>
          <w:kern w:val="2"/>
          <w:sz w:val="24"/>
          <w:szCs w:val="24"/>
          <w:lang w:val="en-US" w:eastAsia="zh-CN" w:bidi="ar-SA"/>
        </w:rPr>
        <w:t xml:space="preserve">  </w:t>
      </w:r>
      <w:r>
        <w:rPr>
          <w:rFonts w:hint="eastAsia" w:ascii="宋体" w:hAnsi="宋体" w:cs="Times New Roman"/>
          <w:b/>
          <w:kern w:val="2"/>
          <w:sz w:val="24"/>
          <w:szCs w:val="24"/>
          <w:lang w:val="en-US" w:eastAsia="zh-CN" w:bidi="ar-SA"/>
        </w:rPr>
        <w:t>危险化学品理化特性及危险特性</w:t>
      </w:r>
      <w:r>
        <w:rPr>
          <w:rFonts w:hint="eastAsia" w:cs="Times New Roman"/>
          <w:b/>
          <w:kern w:val="2"/>
          <w:sz w:val="24"/>
          <w:szCs w:val="24"/>
          <w:lang w:val="en-US" w:eastAsia="zh-CN" w:bidi="ar-SA"/>
        </w:rPr>
        <w:t>（二氧化碳）</w:t>
      </w:r>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48"/>
        <w:gridCol w:w="1578"/>
        <w:gridCol w:w="927"/>
        <w:gridCol w:w="133"/>
        <w:gridCol w:w="484"/>
        <w:gridCol w:w="847"/>
        <w:gridCol w:w="1048"/>
        <w:gridCol w:w="114"/>
        <w:gridCol w:w="661"/>
        <w:gridCol w:w="825"/>
        <w:gridCol w:w="1455"/>
      </w:tblGrid>
      <w:tr w14:paraId="5DA419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restart"/>
            <w:tcBorders>
              <w:tl2br w:val="nil"/>
              <w:tr2bl w:val="nil"/>
            </w:tcBorders>
            <w:noWrap w:val="0"/>
            <w:vAlign w:val="center"/>
          </w:tcPr>
          <w:p w14:paraId="136247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标识</w:t>
            </w:r>
          </w:p>
        </w:tc>
        <w:tc>
          <w:tcPr>
            <w:tcW w:w="2944" w:type="pct"/>
            <w:gridSpan w:val="6"/>
            <w:tcBorders>
              <w:tl2br w:val="nil"/>
              <w:tr2bl w:val="nil"/>
            </w:tcBorders>
            <w:noWrap w:val="0"/>
            <w:vAlign w:val="center"/>
          </w:tcPr>
          <w:p w14:paraId="42D8E5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auto"/>
              <w:rPr>
                <w:rFonts w:hint="eastAsia" w:ascii="宋体" w:hAnsi="宋体" w:eastAsia="宋体" w:cs="宋体"/>
                <w:sz w:val="21"/>
                <w:szCs w:val="21"/>
              </w:rPr>
            </w:pPr>
            <w:r>
              <w:rPr>
                <w:rFonts w:hint="eastAsia" w:ascii="宋体" w:hAnsi="宋体" w:eastAsia="宋体" w:cs="宋体"/>
                <w:spacing w:val="10"/>
                <w:sz w:val="21"/>
                <w:szCs w:val="21"/>
              </w:rPr>
              <w:t>中文名：</w:t>
            </w:r>
            <w:r>
              <w:rPr>
                <w:rFonts w:hint="eastAsia" w:ascii="宋体" w:hAnsi="宋体" w:eastAsia="宋体" w:cs="宋体"/>
                <w:sz w:val="21"/>
                <w:szCs w:val="21"/>
              </w:rPr>
              <w:t>二氧化碳 [压缩的]；碳（酸）酐</w:t>
            </w:r>
          </w:p>
        </w:tc>
        <w:tc>
          <w:tcPr>
            <w:tcW w:w="1792" w:type="pct"/>
            <w:gridSpan w:val="4"/>
            <w:tcBorders>
              <w:tl2br w:val="nil"/>
              <w:tr2bl w:val="nil"/>
            </w:tcBorders>
            <w:noWrap w:val="0"/>
            <w:vAlign w:val="center"/>
          </w:tcPr>
          <w:p w14:paraId="502A99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危险货物编号：22019</w:t>
            </w:r>
          </w:p>
        </w:tc>
      </w:tr>
      <w:tr w14:paraId="177AE0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7BF8D7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p>
        </w:tc>
        <w:tc>
          <w:tcPr>
            <w:tcW w:w="2944" w:type="pct"/>
            <w:gridSpan w:val="6"/>
            <w:tcBorders>
              <w:tl2br w:val="nil"/>
              <w:tr2bl w:val="nil"/>
            </w:tcBorders>
            <w:noWrap w:val="0"/>
            <w:vAlign w:val="center"/>
          </w:tcPr>
          <w:p w14:paraId="71C3C3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英文名</w:t>
            </w:r>
            <w:r>
              <w:rPr>
                <w:rFonts w:hint="eastAsia" w:ascii="宋体" w:hAnsi="宋体" w:eastAsia="宋体" w:cs="宋体"/>
                <w:spacing w:val="10"/>
                <w:sz w:val="21"/>
                <w:szCs w:val="21"/>
                <w:lang w:val="en-GB"/>
              </w:rPr>
              <w:t>：</w:t>
            </w:r>
            <w:r>
              <w:rPr>
                <w:rFonts w:hint="eastAsia" w:ascii="宋体" w:hAnsi="宋体" w:eastAsia="宋体" w:cs="宋体"/>
                <w:sz w:val="21"/>
                <w:szCs w:val="21"/>
              </w:rPr>
              <w:t>Carbon dioxide，compressed</w:t>
            </w:r>
          </w:p>
        </w:tc>
        <w:tc>
          <w:tcPr>
            <w:tcW w:w="1792" w:type="pct"/>
            <w:gridSpan w:val="4"/>
            <w:tcBorders>
              <w:tl2br w:val="nil"/>
              <w:tr2bl w:val="nil"/>
            </w:tcBorders>
            <w:noWrap w:val="0"/>
            <w:vAlign w:val="center"/>
          </w:tcPr>
          <w:p w14:paraId="372969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UN编号：1013</w:t>
            </w:r>
          </w:p>
        </w:tc>
      </w:tr>
      <w:tr w14:paraId="163B96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6A45E7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p>
        </w:tc>
        <w:tc>
          <w:tcPr>
            <w:tcW w:w="1470" w:type="pct"/>
            <w:gridSpan w:val="2"/>
            <w:tcBorders>
              <w:tl2br w:val="nil"/>
              <w:tr2bl w:val="nil"/>
            </w:tcBorders>
            <w:noWrap w:val="0"/>
            <w:vAlign w:val="center"/>
          </w:tcPr>
          <w:p w14:paraId="5E7CF5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分子式</w:t>
            </w:r>
            <w:r>
              <w:rPr>
                <w:rFonts w:hint="eastAsia" w:ascii="宋体" w:hAnsi="宋体" w:eastAsia="宋体" w:cs="宋体"/>
                <w:spacing w:val="10"/>
                <w:sz w:val="21"/>
                <w:szCs w:val="21"/>
                <w:lang w:val="en-GB"/>
              </w:rPr>
              <w:t>：</w:t>
            </w:r>
            <w:r>
              <w:rPr>
                <w:rFonts w:hint="eastAsia" w:ascii="宋体" w:hAnsi="宋体" w:eastAsia="宋体" w:cs="宋体"/>
                <w:sz w:val="21"/>
                <w:szCs w:val="21"/>
              </w:rPr>
              <w:t>CO</w:t>
            </w:r>
            <w:r>
              <w:rPr>
                <w:rFonts w:hint="eastAsia" w:ascii="宋体" w:hAnsi="宋体" w:eastAsia="宋体" w:cs="宋体"/>
                <w:sz w:val="21"/>
                <w:szCs w:val="21"/>
                <w:vertAlign w:val="subscript"/>
              </w:rPr>
              <w:t>2</w:t>
            </w:r>
          </w:p>
        </w:tc>
        <w:tc>
          <w:tcPr>
            <w:tcW w:w="1473" w:type="pct"/>
            <w:gridSpan w:val="4"/>
            <w:tcBorders>
              <w:tl2br w:val="nil"/>
              <w:tr2bl w:val="nil"/>
            </w:tcBorders>
            <w:noWrap w:val="0"/>
            <w:vAlign w:val="center"/>
          </w:tcPr>
          <w:p w14:paraId="49E7CC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分子量：</w:t>
            </w:r>
            <w:r>
              <w:rPr>
                <w:rFonts w:hint="eastAsia" w:ascii="宋体" w:hAnsi="宋体" w:eastAsia="宋体" w:cs="宋体"/>
                <w:sz w:val="21"/>
                <w:szCs w:val="21"/>
              </w:rPr>
              <w:t>44</w:t>
            </w:r>
          </w:p>
        </w:tc>
        <w:tc>
          <w:tcPr>
            <w:tcW w:w="1792" w:type="pct"/>
            <w:gridSpan w:val="4"/>
            <w:tcBorders>
              <w:tl2br w:val="nil"/>
              <w:tr2bl w:val="nil"/>
            </w:tcBorders>
            <w:noWrap w:val="0"/>
            <w:vAlign w:val="center"/>
          </w:tcPr>
          <w:p w14:paraId="008438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CAS号：</w:t>
            </w:r>
            <w:r>
              <w:rPr>
                <w:rFonts w:hint="eastAsia" w:ascii="宋体" w:hAnsi="宋体" w:eastAsia="宋体" w:cs="宋体"/>
                <w:color w:val="000000"/>
                <w:spacing w:val="10"/>
                <w:sz w:val="21"/>
                <w:szCs w:val="21"/>
              </w:rPr>
              <w:t>124-38-9</w:t>
            </w:r>
          </w:p>
        </w:tc>
      </w:tr>
      <w:tr w14:paraId="02DF3D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restart"/>
            <w:tcBorders>
              <w:tl2br w:val="nil"/>
              <w:tr2bl w:val="nil"/>
            </w:tcBorders>
            <w:noWrap w:val="0"/>
            <w:vAlign w:val="center"/>
          </w:tcPr>
          <w:p w14:paraId="725A2C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理化性质</w:t>
            </w:r>
          </w:p>
        </w:tc>
        <w:tc>
          <w:tcPr>
            <w:tcW w:w="926" w:type="pct"/>
            <w:tcBorders>
              <w:tl2br w:val="nil"/>
              <w:tr2bl w:val="nil"/>
            </w:tcBorders>
            <w:noWrap w:val="0"/>
            <w:vAlign w:val="center"/>
          </w:tcPr>
          <w:p w14:paraId="600CBC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外观与性状</w:t>
            </w:r>
          </w:p>
        </w:tc>
        <w:tc>
          <w:tcPr>
            <w:tcW w:w="3809" w:type="pct"/>
            <w:gridSpan w:val="9"/>
            <w:tcBorders>
              <w:tl2br w:val="nil"/>
              <w:tr2bl w:val="nil"/>
            </w:tcBorders>
            <w:noWrap w:val="0"/>
            <w:vAlign w:val="center"/>
          </w:tcPr>
          <w:p w14:paraId="65C7C5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auto"/>
              <w:rPr>
                <w:rFonts w:hint="eastAsia" w:ascii="宋体" w:hAnsi="宋体" w:eastAsia="宋体" w:cs="宋体"/>
                <w:spacing w:val="10"/>
                <w:sz w:val="21"/>
                <w:szCs w:val="21"/>
              </w:rPr>
            </w:pPr>
            <w:r>
              <w:rPr>
                <w:rFonts w:hint="eastAsia" w:ascii="宋体" w:hAnsi="宋体" w:eastAsia="宋体" w:cs="宋体"/>
                <w:sz w:val="21"/>
                <w:szCs w:val="21"/>
              </w:rPr>
              <w:t>无色无臭气体。</w:t>
            </w:r>
          </w:p>
        </w:tc>
      </w:tr>
      <w:tr w14:paraId="5F0028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16B656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p>
        </w:tc>
        <w:tc>
          <w:tcPr>
            <w:tcW w:w="926" w:type="pct"/>
            <w:tcBorders>
              <w:tl2br w:val="nil"/>
              <w:tr2bl w:val="nil"/>
            </w:tcBorders>
            <w:noWrap w:val="0"/>
            <w:vAlign w:val="center"/>
          </w:tcPr>
          <w:p w14:paraId="01D424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熔点（℃）</w:t>
            </w:r>
          </w:p>
        </w:tc>
        <w:tc>
          <w:tcPr>
            <w:tcW w:w="906" w:type="pct"/>
            <w:gridSpan w:val="3"/>
            <w:tcBorders>
              <w:tl2br w:val="nil"/>
              <w:tr2bl w:val="nil"/>
            </w:tcBorders>
            <w:noWrap w:val="0"/>
            <w:vAlign w:val="center"/>
          </w:tcPr>
          <w:p w14:paraId="7D4670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-56.6</w:t>
            </w:r>
          </w:p>
        </w:tc>
        <w:tc>
          <w:tcPr>
            <w:tcW w:w="1567" w:type="pct"/>
            <w:gridSpan w:val="4"/>
            <w:tcBorders>
              <w:tl2br w:val="nil"/>
              <w:tr2bl w:val="nil"/>
            </w:tcBorders>
            <w:noWrap w:val="0"/>
            <w:vAlign w:val="center"/>
          </w:tcPr>
          <w:p w14:paraId="42E52F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相对密度(空气=1)</w:t>
            </w:r>
          </w:p>
        </w:tc>
        <w:tc>
          <w:tcPr>
            <w:tcW w:w="1335" w:type="pct"/>
            <w:gridSpan w:val="2"/>
            <w:tcBorders>
              <w:tl2br w:val="nil"/>
              <w:tr2bl w:val="nil"/>
            </w:tcBorders>
            <w:noWrap w:val="0"/>
            <w:vAlign w:val="center"/>
          </w:tcPr>
          <w:p w14:paraId="6A991B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1.53</w:t>
            </w:r>
          </w:p>
        </w:tc>
      </w:tr>
      <w:tr w14:paraId="79F79A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494CF7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p>
        </w:tc>
        <w:tc>
          <w:tcPr>
            <w:tcW w:w="926" w:type="pct"/>
            <w:tcBorders>
              <w:tl2br w:val="nil"/>
              <w:tr2bl w:val="nil"/>
            </w:tcBorders>
            <w:noWrap w:val="0"/>
            <w:vAlign w:val="center"/>
          </w:tcPr>
          <w:p w14:paraId="3E4D04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临界温度（℃）</w:t>
            </w:r>
          </w:p>
        </w:tc>
        <w:tc>
          <w:tcPr>
            <w:tcW w:w="906" w:type="pct"/>
            <w:gridSpan w:val="3"/>
            <w:tcBorders>
              <w:tl2br w:val="nil"/>
              <w:tr2bl w:val="nil"/>
            </w:tcBorders>
            <w:noWrap w:val="0"/>
            <w:vAlign w:val="center"/>
          </w:tcPr>
          <w:p w14:paraId="2EEF18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31.0</w:t>
            </w:r>
          </w:p>
        </w:tc>
        <w:tc>
          <w:tcPr>
            <w:tcW w:w="1567" w:type="pct"/>
            <w:gridSpan w:val="4"/>
            <w:tcBorders>
              <w:tl2br w:val="nil"/>
              <w:tr2bl w:val="nil"/>
            </w:tcBorders>
            <w:noWrap w:val="0"/>
            <w:vAlign w:val="center"/>
          </w:tcPr>
          <w:p w14:paraId="0C8368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临界压力（MPa）</w:t>
            </w:r>
          </w:p>
        </w:tc>
        <w:tc>
          <w:tcPr>
            <w:tcW w:w="1335" w:type="pct"/>
            <w:gridSpan w:val="2"/>
            <w:tcBorders>
              <w:tl2br w:val="nil"/>
              <w:tr2bl w:val="nil"/>
            </w:tcBorders>
            <w:noWrap w:val="0"/>
            <w:vAlign w:val="center"/>
          </w:tcPr>
          <w:p w14:paraId="04808F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7.38</w:t>
            </w:r>
          </w:p>
        </w:tc>
      </w:tr>
      <w:tr w14:paraId="78EFD9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38D104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p>
        </w:tc>
        <w:tc>
          <w:tcPr>
            <w:tcW w:w="926" w:type="pct"/>
            <w:tcBorders>
              <w:tl2br w:val="nil"/>
              <w:tr2bl w:val="nil"/>
            </w:tcBorders>
            <w:noWrap w:val="0"/>
            <w:vAlign w:val="center"/>
          </w:tcPr>
          <w:p w14:paraId="37BCA2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沸点（℃）</w:t>
            </w:r>
          </w:p>
        </w:tc>
        <w:tc>
          <w:tcPr>
            <w:tcW w:w="906" w:type="pct"/>
            <w:gridSpan w:val="3"/>
            <w:tcBorders>
              <w:tl2br w:val="nil"/>
              <w:tr2bl w:val="nil"/>
            </w:tcBorders>
            <w:noWrap w:val="0"/>
            <w:vAlign w:val="center"/>
          </w:tcPr>
          <w:p w14:paraId="70DBD8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-78.5</w:t>
            </w:r>
          </w:p>
        </w:tc>
        <w:tc>
          <w:tcPr>
            <w:tcW w:w="1567" w:type="pct"/>
            <w:gridSpan w:val="4"/>
            <w:tcBorders>
              <w:tl2br w:val="nil"/>
              <w:tr2bl w:val="nil"/>
            </w:tcBorders>
            <w:noWrap w:val="0"/>
            <w:vAlign w:val="center"/>
          </w:tcPr>
          <w:p w14:paraId="6DAC6C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4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蒸气压（kPa）</w:t>
            </w:r>
          </w:p>
        </w:tc>
        <w:tc>
          <w:tcPr>
            <w:tcW w:w="1335" w:type="pct"/>
            <w:gridSpan w:val="2"/>
            <w:tcBorders>
              <w:tl2br w:val="nil"/>
              <w:tr2bl w:val="nil"/>
            </w:tcBorders>
            <w:noWrap w:val="0"/>
            <w:vAlign w:val="center"/>
          </w:tcPr>
          <w:p w14:paraId="13C96F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z w:val="21"/>
                <w:szCs w:val="21"/>
              </w:rPr>
              <w:t>1013.25/-39℃</w:t>
            </w:r>
          </w:p>
        </w:tc>
      </w:tr>
      <w:tr w14:paraId="4BA17E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27B150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p>
        </w:tc>
        <w:tc>
          <w:tcPr>
            <w:tcW w:w="926" w:type="pct"/>
            <w:tcBorders>
              <w:tl2br w:val="nil"/>
              <w:tr2bl w:val="nil"/>
            </w:tcBorders>
            <w:noWrap w:val="0"/>
            <w:vAlign w:val="center"/>
          </w:tcPr>
          <w:p w14:paraId="751D2B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溶解性</w:t>
            </w:r>
          </w:p>
        </w:tc>
        <w:tc>
          <w:tcPr>
            <w:tcW w:w="3809" w:type="pct"/>
            <w:gridSpan w:val="9"/>
            <w:tcBorders>
              <w:tl2br w:val="nil"/>
              <w:tr2bl w:val="nil"/>
            </w:tcBorders>
            <w:noWrap w:val="0"/>
            <w:vAlign w:val="center"/>
          </w:tcPr>
          <w:p w14:paraId="1AD40B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auto"/>
              <w:rPr>
                <w:rFonts w:hint="eastAsia" w:ascii="宋体" w:hAnsi="宋体" w:eastAsia="宋体" w:cs="宋体"/>
                <w:spacing w:val="10"/>
                <w:sz w:val="21"/>
                <w:szCs w:val="21"/>
              </w:rPr>
            </w:pPr>
            <w:r>
              <w:rPr>
                <w:rFonts w:hint="eastAsia" w:ascii="宋体" w:hAnsi="宋体" w:eastAsia="宋体" w:cs="宋体"/>
                <w:sz w:val="21"/>
                <w:szCs w:val="21"/>
              </w:rPr>
              <w:t>溶于水、烃类等多数有机溶剂。</w:t>
            </w:r>
          </w:p>
        </w:tc>
      </w:tr>
      <w:tr w14:paraId="19EB66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restart"/>
            <w:tcBorders>
              <w:tl2br w:val="nil"/>
              <w:tr2bl w:val="nil"/>
            </w:tcBorders>
            <w:noWrap w:val="0"/>
            <w:vAlign w:val="center"/>
          </w:tcPr>
          <w:p w14:paraId="2D565F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健康危害</w:t>
            </w:r>
          </w:p>
        </w:tc>
        <w:tc>
          <w:tcPr>
            <w:tcW w:w="926" w:type="pct"/>
            <w:tcBorders>
              <w:tl2br w:val="nil"/>
              <w:tr2bl w:val="nil"/>
            </w:tcBorders>
            <w:noWrap w:val="0"/>
            <w:vAlign w:val="center"/>
          </w:tcPr>
          <w:p w14:paraId="36C2EE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侵入途径</w:t>
            </w:r>
          </w:p>
        </w:tc>
        <w:tc>
          <w:tcPr>
            <w:tcW w:w="3809" w:type="pct"/>
            <w:gridSpan w:val="9"/>
            <w:tcBorders>
              <w:tl2br w:val="nil"/>
              <w:tr2bl w:val="nil"/>
            </w:tcBorders>
            <w:noWrap w:val="0"/>
            <w:vAlign w:val="center"/>
          </w:tcPr>
          <w:p w14:paraId="2C5FB6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auto"/>
              <w:rPr>
                <w:rFonts w:hint="eastAsia" w:ascii="宋体" w:hAnsi="宋体" w:eastAsia="宋体" w:cs="宋体"/>
                <w:spacing w:val="10"/>
                <w:sz w:val="21"/>
                <w:szCs w:val="21"/>
              </w:rPr>
            </w:pPr>
            <w:r>
              <w:rPr>
                <w:rFonts w:hint="eastAsia" w:ascii="宋体" w:hAnsi="宋体" w:eastAsia="宋体" w:cs="宋体"/>
                <w:sz w:val="21"/>
                <w:szCs w:val="21"/>
              </w:rPr>
              <w:t>吸入。</w:t>
            </w:r>
          </w:p>
        </w:tc>
      </w:tr>
      <w:tr w14:paraId="416390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371B4C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lang w:val="en-US" w:eastAsia="zh-CN"/>
              </w:rPr>
            </w:pPr>
          </w:p>
        </w:tc>
        <w:tc>
          <w:tcPr>
            <w:tcW w:w="926" w:type="pct"/>
            <w:tcBorders>
              <w:tl2br w:val="nil"/>
              <w:tr2bl w:val="nil"/>
            </w:tcBorders>
            <w:noWrap w:val="0"/>
            <w:vAlign w:val="center"/>
          </w:tcPr>
          <w:p w14:paraId="6097A7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健康危害</w:t>
            </w:r>
          </w:p>
        </w:tc>
        <w:tc>
          <w:tcPr>
            <w:tcW w:w="3809" w:type="pct"/>
            <w:gridSpan w:val="9"/>
            <w:tcBorders>
              <w:tl2br w:val="nil"/>
              <w:tr2bl w:val="nil"/>
            </w:tcBorders>
            <w:noWrap w:val="0"/>
            <w:vAlign w:val="center"/>
          </w:tcPr>
          <w:p w14:paraId="79A4AF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auto"/>
              <w:rPr>
                <w:rFonts w:hint="eastAsia" w:ascii="宋体" w:hAnsi="宋体" w:eastAsia="宋体" w:cs="宋体"/>
                <w:sz w:val="21"/>
                <w:szCs w:val="21"/>
              </w:rPr>
            </w:pPr>
            <w:r>
              <w:rPr>
                <w:rFonts w:hint="eastAsia" w:ascii="宋体" w:hAnsi="宋体" w:eastAsia="宋体" w:cs="宋体"/>
                <w:color w:val="000000"/>
                <w:sz w:val="21"/>
                <w:szCs w:val="21"/>
              </w:rPr>
              <w:t>窒息性气体，容器</w:t>
            </w:r>
            <w:r>
              <w:rPr>
                <w:rFonts w:hint="eastAsia" w:cs="宋体"/>
                <w:color w:val="000000"/>
                <w:sz w:val="21"/>
                <w:szCs w:val="21"/>
                <w:lang w:eastAsia="zh-CN"/>
              </w:rPr>
              <w:t>泄漏</w:t>
            </w:r>
            <w:r>
              <w:rPr>
                <w:rFonts w:hint="eastAsia" w:ascii="宋体" w:hAnsi="宋体" w:eastAsia="宋体" w:cs="宋体"/>
                <w:color w:val="000000"/>
                <w:sz w:val="21"/>
                <w:szCs w:val="21"/>
              </w:rPr>
              <w:t>时，该液体能迅速蒸发造成空气中二氧化碳过饱和，在密闭容器中可将人窒息死亡；无毒，但空气中浓度超过3%以上，能出现呼吸困难、头痛、眩晕、呕吐等；10%以上时，出现视力障碍、痉挛、呼吸加快、血压升高、意识丧失；35%以上时，则出现中枢神经的抑制、昏睡、痉挛、窒息致死；长期反复接触该物质可能对承受力有影响，引起情绪波动和烦躁不安；液态二氧化碳在常压下迅速气化，造成局部低温，可引起皮肤或眼睛严重的低温灼伤。</w:t>
            </w:r>
          </w:p>
        </w:tc>
      </w:tr>
      <w:tr w14:paraId="2782D7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464D9E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p>
        </w:tc>
        <w:tc>
          <w:tcPr>
            <w:tcW w:w="926" w:type="pct"/>
            <w:tcBorders>
              <w:tl2br w:val="nil"/>
              <w:tr2bl w:val="nil"/>
            </w:tcBorders>
            <w:noWrap w:val="0"/>
            <w:vAlign w:val="center"/>
          </w:tcPr>
          <w:p w14:paraId="50094A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急救方法</w:t>
            </w:r>
          </w:p>
        </w:tc>
        <w:tc>
          <w:tcPr>
            <w:tcW w:w="3809" w:type="pct"/>
            <w:gridSpan w:val="9"/>
            <w:tcBorders>
              <w:tl2br w:val="nil"/>
              <w:tr2bl w:val="nil"/>
            </w:tcBorders>
            <w:noWrap w:val="0"/>
            <w:vAlign w:val="center"/>
          </w:tcPr>
          <w:p w14:paraId="32B7B5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吸入时，迅速脱离现场至空气新鲜处，保持呼吸道通畅，如呼吸困难，给输氧，如呼吸停止，立即进行人工呼吸，就医；皮肤、眼睛与液体接触发生冻伤时，用大量水冲洗，就医治疗。</w:t>
            </w:r>
          </w:p>
        </w:tc>
      </w:tr>
      <w:tr w14:paraId="14142B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restart"/>
            <w:tcBorders>
              <w:tl2br w:val="nil"/>
              <w:tr2bl w:val="nil"/>
            </w:tcBorders>
            <w:noWrap w:val="0"/>
            <w:vAlign w:val="center"/>
          </w:tcPr>
          <w:p w14:paraId="07D562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燃烧爆炸危险性</w:t>
            </w:r>
          </w:p>
        </w:tc>
        <w:tc>
          <w:tcPr>
            <w:tcW w:w="926" w:type="pct"/>
            <w:tcBorders>
              <w:tl2br w:val="nil"/>
              <w:tr2bl w:val="nil"/>
            </w:tcBorders>
            <w:noWrap w:val="0"/>
            <w:vAlign w:val="center"/>
          </w:tcPr>
          <w:p w14:paraId="0532FE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燃烧性</w:t>
            </w:r>
          </w:p>
        </w:tc>
        <w:tc>
          <w:tcPr>
            <w:tcW w:w="906" w:type="pct"/>
            <w:gridSpan w:val="3"/>
            <w:tcBorders>
              <w:tl2br w:val="nil"/>
              <w:tr2bl w:val="nil"/>
            </w:tcBorders>
            <w:noWrap w:val="0"/>
            <w:vAlign w:val="center"/>
          </w:tcPr>
          <w:p w14:paraId="423E75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不燃</w:t>
            </w:r>
          </w:p>
        </w:tc>
        <w:tc>
          <w:tcPr>
            <w:tcW w:w="1567" w:type="pct"/>
            <w:gridSpan w:val="4"/>
            <w:tcBorders>
              <w:tl2br w:val="nil"/>
              <w:tr2bl w:val="nil"/>
            </w:tcBorders>
            <w:noWrap w:val="0"/>
            <w:vAlign w:val="center"/>
          </w:tcPr>
          <w:p w14:paraId="08A861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燃烧（分解）产物</w:t>
            </w:r>
          </w:p>
        </w:tc>
        <w:tc>
          <w:tcPr>
            <w:tcW w:w="1335" w:type="pct"/>
            <w:gridSpan w:val="2"/>
            <w:tcBorders>
              <w:tl2br w:val="nil"/>
              <w:tr2bl w:val="nil"/>
            </w:tcBorders>
            <w:noWrap w:val="0"/>
            <w:vAlign w:val="center"/>
          </w:tcPr>
          <w:p w14:paraId="6D51D3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w:t>
            </w:r>
          </w:p>
        </w:tc>
      </w:tr>
      <w:tr w14:paraId="45BA31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0BED22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auto"/>
              <w:rPr>
                <w:rFonts w:hint="eastAsia" w:ascii="宋体" w:hAnsi="宋体" w:eastAsia="宋体" w:cs="宋体"/>
                <w:spacing w:val="10"/>
                <w:sz w:val="21"/>
                <w:szCs w:val="21"/>
              </w:rPr>
            </w:pPr>
          </w:p>
        </w:tc>
        <w:tc>
          <w:tcPr>
            <w:tcW w:w="926" w:type="pct"/>
            <w:tcBorders>
              <w:tl2br w:val="nil"/>
              <w:tr2bl w:val="nil"/>
            </w:tcBorders>
            <w:noWrap w:val="0"/>
            <w:vAlign w:val="center"/>
          </w:tcPr>
          <w:p w14:paraId="0F1F99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闪点</w:t>
            </w:r>
            <w:r>
              <w:rPr>
                <w:rFonts w:hint="eastAsia" w:cs="宋体"/>
                <w:spacing w:val="10"/>
                <w:sz w:val="21"/>
                <w:szCs w:val="21"/>
                <w:lang w:eastAsia="zh-CN"/>
              </w:rPr>
              <w:t>（</w:t>
            </w:r>
            <w:r>
              <w:rPr>
                <w:rFonts w:hint="eastAsia" w:ascii="宋体" w:hAnsi="宋体" w:eastAsia="宋体" w:cs="宋体"/>
                <w:spacing w:val="10"/>
                <w:sz w:val="21"/>
                <w:szCs w:val="21"/>
              </w:rPr>
              <w:t>℃</w:t>
            </w:r>
            <w:r>
              <w:rPr>
                <w:rFonts w:hint="eastAsia" w:cs="宋体"/>
                <w:spacing w:val="10"/>
                <w:sz w:val="21"/>
                <w:szCs w:val="21"/>
                <w:lang w:eastAsia="zh-CN"/>
              </w:rPr>
              <w:t>）</w:t>
            </w:r>
          </w:p>
        </w:tc>
        <w:tc>
          <w:tcPr>
            <w:tcW w:w="906" w:type="pct"/>
            <w:gridSpan w:val="3"/>
            <w:tcBorders>
              <w:tl2br w:val="nil"/>
              <w:tr2bl w:val="nil"/>
            </w:tcBorders>
            <w:noWrap w:val="0"/>
            <w:vAlign w:val="center"/>
          </w:tcPr>
          <w:p w14:paraId="3BB112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w:t>
            </w:r>
          </w:p>
        </w:tc>
        <w:tc>
          <w:tcPr>
            <w:tcW w:w="1567" w:type="pct"/>
            <w:gridSpan w:val="4"/>
            <w:tcBorders>
              <w:tl2br w:val="nil"/>
              <w:tr2bl w:val="nil"/>
            </w:tcBorders>
            <w:noWrap w:val="0"/>
            <w:vAlign w:val="center"/>
          </w:tcPr>
          <w:p w14:paraId="7CDA07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爆炸上限（v%）</w:t>
            </w:r>
          </w:p>
        </w:tc>
        <w:tc>
          <w:tcPr>
            <w:tcW w:w="1335" w:type="pct"/>
            <w:gridSpan w:val="2"/>
            <w:tcBorders>
              <w:tl2br w:val="nil"/>
              <w:tr2bl w:val="nil"/>
            </w:tcBorders>
            <w:noWrap w:val="0"/>
            <w:vAlign w:val="center"/>
          </w:tcPr>
          <w:p w14:paraId="797B85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w:t>
            </w:r>
          </w:p>
        </w:tc>
      </w:tr>
      <w:tr w14:paraId="20332D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706DF7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auto"/>
              <w:rPr>
                <w:rFonts w:hint="eastAsia" w:ascii="宋体" w:hAnsi="宋体" w:eastAsia="宋体" w:cs="宋体"/>
                <w:spacing w:val="10"/>
                <w:sz w:val="21"/>
                <w:szCs w:val="21"/>
              </w:rPr>
            </w:pPr>
          </w:p>
        </w:tc>
        <w:tc>
          <w:tcPr>
            <w:tcW w:w="926" w:type="pct"/>
            <w:tcBorders>
              <w:tl2br w:val="nil"/>
              <w:tr2bl w:val="nil"/>
            </w:tcBorders>
            <w:noWrap w:val="0"/>
            <w:vAlign w:val="center"/>
          </w:tcPr>
          <w:p w14:paraId="439F5D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引燃温度</w:t>
            </w:r>
            <w:r>
              <w:rPr>
                <w:rFonts w:hint="eastAsia" w:cs="宋体"/>
                <w:spacing w:val="10"/>
                <w:sz w:val="21"/>
                <w:szCs w:val="21"/>
                <w:lang w:eastAsia="zh-CN"/>
              </w:rPr>
              <w:t>（</w:t>
            </w:r>
            <w:r>
              <w:rPr>
                <w:rFonts w:hint="eastAsia" w:ascii="宋体" w:hAnsi="宋体" w:eastAsia="宋体" w:cs="宋体"/>
                <w:spacing w:val="10"/>
                <w:sz w:val="21"/>
                <w:szCs w:val="21"/>
              </w:rPr>
              <w:t>℃</w:t>
            </w:r>
            <w:r>
              <w:rPr>
                <w:rFonts w:hint="eastAsia" w:cs="宋体"/>
                <w:spacing w:val="10"/>
                <w:sz w:val="21"/>
                <w:szCs w:val="21"/>
                <w:lang w:eastAsia="zh-CN"/>
              </w:rPr>
              <w:t>）</w:t>
            </w:r>
          </w:p>
        </w:tc>
        <w:tc>
          <w:tcPr>
            <w:tcW w:w="906" w:type="pct"/>
            <w:gridSpan w:val="3"/>
            <w:tcBorders>
              <w:tl2br w:val="nil"/>
              <w:tr2bl w:val="nil"/>
            </w:tcBorders>
            <w:noWrap w:val="0"/>
            <w:vAlign w:val="center"/>
          </w:tcPr>
          <w:p w14:paraId="1D278D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w:t>
            </w:r>
          </w:p>
        </w:tc>
        <w:tc>
          <w:tcPr>
            <w:tcW w:w="1567" w:type="pct"/>
            <w:gridSpan w:val="4"/>
            <w:tcBorders>
              <w:tl2br w:val="nil"/>
              <w:tr2bl w:val="nil"/>
            </w:tcBorders>
            <w:noWrap w:val="0"/>
            <w:vAlign w:val="center"/>
          </w:tcPr>
          <w:p w14:paraId="5046D3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爆炸下限（v%）</w:t>
            </w:r>
          </w:p>
        </w:tc>
        <w:tc>
          <w:tcPr>
            <w:tcW w:w="1335" w:type="pct"/>
            <w:gridSpan w:val="2"/>
            <w:tcBorders>
              <w:tl2br w:val="nil"/>
              <w:tr2bl w:val="nil"/>
            </w:tcBorders>
            <w:noWrap w:val="0"/>
            <w:vAlign w:val="center"/>
          </w:tcPr>
          <w:p w14:paraId="6422E7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w:t>
            </w:r>
          </w:p>
        </w:tc>
      </w:tr>
      <w:tr w14:paraId="7C3467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64E0EC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auto"/>
              <w:rPr>
                <w:rFonts w:hint="eastAsia" w:ascii="宋体" w:hAnsi="宋体" w:eastAsia="宋体" w:cs="宋体"/>
                <w:spacing w:val="10"/>
                <w:sz w:val="21"/>
                <w:szCs w:val="21"/>
              </w:rPr>
            </w:pPr>
          </w:p>
        </w:tc>
        <w:tc>
          <w:tcPr>
            <w:tcW w:w="926" w:type="pct"/>
            <w:tcBorders>
              <w:tl2br w:val="nil"/>
              <w:tr2bl w:val="nil"/>
            </w:tcBorders>
            <w:noWrap w:val="0"/>
            <w:vAlign w:val="center"/>
          </w:tcPr>
          <w:p w14:paraId="6BEDD9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危险特性</w:t>
            </w:r>
          </w:p>
        </w:tc>
        <w:tc>
          <w:tcPr>
            <w:tcW w:w="3809" w:type="pct"/>
            <w:gridSpan w:val="9"/>
            <w:tcBorders>
              <w:tl2br w:val="nil"/>
              <w:tr2bl w:val="nil"/>
            </w:tcBorders>
            <w:noWrap w:val="0"/>
            <w:vAlign w:val="center"/>
          </w:tcPr>
          <w:p w14:paraId="115FA6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auto"/>
              <w:rPr>
                <w:rFonts w:hint="eastAsia" w:ascii="宋体" w:hAnsi="宋体" w:eastAsia="宋体" w:cs="宋体"/>
                <w:spacing w:val="10"/>
                <w:sz w:val="21"/>
                <w:szCs w:val="21"/>
              </w:rPr>
            </w:pPr>
            <w:r>
              <w:rPr>
                <w:rFonts w:hint="eastAsia" w:ascii="宋体" w:hAnsi="宋体" w:eastAsia="宋体" w:cs="宋体"/>
                <w:color w:val="000000"/>
                <w:sz w:val="21"/>
                <w:szCs w:val="21"/>
              </w:rPr>
              <w:t>不燃，但在日光</w:t>
            </w:r>
            <w:r>
              <w:rPr>
                <w:rFonts w:hint="eastAsia" w:cs="宋体"/>
                <w:color w:val="000000"/>
                <w:sz w:val="21"/>
                <w:szCs w:val="21"/>
                <w:lang w:eastAsia="zh-CN"/>
              </w:rPr>
              <w:t>暴晒</w:t>
            </w:r>
            <w:r>
              <w:rPr>
                <w:rFonts w:hint="eastAsia" w:ascii="宋体" w:hAnsi="宋体" w:eastAsia="宋体" w:cs="宋体"/>
                <w:color w:val="000000"/>
                <w:sz w:val="21"/>
                <w:szCs w:val="21"/>
              </w:rPr>
              <w:t>下，或搬运时猛烈摔甩，或者遇高热，容器内压增大，有开裂和爆炸的危险。</w:t>
            </w:r>
          </w:p>
        </w:tc>
      </w:tr>
      <w:tr w14:paraId="471DC8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708C09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p>
        </w:tc>
        <w:tc>
          <w:tcPr>
            <w:tcW w:w="926" w:type="pct"/>
            <w:tcBorders>
              <w:tl2br w:val="nil"/>
              <w:tr2bl w:val="nil"/>
            </w:tcBorders>
            <w:noWrap w:val="0"/>
            <w:vAlign w:val="center"/>
          </w:tcPr>
          <w:p w14:paraId="3E6575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建规火险分级</w:t>
            </w:r>
          </w:p>
        </w:tc>
        <w:tc>
          <w:tcPr>
            <w:tcW w:w="622" w:type="pct"/>
            <w:gridSpan w:val="2"/>
            <w:tcBorders>
              <w:tl2br w:val="nil"/>
              <w:tr2bl w:val="nil"/>
            </w:tcBorders>
            <w:noWrap w:val="0"/>
            <w:vAlign w:val="center"/>
          </w:tcPr>
          <w:p w14:paraId="5F8406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color w:val="000000"/>
                <w:spacing w:val="10"/>
                <w:sz w:val="21"/>
                <w:szCs w:val="21"/>
              </w:rPr>
            </w:pPr>
            <w:r>
              <w:rPr>
                <w:rFonts w:hint="eastAsia" w:ascii="宋体" w:hAnsi="宋体" w:eastAsia="宋体" w:cs="宋体"/>
                <w:color w:val="000000"/>
                <w:spacing w:val="10"/>
                <w:sz w:val="21"/>
                <w:szCs w:val="21"/>
              </w:rPr>
              <w:t>戊</w:t>
            </w:r>
          </w:p>
        </w:tc>
        <w:tc>
          <w:tcPr>
            <w:tcW w:w="781" w:type="pct"/>
            <w:gridSpan w:val="2"/>
            <w:tcBorders>
              <w:tl2br w:val="nil"/>
              <w:tr2bl w:val="nil"/>
            </w:tcBorders>
            <w:noWrap w:val="0"/>
            <w:vAlign w:val="center"/>
          </w:tcPr>
          <w:p w14:paraId="458AC8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color w:val="000000"/>
                <w:spacing w:val="10"/>
                <w:sz w:val="21"/>
                <w:szCs w:val="21"/>
              </w:rPr>
            </w:pPr>
            <w:r>
              <w:rPr>
                <w:rFonts w:hint="eastAsia" w:ascii="宋体" w:hAnsi="宋体" w:eastAsia="宋体" w:cs="宋体"/>
                <w:color w:val="000000"/>
                <w:spacing w:val="10"/>
                <w:sz w:val="21"/>
                <w:szCs w:val="21"/>
              </w:rPr>
              <w:t>稳定性</w:t>
            </w:r>
          </w:p>
        </w:tc>
        <w:tc>
          <w:tcPr>
            <w:tcW w:w="682" w:type="pct"/>
            <w:gridSpan w:val="2"/>
            <w:tcBorders>
              <w:tl2br w:val="nil"/>
              <w:tr2bl w:val="nil"/>
            </w:tcBorders>
            <w:noWrap w:val="0"/>
            <w:vAlign w:val="center"/>
          </w:tcPr>
          <w:p w14:paraId="73BAC0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color w:val="000000"/>
                <w:spacing w:val="10"/>
                <w:sz w:val="21"/>
                <w:szCs w:val="21"/>
              </w:rPr>
            </w:pPr>
            <w:r>
              <w:rPr>
                <w:rFonts w:hint="eastAsia" w:ascii="宋体" w:hAnsi="宋体" w:eastAsia="宋体" w:cs="宋体"/>
                <w:color w:val="000000"/>
                <w:spacing w:val="10"/>
                <w:sz w:val="21"/>
                <w:szCs w:val="21"/>
              </w:rPr>
              <w:t>稳定</w:t>
            </w:r>
          </w:p>
        </w:tc>
        <w:tc>
          <w:tcPr>
            <w:tcW w:w="872" w:type="pct"/>
            <w:gridSpan w:val="2"/>
            <w:tcBorders>
              <w:tl2br w:val="nil"/>
              <w:tr2bl w:val="nil"/>
            </w:tcBorders>
            <w:noWrap w:val="0"/>
            <w:vAlign w:val="center"/>
          </w:tcPr>
          <w:p w14:paraId="304B3B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color w:val="000000"/>
                <w:spacing w:val="10"/>
                <w:sz w:val="21"/>
                <w:szCs w:val="21"/>
              </w:rPr>
            </w:pPr>
            <w:r>
              <w:rPr>
                <w:rFonts w:hint="eastAsia" w:ascii="宋体" w:hAnsi="宋体" w:eastAsia="宋体" w:cs="宋体"/>
                <w:color w:val="000000"/>
                <w:spacing w:val="10"/>
                <w:sz w:val="21"/>
                <w:szCs w:val="21"/>
              </w:rPr>
              <w:t>聚合危害</w:t>
            </w:r>
          </w:p>
        </w:tc>
        <w:tc>
          <w:tcPr>
            <w:tcW w:w="850" w:type="pct"/>
            <w:tcBorders>
              <w:tl2br w:val="nil"/>
              <w:tr2bl w:val="nil"/>
            </w:tcBorders>
            <w:noWrap w:val="0"/>
            <w:vAlign w:val="center"/>
          </w:tcPr>
          <w:p w14:paraId="2297F3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color w:val="000000"/>
                <w:spacing w:val="10"/>
                <w:sz w:val="21"/>
                <w:szCs w:val="21"/>
              </w:rPr>
            </w:pPr>
            <w:r>
              <w:rPr>
                <w:rFonts w:hint="eastAsia" w:ascii="宋体" w:hAnsi="宋体" w:eastAsia="宋体" w:cs="宋体"/>
                <w:spacing w:val="10"/>
                <w:sz w:val="21"/>
                <w:szCs w:val="21"/>
              </w:rPr>
              <w:t>不聚合</w:t>
            </w:r>
          </w:p>
        </w:tc>
      </w:tr>
      <w:tr w14:paraId="7DB837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32F28F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auto"/>
              <w:rPr>
                <w:rFonts w:hint="eastAsia" w:ascii="宋体" w:hAnsi="宋体" w:eastAsia="宋体" w:cs="宋体"/>
                <w:spacing w:val="10"/>
                <w:sz w:val="21"/>
                <w:szCs w:val="21"/>
              </w:rPr>
            </w:pPr>
          </w:p>
        </w:tc>
        <w:tc>
          <w:tcPr>
            <w:tcW w:w="926" w:type="pct"/>
            <w:tcBorders>
              <w:tl2br w:val="nil"/>
              <w:tr2bl w:val="nil"/>
            </w:tcBorders>
            <w:noWrap w:val="0"/>
            <w:vAlign w:val="center"/>
          </w:tcPr>
          <w:p w14:paraId="742844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禁忌物</w:t>
            </w:r>
          </w:p>
        </w:tc>
        <w:tc>
          <w:tcPr>
            <w:tcW w:w="3809" w:type="pct"/>
            <w:gridSpan w:val="9"/>
            <w:tcBorders>
              <w:tl2br w:val="nil"/>
              <w:tr2bl w:val="nil"/>
            </w:tcBorders>
            <w:noWrap w:val="0"/>
            <w:vAlign w:val="center"/>
          </w:tcPr>
          <w:p w14:paraId="45B1EC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color w:val="000000"/>
                <w:spacing w:val="10"/>
                <w:sz w:val="21"/>
                <w:szCs w:val="21"/>
              </w:rPr>
            </w:pPr>
            <w:r>
              <w:rPr>
                <w:rFonts w:hint="eastAsia" w:ascii="宋体" w:hAnsi="宋体" w:eastAsia="宋体" w:cs="宋体"/>
                <w:color w:val="000000"/>
                <w:spacing w:val="10"/>
                <w:sz w:val="21"/>
                <w:szCs w:val="21"/>
              </w:rPr>
              <w:t>/</w:t>
            </w:r>
          </w:p>
        </w:tc>
      </w:tr>
      <w:tr w14:paraId="26BC0E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250010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auto"/>
              <w:rPr>
                <w:rFonts w:hint="eastAsia" w:ascii="宋体" w:hAnsi="宋体" w:eastAsia="宋体" w:cs="宋体"/>
                <w:spacing w:val="10"/>
                <w:sz w:val="21"/>
                <w:szCs w:val="21"/>
              </w:rPr>
            </w:pPr>
          </w:p>
        </w:tc>
        <w:tc>
          <w:tcPr>
            <w:tcW w:w="926" w:type="pct"/>
            <w:tcBorders>
              <w:tl2br w:val="nil"/>
              <w:tr2bl w:val="nil"/>
            </w:tcBorders>
            <w:noWrap w:val="0"/>
            <w:vAlign w:val="center"/>
          </w:tcPr>
          <w:p w14:paraId="2A3CD9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储运条件</w:t>
            </w:r>
          </w:p>
          <w:p w14:paraId="06E320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与泄漏处理</w:t>
            </w:r>
          </w:p>
        </w:tc>
        <w:tc>
          <w:tcPr>
            <w:tcW w:w="3809" w:type="pct"/>
            <w:gridSpan w:val="9"/>
            <w:tcBorders>
              <w:tl2br w:val="nil"/>
              <w:tr2bl w:val="nil"/>
            </w:tcBorders>
            <w:noWrap w:val="0"/>
            <w:vAlign w:val="center"/>
          </w:tcPr>
          <w:p w14:paraId="549890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jc w:val="both"/>
              <w:textAlignment w:val="auto"/>
              <w:rPr>
                <w:rFonts w:hint="eastAsia" w:ascii="宋体" w:hAnsi="宋体" w:eastAsia="宋体" w:cs="宋体"/>
                <w:sz w:val="21"/>
                <w:szCs w:val="21"/>
              </w:rPr>
            </w:pPr>
            <w:r>
              <w:rPr>
                <w:rFonts w:hint="eastAsia" w:ascii="宋体" w:hAnsi="宋体" w:eastAsia="宋体" w:cs="宋体"/>
                <w:b/>
                <w:spacing w:val="10"/>
                <w:sz w:val="21"/>
                <w:szCs w:val="21"/>
              </w:rPr>
              <w:t>储运条件</w:t>
            </w:r>
            <w:r>
              <w:rPr>
                <w:rFonts w:hint="eastAsia" w:ascii="宋体" w:hAnsi="宋体" w:eastAsia="宋体" w:cs="宋体"/>
                <w:spacing w:val="10"/>
                <w:sz w:val="21"/>
                <w:szCs w:val="21"/>
              </w:rPr>
              <w:t>：</w:t>
            </w:r>
            <w:r>
              <w:rPr>
                <w:rFonts w:hint="eastAsia" w:ascii="宋体" w:hAnsi="宋体" w:eastAsia="宋体" w:cs="宋体"/>
                <w:sz w:val="21"/>
                <w:szCs w:val="21"/>
              </w:rPr>
              <w:t>①储存注意事项：储存于阴凉、通风的库房。远离火种、热源</w:t>
            </w:r>
            <w:r>
              <w:rPr>
                <w:rFonts w:hint="eastAsia" w:ascii="宋体" w:hAnsi="宋体" w:eastAsia="宋体" w:cs="宋体"/>
                <w:color w:val="000000"/>
                <w:sz w:val="21"/>
                <w:szCs w:val="21"/>
              </w:rPr>
              <w:t>；防止阳光直射</w:t>
            </w:r>
            <w:r>
              <w:rPr>
                <w:rFonts w:hint="eastAsia" w:ascii="宋体" w:hAnsi="宋体" w:eastAsia="宋体" w:cs="宋体"/>
                <w:sz w:val="21"/>
                <w:szCs w:val="21"/>
              </w:rPr>
              <w:t>。库温不宜超过30℃。应与易（可）燃物分开存放，切忌混储。</w:t>
            </w:r>
            <w:r>
              <w:rPr>
                <w:rFonts w:hint="eastAsia" w:ascii="宋体" w:hAnsi="宋体" w:eastAsia="宋体" w:cs="宋体"/>
                <w:color w:val="000000"/>
                <w:sz w:val="21"/>
                <w:szCs w:val="21"/>
              </w:rPr>
              <w:t>验收时要注意品名，注意验瓶日期；搬运时轻装轻卸，防止钢瓶及附件破损。</w:t>
            </w:r>
            <w:r>
              <w:rPr>
                <w:rFonts w:hint="eastAsia" w:ascii="宋体" w:hAnsi="宋体" w:eastAsia="宋体" w:cs="宋体"/>
                <w:sz w:val="21"/>
                <w:szCs w:val="21"/>
              </w:rPr>
              <w:t>储区应备有泄漏应急处理设备。②运输注意事项：采用</w:t>
            </w:r>
            <w:r>
              <w:rPr>
                <w:rFonts w:hint="eastAsia" w:cs="宋体"/>
                <w:sz w:val="21"/>
                <w:szCs w:val="21"/>
                <w:lang w:eastAsia="zh-CN"/>
              </w:rPr>
              <w:t>钢瓶</w:t>
            </w:r>
            <w:r>
              <w:rPr>
                <w:rFonts w:hint="eastAsia" w:ascii="宋体" w:hAnsi="宋体" w:eastAsia="宋体" w:cs="宋体"/>
                <w:sz w:val="21"/>
                <w:szCs w:val="21"/>
              </w:rPr>
              <w:t>运输时必须戴好钢瓶上的安全帽。钢瓶一般平放，并应将瓶口朝同一方向，不可交叉；高度不得超过车辆的防护栏板，并用三角木垫卡牢，防止滚动。严禁与易燃物或可燃物等混装混运。夏季应早晚运输，防止日光</w:t>
            </w:r>
            <w:r>
              <w:rPr>
                <w:rFonts w:hint="eastAsia" w:cs="宋体"/>
                <w:sz w:val="21"/>
                <w:szCs w:val="21"/>
                <w:lang w:eastAsia="zh-CN"/>
              </w:rPr>
              <w:t>暴晒</w:t>
            </w:r>
            <w:r>
              <w:rPr>
                <w:rFonts w:hint="eastAsia" w:ascii="宋体" w:hAnsi="宋体" w:eastAsia="宋体" w:cs="宋体"/>
                <w:sz w:val="21"/>
                <w:szCs w:val="21"/>
              </w:rPr>
              <w:t>。铁路运输时要禁止溜放。</w:t>
            </w:r>
            <w:r>
              <w:rPr>
                <w:rFonts w:hint="eastAsia" w:ascii="宋体" w:hAnsi="宋体" w:eastAsia="宋体" w:cs="宋体"/>
                <w:b/>
                <w:spacing w:val="10"/>
                <w:sz w:val="21"/>
                <w:szCs w:val="21"/>
              </w:rPr>
              <w:t>泄漏处理</w:t>
            </w:r>
            <w:r>
              <w:rPr>
                <w:rFonts w:hint="eastAsia" w:ascii="宋体" w:hAnsi="宋体" w:eastAsia="宋体" w:cs="宋体"/>
                <w:spacing w:val="10"/>
                <w:sz w:val="21"/>
                <w:szCs w:val="21"/>
              </w:rPr>
              <w:t>：</w:t>
            </w:r>
            <w:r>
              <w:rPr>
                <w:rFonts w:hint="eastAsia" w:ascii="宋体" w:hAnsi="宋体" w:eastAsia="宋体" w:cs="宋体"/>
                <w:color w:val="000000"/>
                <w:sz w:val="21"/>
                <w:szCs w:val="21"/>
              </w:rPr>
              <w:t>迅速撤离泄漏污染区人员至上风处，并进行隔离，严格限制出入；切断火源；建议应急处理人员戴上自给正压式呼吸器，穿戴全身防护服；尽可能切断泄漏源；合理通风，加速扩散；漏气容器要妥善处理，修复、检查后再用。</w:t>
            </w:r>
          </w:p>
        </w:tc>
      </w:tr>
      <w:tr w14:paraId="79C76A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63" w:type="pct"/>
            <w:vMerge w:val="continue"/>
            <w:tcBorders>
              <w:tl2br w:val="nil"/>
              <w:tr2bl w:val="nil"/>
            </w:tcBorders>
            <w:noWrap w:val="0"/>
            <w:vAlign w:val="center"/>
          </w:tcPr>
          <w:p w14:paraId="011FFD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left"/>
              <w:textAlignment w:val="auto"/>
              <w:rPr>
                <w:rFonts w:hint="eastAsia" w:ascii="宋体" w:hAnsi="宋体" w:eastAsia="宋体" w:cs="宋体"/>
                <w:spacing w:val="10"/>
                <w:sz w:val="21"/>
                <w:szCs w:val="21"/>
              </w:rPr>
            </w:pPr>
          </w:p>
        </w:tc>
        <w:tc>
          <w:tcPr>
            <w:tcW w:w="926" w:type="pct"/>
            <w:tcBorders>
              <w:tl2br w:val="nil"/>
              <w:tr2bl w:val="nil"/>
            </w:tcBorders>
            <w:noWrap w:val="0"/>
            <w:vAlign w:val="center"/>
          </w:tcPr>
          <w:p w14:paraId="03776C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宋体" w:hAnsi="宋体" w:eastAsia="宋体" w:cs="宋体"/>
                <w:spacing w:val="10"/>
                <w:sz w:val="21"/>
                <w:szCs w:val="21"/>
              </w:rPr>
            </w:pPr>
            <w:r>
              <w:rPr>
                <w:rFonts w:hint="eastAsia" w:ascii="宋体" w:hAnsi="宋体" w:eastAsia="宋体" w:cs="宋体"/>
                <w:spacing w:val="10"/>
                <w:sz w:val="21"/>
                <w:szCs w:val="21"/>
              </w:rPr>
              <w:t>灭火方法</w:t>
            </w:r>
          </w:p>
        </w:tc>
        <w:tc>
          <w:tcPr>
            <w:tcW w:w="3809" w:type="pct"/>
            <w:gridSpan w:val="9"/>
            <w:tcBorders>
              <w:tl2br w:val="nil"/>
              <w:tr2bl w:val="nil"/>
            </w:tcBorders>
            <w:noWrap w:val="0"/>
            <w:vAlign w:val="center"/>
          </w:tcPr>
          <w:p w14:paraId="4271DA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auto"/>
              <w:rPr>
                <w:rFonts w:hint="eastAsia" w:ascii="宋体" w:hAnsi="宋体" w:eastAsia="宋体" w:cs="宋体"/>
                <w:spacing w:val="10"/>
                <w:sz w:val="21"/>
                <w:szCs w:val="21"/>
              </w:rPr>
            </w:pPr>
            <w:r>
              <w:rPr>
                <w:rFonts w:hint="eastAsia" w:ascii="宋体" w:hAnsi="宋体" w:eastAsia="宋体" w:cs="宋体"/>
                <w:sz w:val="21"/>
                <w:szCs w:val="21"/>
              </w:rPr>
              <w:t>本品不燃。切断气源。喷水冷却容器，可能的话将容器从火场移至空旷处。</w:t>
            </w:r>
          </w:p>
        </w:tc>
      </w:tr>
    </w:tbl>
    <w:p w14:paraId="1CF6089E">
      <w:pPr>
        <w:keepNext w:val="0"/>
        <w:keepLines w:val="0"/>
        <w:pageBreakBefore w:val="0"/>
        <w:widowControl w:val="0"/>
        <w:kinsoku/>
        <w:bidi w:val="0"/>
        <w:spacing w:before="50" w:beforeLines="50" w:line="240" w:lineRule="auto"/>
        <w:ind w:left="0" w:leftChars="0" w:right="0" w:rightChars="0" w:firstLine="0" w:firstLineChars="0"/>
        <w:jc w:val="center"/>
        <w:rPr>
          <w:rFonts w:hint="eastAsia" w:ascii="宋体" w:hAnsi="宋体" w:eastAsia="宋体" w:cs="Times New Roman"/>
          <w:b/>
          <w:kern w:val="2"/>
          <w:sz w:val="24"/>
          <w:szCs w:val="24"/>
          <w:lang w:val="en-US" w:eastAsia="zh-CN" w:bidi="ar-SA"/>
        </w:rPr>
      </w:pPr>
      <w:r>
        <w:rPr>
          <w:rFonts w:hint="eastAsia" w:ascii="宋体" w:hAnsi="宋体" w:eastAsia="宋体" w:cs="Times New Roman"/>
          <w:b/>
          <w:kern w:val="2"/>
          <w:sz w:val="24"/>
          <w:szCs w:val="24"/>
          <w:lang w:val="en-US" w:eastAsia="zh-CN" w:bidi="ar-SA"/>
        </w:rPr>
        <w:t xml:space="preserve">表 </w:t>
      </w:r>
      <w:r>
        <w:rPr>
          <w:rFonts w:hint="eastAsia" w:ascii="宋体" w:hAnsi="宋体" w:eastAsia="宋体" w:cs="Times New Roman"/>
          <w:b/>
          <w:kern w:val="2"/>
          <w:sz w:val="24"/>
          <w:szCs w:val="24"/>
          <w:lang w:val="en-US" w:eastAsia="zh-CN" w:bidi="ar-SA"/>
        </w:rPr>
        <w:fldChar w:fldCharType="begin"/>
      </w:r>
      <w:r>
        <w:rPr>
          <w:rFonts w:hint="eastAsia" w:ascii="宋体" w:hAnsi="宋体" w:eastAsia="宋体" w:cs="Times New Roman"/>
          <w:b/>
          <w:kern w:val="2"/>
          <w:sz w:val="24"/>
          <w:szCs w:val="24"/>
          <w:lang w:val="en-US" w:eastAsia="zh-CN" w:bidi="ar-SA"/>
        </w:rPr>
        <w:instrText xml:space="preserve"> STYLEREF 1 \s </w:instrText>
      </w:r>
      <w:r>
        <w:rPr>
          <w:rFonts w:hint="eastAsia" w:ascii="宋体" w:hAnsi="宋体" w:eastAsia="宋体" w:cs="Times New Roman"/>
          <w:b/>
          <w:kern w:val="2"/>
          <w:sz w:val="24"/>
          <w:szCs w:val="24"/>
          <w:lang w:val="en-US" w:eastAsia="zh-CN" w:bidi="ar-SA"/>
        </w:rPr>
        <w:fldChar w:fldCharType="separate"/>
      </w:r>
      <w:r>
        <w:rPr>
          <w:rFonts w:hint="eastAsia" w:ascii="宋体" w:hAnsi="宋体" w:eastAsia="宋体" w:cs="Times New Roman"/>
          <w:b/>
          <w:kern w:val="2"/>
          <w:sz w:val="24"/>
          <w:szCs w:val="24"/>
          <w:lang w:val="en-US" w:eastAsia="zh-CN" w:bidi="ar-SA"/>
        </w:rPr>
        <w:t>3</w:t>
      </w:r>
      <w:r>
        <w:rPr>
          <w:rFonts w:hint="eastAsia" w:ascii="宋体" w:hAnsi="宋体" w:eastAsia="宋体" w:cs="Times New Roman"/>
          <w:b/>
          <w:kern w:val="2"/>
          <w:sz w:val="24"/>
          <w:szCs w:val="24"/>
          <w:lang w:val="en-US" w:eastAsia="zh-CN" w:bidi="ar-SA"/>
        </w:rPr>
        <w:fldChar w:fldCharType="end"/>
      </w:r>
      <w:r>
        <w:rPr>
          <w:rFonts w:hint="eastAsia" w:ascii="宋体" w:hAnsi="宋体" w:eastAsia="宋体" w:cs="Times New Roman"/>
          <w:b/>
          <w:kern w:val="2"/>
          <w:sz w:val="24"/>
          <w:szCs w:val="24"/>
          <w:lang w:val="en-US" w:eastAsia="zh-CN" w:bidi="ar-SA"/>
        </w:rPr>
        <w:t>-</w:t>
      </w:r>
      <w:r>
        <w:rPr>
          <w:rFonts w:hint="eastAsia" w:ascii="宋体" w:hAnsi="宋体" w:eastAsia="宋体" w:cs="Times New Roman"/>
          <w:b/>
          <w:kern w:val="2"/>
          <w:sz w:val="24"/>
          <w:szCs w:val="24"/>
          <w:lang w:val="en-US" w:eastAsia="zh-CN" w:bidi="ar-SA"/>
        </w:rPr>
        <w:fldChar w:fldCharType="begin"/>
      </w:r>
      <w:r>
        <w:rPr>
          <w:rFonts w:hint="eastAsia" w:ascii="宋体" w:hAnsi="宋体" w:eastAsia="宋体" w:cs="Times New Roman"/>
          <w:b/>
          <w:kern w:val="2"/>
          <w:sz w:val="24"/>
          <w:szCs w:val="24"/>
          <w:lang w:val="en-US" w:eastAsia="zh-CN" w:bidi="ar-SA"/>
        </w:rPr>
        <w:instrText xml:space="preserve"> SEQ 表 \* ARABIC \s 1 </w:instrText>
      </w:r>
      <w:r>
        <w:rPr>
          <w:rFonts w:hint="eastAsia" w:ascii="宋体" w:hAnsi="宋体" w:eastAsia="宋体" w:cs="Times New Roman"/>
          <w:b/>
          <w:kern w:val="2"/>
          <w:sz w:val="24"/>
          <w:szCs w:val="24"/>
          <w:lang w:val="en-US" w:eastAsia="zh-CN" w:bidi="ar-SA"/>
        </w:rPr>
        <w:fldChar w:fldCharType="separate"/>
      </w:r>
      <w:r>
        <w:rPr>
          <w:rFonts w:hint="eastAsia" w:ascii="宋体" w:hAnsi="宋体" w:eastAsia="宋体" w:cs="Times New Roman"/>
          <w:b/>
          <w:kern w:val="2"/>
          <w:sz w:val="24"/>
          <w:szCs w:val="24"/>
          <w:lang w:val="en-US" w:eastAsia="zh-CN" w:bidi="ar-SA"/>
        </w:rPr>
        <w:t>7</w:t>
      </w:r>
      <w:r>
        <w:rPr>
          <w:rFonts w:hint="eastAsia" w:ascii="宋体" w:hAnsi="宋体" w:eastAsia="宋体" w:cs="Times New Roman"/>
          <w:b/>
          <w:kern w:val="2"/>
          <w:sz w:val="24"/>
          <w:szCs w:val="24"/>
          <w:lang w:val="en-US" w:eastAsia="zh-CN" w:bidi="ar-SA"/>
        </w:rPr>
        <w:fldChar w:fldCharType="end"/>
      </w:r>
      <w:r>
        <w:rPr>
          <w:rFonts w:hint="eastAsia" w:ascii="宋体" w:hAnsi="宋体" w:eastAsia="宋体" w:cs="Times New Roman"/>
          <w:b/>
          <w:kern w:val="2"/>
          <w:sz w:val="24"/>
          <w:szCs w:val="24"/>
          <w:lang w:val="en-US" w:eastAsia="zh-CN" w:bidi="ar-SA"/>
        </w:rPr>
        <w:t xml:space="preserve">   危险化学品理化特性及危险特性（盐酸）</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28" w:type="dxa"/>
          <w:bottom w:w="0" w:type="dxa"/>
          <w:right w:w="28" w:type="dxa"/>
        </w:tblCellMar>
      </w:tblPr>
      <w:tblGrid>
        <w:gridCol w:w="293"/>
        <w:gridCol w:w="637"/>
        <w:gridCol w:w="785"/>
        <w:gridCol w:w="632"/>
        <w:gridCol w:w="294"/>
        <w:gridCol w:w="678"/>
        <w:gridCol w:w="781"/>
        <w:gridCol w:w="438"/>
        <w:gridCol w:w="467"/>
        <w:gridCol w:w="306"/>
        <w:gridCol w:w="1108"/>
        <w:gridCol w:w="768"/>
        <w:gridCol w:w="371"/>
        <w:gridCol w:w="805"/>
      </w:tblGrid>
      <w:tr w14:paraId="1B8E94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56" w:type="pct"/>
            <w:gridSpan w:val="2"/>
            <w:tcBorders>
              <w:tl2br w:val="nil"/>
              <w:tr2bl w:val="nil"/>
            </w:tcBorders>
            <w:noWrap w:val="0"/>
            <w:vAlign w:val="center"/>
          </w:tcPr>
          <w:p w14:paraId="2BDC36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CAS</w:t>
            </w:r>
          </w:p>
        </w:tc>
        <w:tc>
          <w:tcPr>
            <w:tcW w:w="847" w:type="pct"/>
            <w:gridSpan w:val="2"/>
            <w:tcBorders>
              <w:tl2br w:val="nil"/>
              <w:tr2bl w:val="nil"/>
            </w:tcBorders>
            <w:noWrap w:val="0"/>
            <w:vAlign w:val="center"/>
          </w:tcPr>
          <w:p w14:paraId="1C4592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7647-01-0</w:t>
            </w:r>
          </w:p>
        </w:tc>
        <w:tc>
          <w:tcPr>
            <w:tcW w:w="581" w:type="pct"/>
            <w:gridSpan w:val="2"/>
            <w:tcBorders>
              <w:tl2br w:val="nil"/>
              <w:tr2bl w:val="nil"/>
            </w:tcBorders>
            <w:noWrap w:val="0"/>
            <w:vAlign w:val="center"/>
          </w:tcPr>
          <w:p w14:paraId="4F5F4E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RTECS</w:t>
            </w:r>
          </w:p>
        </w:tc>
        <w:tc>
          <w:tcPr>
            <w:tcW w:w="728" w:type="pct"/>
            <w:gridSpan w:val="2"/>
            <w:tcBorders>
              <w:tl2br w:val="nil"/>
              <w:tr2bl w:val="nil"/>
            </w:tcBorders>
            <w:noWrap w:val="0"/>
            <w:vAlign w:val="center"/>
          </w:tcPr>
          <w:p w14:paraId="210550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MW4025000</w:t>
            </w:r>
          </w:p>
        </w:tc>
        <w:tc>
          <w:tcPr>
            <w:tcW w:w="279" w:type="pct"/>
            <w:tcBorders>
              <w:tl2br w:val="nil"/>
              <w:tr2bl w:val="nil"/>
            </w:tcBorders>
            <w:noWrap w:val="0"/>
            <w:vAlign w:val="center"/>
          </w:tcPr>
          <w:p w14:paraId="707BC4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UN</w:t>
            </w:r>
          </w:p>
        </w:tc>
        <w:tc>
          <w:tcPr>
            <w:tcW w:w="844" w:type="pct"/>
            <w:gridSpan w:val="2"/>
            <w:tcBorders>
              <w:tl2br w:val="nil"/>
              <w:tr2bl w:val="nil"/>
            </w:tcBorders>
            <w:noWrap w:val="0"/>
            <w:vAlign w:val="center"/>
          </w:tcPr>
          <w:p w14:paraId="4C1CEC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1789/2924</w:t>
            </w:r>
          </w:p>
        </w:tc>
        <w:tc>
          <w:tcPr>
            <w:tcW w:w="459" w:type="pct"/>
            <w:tcBorders>
              <w:tl2br w:val="nil"/>
              <w:tr2bl w:val="nil"/>
            </w:tcBorders>
            <w:noWrap w:val="0"/>
            <w:vAlign w:val="center"/>
          </w:tcPr>
          <w:p w14:paraId="2E693D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危编号</w:t>
            </w:r>
          </w:p>
        </w:tc>
        <w:tc>
          <w:tcPr>
            <w:tcW w:w="701" w:type="pct"/>
            <w:gridSpan w:val="2"/>
            <w:tcBorders>
              <w:tl2br w:val="nil"/>
              <w:tr2bl w:val="nil"/>
            </w:tcBorders>
            <w:noWrap w:val="0"/>
            <w:vAlign w:val="center"/>
          </w:tcPr>
          <w:p w14:paraId="3C3B1D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81013</w:t>
            </w:r>
          </w:p>
        </w:tc>
      </w:tr>
      <w:tr w14:paraId="3444DC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556" w:type="pct"/>
            <w:gridSpan w:val="2"/>
            <w:tcBorders>
              <w:tl2br w:val="nil"/>
              <w:tr2bl w:val="nil"/>
            </w:tcBorders>
            <w:noWrap w:val="0"/>
            <w:vAlign w:val="center"/>
          </w:tcPr>
          <w:p w14:paraId="4D5795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中文名称</w:t>
            </w:r>
          </w:p>
        </w:tc>
        <w:tc>
          <w:tcPr>
            <w:tcW w:w="847" w:type="pct"/>
            <w:gridSpan w:val="2"/>
            <w:tcBorders>
              <w:tl2br w:val="nil"/>
              <w:tr2bl w:val="nil"/>
            </w:tcBorders>
            <w:noWrap w:val="0"/>
            <w:vAlign w:val="center"/>
          </w:tcPr>
          <w:p w14:paraId="77B8E0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盐</w:t>
            </w:r>
            <w:r>
              <w:rPr>
                <w:rFonts w:hint="eastAsia" w:ascii="宋体" w:hAnsi="宋体" w:eastAsia="宋体" w:cs="宋体"/>
                <w:sz w:val="21"/>
                <w:szCs w:val="21"/>
              </w:rPr>
              <w:t>酸</w:t>
            </w:r>
          </w:p>
        </w:tc>
        <w:tc>
          <w:tcPr>
            <w:tcW w:w="581" w:type="pct"/>
            <w:gridSpan w:val="2"/>
            <w:tcBorders>
              <w:tl2br w:val="nil"/>
              <w:tr2bl w:val="nil"/>
            </w:tcBorders>
            <w:noWrap w:val="0"/>
            <w:vAlign w:val="center"/>
          </w:tcPr>
          <w:p w14:paraId="19692A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英文名称</w:t>
            </w:r>
          </w:p>
        </w:tc>
        <w:tc>
          <w:tcPr>
            <w:tcW w:w="1853" w:type="pct"/>
            <w:gridSpan w:val="5"/>
            <w:tcBorders>
              <w:tl2br w:val="nil"/>
              <w:tr2bl w:val="nil"/>
            </w:tcBorders>
            <w:noWrap w:val="0"/>
            <w:vAlign w:val="center"/>
          </w:tcPr>
          <w:p w14:paraId="7E7FC7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Hydrochloric acid</w:t>
            </w:r>
          </w:p>
        </w:tc>
        <w:tc>
          <w:tcPr>
            <w:tcW w:w="459" w:type="pct"/>
            <w:tcBorders>
              <w:tl2br w:val="nil"/>
              <w:tr2bl w:val="nil"/>
            </w:tcBorders>
            <w:noWrap w:val="0"/>
            <w:vAlign w:val="center"/>
          </w:tcPr>
          <w:p w14:paraId="7F4998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分子式</w:t>
            </w:r>
          </w:p>
        </w:tc>
        <w:tc>
          <w:tcPr>
            <w:tcW w:w="701" w:type="pct"/>
            <w:gridSpan w:val="2"/>
            <w:tcBorders>
              <w:tl2br w:val="nil"/>
              <w:tr2bl w:val="nil"/>
            </w:tcBorders>
            <w:noWrap w:val="0"/>
            <w:vAlign w:val="center"/>
          </w:tcPr>
          <w:p w14:paraId="2BD956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HCl</w:t>
            </w:r>
          </w:p>
        </w:tc>
      </w:tr>
      <w:tr w14:paraId="383EBF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restart"/>
            <w:tcBorders>
              <w:tl2br w:val="nil"/>
              <w:tr2bl w:val="nil"/>
            </w:tcBorders>
            <w:noWrap w:val="0"/>
            <w:vAlign w:val="center"/>
          </w:tcPr>
          <w:p w14:paraId="0754AE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理</w:t>
            </w:r>
          </w:p>
          <w:p w14:paraId="67617A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化</w:t>
            </w:r>
          </w:p>
          <w:p w14:paraId="07396B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性</w:t>
            </w:r>
          </w:p>
          <w:p w14:paraId="1631BF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质</w:t>
            </w:r>
          </w:p>
        </w:tc>
        <w:tc>
          <w:tcPr>
            <w:tcW w:w="850" w:type="pct"/>
            <w:gridSpan w:val="2"/>
            <w:tcBorders>
              <w:tl2br w:val="nil"/>
              <w:tr2bl w:val="nil"/>
            </w:tcBorders>
            <w:noWrap w:val="0"/>
            <w:vAlign w:val="center"/>
          </w:tcPr>
          <w:p w14:paraId="76023A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外观及性状</w:t>
            </w:r>
          </w:p>
        </w:tc>
        <w:tc>
          <w:tcPr>
            <w:tcW w:w="2150" w:type="pct"/>
            <w:gridSpan w:val="7"/>
            <w:tcBorders>
              <w:tl2br w:val="nil"/>
              <w:tr2bl w:val="nil"/>
            </w:tcBorders>
            <w:noWrap w:val="0"/>
            <w:vAlign w:val="center"/>
          </w:tcPr>
          <w:p w14:paraId="77219B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无色或微黄色发烟液体、有刺鼻的酸味。</w:t>
            </w:r>
          </w:p>
        </w:tc>
        <w:tc>
          <w:tcPr>
            <w:tcW w:w="661" w:type="pct"/>
            <w:vMerge w:val="restart"/>
            <w:tcBorders>
              <w:tl2br w:val="nil"/>
              <w:tr2bl w:val="nil"/>
            </w:tcBorders>
            <w:noWrap w:val="0"/>
            <w:vAlign w:val="center"/>
          </w:tcPr>
          <w:p w14:paraId="1D663F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相对</w:t>
            </w:r>
          </w:p>
          <w:p w14:paraId="4BB8EE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密度</w:t>
            </w:r>
          </w:p>
        </w:tc>
        <w:tc>
          <w:tcPr>
            <w:tcW w:w="459" w:type="pct"/>
            <w:tcBorders>
              <w:tl2br w:val="nil"/>
              <w:tr2bl w:val="nil"/>
            </w:tcBorders>
            <w:noWrap w:val="0"/>
            <w:vAlign w:val="center"/>
          </w:tcPr>
          <w:p w14:paraId="7265C7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空气</w:t>
            </w:r>
          </w:p>
        </w:tc>
        <w:tc>
          <w:tcPr>
            <w:tcW w:w="701" w:type="pct"/>
            <w:gridSpan w:val="2"/>
            <w:tcBorders>
              <w:tl2br w:val="nil"/>
              <w:tr2bl w:val="nil"/>
            </w:tcBorders>
            <w:noWrap w:val="0"/>
            <w:vAlign w:val="center"/>
          </w:tcPr>
          <w:p w14:paraId="334477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1.26</w:t>
            </w:r>
          </w:p>
        </w:tc>
      </w:tr>
      <w:tr w14:paraId="3626B9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continue"/>
            <w:tcBorders>
              <w:tl2br w:val="nil"/>
              <w:tr2bl w:val="nil"/>
            </w:tcBorders>
            <w:noWrap w:val="0"/>
            <w:vAlign w:val="center"/>
          </w:tcPr>
          <w:p w14:paraId="4C7090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850" w:type="pct"/>
            <w:gridSpan w:val="2"/>
            <w:tcBorders>
              <w:tl2br w:val="nil"/>
              <w:tr2bl w:val="nil"/>
            </w:tcBorders>
            <w:noWrap w:val="0"/>
            <w:vAlign w:val="center"/>
          </w:tcPr>
          <w:p w14:paraId="7E487A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溶解性</w:t>
            </w:r>
          </w:p>
        </w:tc>
        <w:tc>
          <w:tcPr>
            <w:tcW w:w="2150" w:type="pct"/>
            <w:gridSpan w:val="7"/>
            <w:tcBorders>
              <w:tl2br w:val="nil"/>
              <w:tr2bl w:val="nil"/>
            </w:tcBorders>
            <w:noWrap w:val="0"/>
            <w:vAlign w:val="center"/>
          </w:tcPr>
          <w:p w14:paraId="00E197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与水混溶，溶于碱液。</w:t>
            </w:r>
          </w:p>
        </w:tc>
        <w:tc>
          <w:tcPr>
            <w:tcW w:w="661" w:type="pct"/>
            <w:vMerge w:val="continue"/>
            <w:tcBorders>
              <w:tl2br w:val="nil"/>
              <w:tr2bl w:val="nil"/>
            </w:tcBorders>
            <w:noWrap w:val="0"/>
            <w:vAlign w:val="center"/>
          </w:tcPr>
          <w:p w14:paraId="13756F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459" w:type="pct"/>
            <w:tcBorders>
              <w:tl2br w:val="nil"/>
              <w:tr2bl w:val="nil"/>
            </w:tcBorders>
            <w:noWrap w:val="0"/>
            <w:vAlign w:val="center"/>
          </w:tcPr>
          <w:p w14:paraId="4C82C0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水</w:t>
            </w:r>
          </w:p>
        </w:tc>
        <w:tc>
          <w:tcPr>
            <w:tcW w:w="701" w:type="pct"/>
            <w:gridSpan w:val="2"/>
            <w:tcBorders>
              <w:tl2br w:val="nil"/>
              <w:tr2bl w:val="nil"/>
            </w:tcBorders>
            <w:noWrap w:val="0"/>
            <w:vAlign w:val="center"/>
          </w:tcPr>
          <w:p w14:paraId="4E4E26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2</w:t>
            </w:r>
          </w:p>
        </w:tc>
      </w:tr>
      <w:tr w14:paraId="11A5C4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continue"/>
            <w:tcBorders>
              <w:tl2br w:val="nil"/>
              <w:tr2bl w:val="nil"/>
            </w:tcBorders>
            <w:noWrap w:val="0"/>
            <w:vAlign w:val="center"/>
          </w:tcPr>
          <w:p w14:paraId="391EB3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850" w:type="pct"/>
            <w:gridSpan w:val="2"/>
            <w:tcBorders>
              <w:tl2br w:val="nil"/>
              <w:tr2bl w:val="nil"/>
            </w:tcBorders>
            <w:noWrap w:val="0"/>
            <w:vAlign w:val="center"/>
          </w:tcPr>
          <w:p w14:paraId="6646AF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饱和蒸汽压KPa</w:t>
            </w:r>
          </w:p>
        </w:tc>
        <w:tc>
          <w:tcPr>
            <w:tcW w:w="1426" w:type="pct"/>
            <w:gridSpan w:val="4"/>
            <w:tcBorders>
              <w:tl2br w:val="nil"/>
              <w:tr2bl w:val="nil"/>
            </w:tcBorders>
            <w:noWrap w:val="0"/>
            <w:vAlign w:val="center"/>
          </w:tcPr>
          <w:p w14:paraId="132870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724" w:type="pct"/>
            <w:gridSpan w:val="3"/>
            <w:tcBorders>
              <w:tl2br w:val="nil"/>
              <w:tr2bl w:val="nil"/>
            </w:tcBorders>
            <w:noWrap w:val="0"/>
            <w:vAlign w:val="center"/>
          </w:tcPr>
          <w:p w14:paraId="6ACB4E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熔点（℃）</w:t>
            </w:r>
          </w:p>
        </w:tc>
        <w:tc>
          <w:tcPr>
            <w:tcW w:w="661" w:type="pct"/>
            <w:tcBorders>
              <w:tl2br w:val="nil"/>
              <w:tr2bl w:val="nil"/>
            </w:tcBorders>
            <w:noWrap w:val="0"/>
            <w:vAlign w:val="center"/>
          </w:tcPr>
          <w:p w14:paraId="6086C3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-114.8</w:t>
            </w:r>
            <w:r>
              <w:rPr>
                <w:rFonts w:hint="eastAsia" w:cs="宋体"/>
                <w:sz w:val="21"/>
                <w:szCs w:val="21"/>
                <w:lang w:val="en-US" w:eastAsia="zh-CN"/>
              </w:rPr>
              <w:t>（</w:t>
            </w:r>
            <w:r>
              <w:rPr>
                <w:rFonts w:hint="eastAsia" w:ascii="宋体" w:hAnsi="宋体" w:eastAsia="宋体" w:cs="宋体"/>
                <w:sz w:val="21"/>
                <w:szCs w:val="21"/>
                <w:lang w:val="en-US" w:eastAsia="zh-CN"/>
              </w:rPr>
              <w:t>纯</w:t>
            </w:r>
            <w:r>
              <w:rPr>
                <w:rFonts w:hint="eastAsia" w:cs="宋体"/>
                <w:sz w:val="21"/>
                <w:szCs w:val="21"/>
                <w:lang w:val="en-US" w:eastAsia="zh-CN"/>
              </w:rPr>
              <w:t>）</w:t>
            </w:r>
          </w:p>
        </w:tc>
        <w:tc>
          <w:tcPr>
            <w:tcW w:w="681" w:type="pct"/>
            <w:gridSpan w:val="2"/>
            <w:tcBorders>
              <w:tl2br w:val="nil"/>
              <w:tr2bl w:val="nil"/>
            </w:tcBorders>
            <w:noWrap w:val="0"/>
            <w:vAlign w:val="center"/>
          </w:tcPr>
          <w:p w14:paraId="48C135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沸点（℃）</w:t>
            </w:r>
          </w:p>
        </w:tc>
        <w:tc>
          <w:tcPr>
            <w:tcW w:w="479" w:type="pct"/>
            <w:tcBorders>
              <w:tl2br w:val="nil"/>
              <w:tr2bl w:val="nil"/>
            </w:tcBorders>
            <w:noWrap w:val="0"/>
            <w:vAlign w:val="center"/>
          </w:tcPr>
          <w:p w14:paraId="38905B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108.6</w:t>
            </w:r>
          </w:p>
          <w:p w14:paraId="5DE27D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w:t>
            </w:r>
          </w:p>
        </w:tc>
      </w:tr>
      <w:tr w14:paraId="5D4222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restart"/>
            <w:tcBorders>
              <w:tl2br w:val="nil"/>
              <w:tr2bl w:val="nil"/>
            </w:tcBorders>
            <w:noWrap w:val="0"/>
            <w:vAlign w:val="center"/>
          </w:tcPr>
          <w:p w14:paraId="396A97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燃</w:t>
            </w:r>
          </w:p>
          <w:p w14:paraId="3FF721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烧</w:t>
            </w:r>
          </w:p>
          <w:p w14:paraId="444C7F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爆</w:t>
            </w:r>
          </w:p>
          <w:p w14:paraId="50DF57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炸</w:t>
            </w:r>
          </w:p>
          <w:p w14:paraId="117FA9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危</w:t>
            </w:r>
          </w:p>
          <w:p w14:paraId="19FE0B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险</w:t>
            </w:r>
          </w:p>
          <w:p w14:paraId="373941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性</w:t>
            </w:r>
          </w:p>
        </w:tc>
        <w:tc>
          <w:tcPr>
            <w:tcW w:w="850" w:type="pct"/>
            <w:gridSpan w:val="2"/>
            <w:tcBorders>
              <w:tl2br w:val="nil"/>
              <w:tr2bl w:val="nil"/>
            </w:tcBorders>
            <w:noWrap w:val="0"/>
            <w:vAlign w:val="center"/>
          </w:tcPr>
          <w:p w14:paraId="3E3699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闪点（℃）</w:t>
            </w:r>
          </w:p>
        </w:tc>
        <w:tc>
          <w:tcPr>
            <w:tcW w:w="554" w:type="pct"/>
            <w:gridSpan w:val="2"/>
            <w:tcBorders>
              <w:tl2br w:val="nil"/>
              <w:tr2bl w:val="nil"/>
            </w:tcBorders>
            <w:noWrap w:val="0"/>
            <w:vAlign w:val="center"/>
          </w:tcPr>
          <w:p w14:paraId="630821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11</w:t>
            </w:r>
          </w:p>
        </w:tc>
        <w:tc>
          <w:tcPr>
            <w:tcW w:w="871" w:type="pct"/>
            <w:gridSpan w:val="2"/>
            <w:tcBorders>
              <w:tl2br w:val="nil"/>
              <w:tr2bl w:val="nil"/>
            </w:tcBorders>
            <w:noWrap w:val="0"/>
            <w:vAlign w:val="center"/>
          </w:tcPr>
          <w:p w14:paraId="4ED2BF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自燃温度（℃）</w:t>
            </w:r>
          </w:p>
        </w:tc>
        <w:tc>
          <w:tcPr>
            <w:tcW w:w="724" w:type="pct"/>
            <w:gridSpan w:val="3"/>
            <w:tcBorders>
              <w:tl2br w:val="nil"/>
              <w:tr2bl w:val="nil"/>
            </w:tcBorders>
            <w:noWrap w:val="0"/>
            <w:vAlign w:val="center"/>
          </w:tcPr>
          <w:p w14:paraId="2C4636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无</w:t>
            </w:r>
            <w:r>
              <w:rPr>
                <w:rFonts w:hint="eastAsia" w:ascii="宋体" w:hAnsi="宋体" w:eastAsia="宋体" w:cs="宋体"/>
                <w:sz w:val="21"/>
                <w:szCs w:val="21"/>
                <w:lang w:val="en-US" w:eastAsia="zh-CN"/>
              </w:rPr>
              <w:t>资料</w:t>
            </w:r>
          </w:p>
        </w:tc>
        <w:tc>
          <w:tcPr>
            <w:tcW w:w="1121" w:type="pct"/>
            <w:gridSpan w:val="2"/>
            <w:tcBorders>
              <w:tl2br w:val="nil"/>
              <w:tr2bl w:val="nil"/>
            </w:tcBorders>
            <w:noWrap w:val="0"/>
            <w:vAlign w:val="center"/>
          </w:tcPr>
          <w:p w14:paraId="475950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爆炸极限（V%）</w:t>
            </w:r>
          </w:p>
        </w:tc>
        <w:tc>
          <w:tcPr>
            <w:tcW w:w="701" w:type="pct"/>
            <w:gridSpan w:val="2"/>
            <w:tcBorders>
              <w:tl2br w:val="nil"/>
              <w:tr2bl w:val="nil"/>
            </w:tcBorders>
            <w:noWrap w:val="0"/>
            <w:vAlign w:val="center"/>
          </w:tcPr>
          <w:p w14:paraId="7DFD69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无</w:t>
            </w:r>
            <w:r>
              <w:rPr>
                <w:rFonts w:hint="eastAsia" w:ascii="宋体" w:hAnsi="宋体" w:eastAsia="宋体" w:cs="宋体"/>
                <w:sz w:val="21"/>
                <w:szCs w:val="21"/>
                <w:lang w:val="en-US" w:eastAsia="zh-CN"/>
              </w:rPr>
              <w:t>资料</w:t>
            </w:r>
          </w:p>
        </w:tc>
      </w:tr>
      <w:tr w14:paraId="3D806D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continue"/>
            <w:tcBorders>
              <w:tl2br w:val="nil"/>
              <w:tr2bl w:val="nil"/>
            </w:tcBorders>
            <w:noWrap w:val="0"/>
            <w:vAlign w:val="center"/>
          </w:tcPr>
          <w:p w14:paraId="1EAE6C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850" w:type="pct"/>
            <w:gridSpan w:val="2"/>
            <w:tcBorders>
              <w:tl2br w:val="nil"/>
              <w:tr2bl w:val="nil"/>
            </w:tcBorders>
            <w:noWrap w:val="0"/>
            <w:vAlign w:val="center"/>
          </w:tcPr>
          <w:p w14:paraId="2542B6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火灾危险性分类</w:t>
            </w:r>
          </w:p>
        </w:tc>
        <w:tc>
          <w:tcPr>
            <w:tcW w:w="554" w:type="pct"/>
            <w:gridSpan w:val="2"/>
            <w:tcBorders>
              <w:tl2br w:val="nil"/>
              <w:tr2bl w:val="nil"/>
            </w:tcBorders>
            <w:noWrap w:val="0"/>
            <w:vAlign w:val="center"/>
          </w:tcPr>
          <w:p w14:paraId="34DDCC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无资料</w:t>
            </w:r>
          </w:p>
        </w:tc>
        <w:tc>
          <w:tcPr>
            <w:tcW w:w="871" w:type="pct"/>
            <w:gridSpan w:val="2"/>
            <w:tcBorders>
              <w:tl2br w:val="nil"/>
              <w:tr2bl w:val="nil"/>
            </w:tcBorders>
            <w:noWrap w:val="0"/>
            <w:vAlign w:val="center"/>
          </w:tcPr>
          <w:p w14:paraId="18D562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燃烧性</w:t>
            </w:r>
          </w:p>
        </w:tc>
        <w:tc>
          <w:tcPr>
            <w:tcW w:w="724" w:type="pct"/>
            <w:gridSpan w:val="3"/>
            <w:tcBorders>
              <w:tl2br w:val="nil"/>
              <w:tr2bl w:val="nil"/>
            </w:tcBorders>
            <w:noWrap w:val="0"/>
            <w:vAlign w:val="center"/>
          </w:tcPr>
          <w:p w14:paraId="04B530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不燃，具强腐蚀性、强刺</w:t>
            </w:r>
          </w:p>
          <w:p w14:paraId="482CF0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激性，可致人体灼伤。</w:t>
            </w:r>
          </w:p>
        </w:tc>
        <w:tc>
          <w:tcPr>
            <w:tcW w:w="1121" w:type="pct"/>
            <w:gridSpan w:val="2"/>
            <w:tcBorders>
              <w:tl2br w:val="nil"/>
              <w:tr2bl w:val="nil"/>
            </w:tcBorders>
            <w:noWrap w:val="0"/>
            <w:vAlign w:val="center"/>
          </w:tcPr>
          <w:p w14:paraId="77230F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燃烧热（kj/mol）</w:t>
            </w:r>
          </w:p>
        </w:tc>
        <w:tc>
          <w:tcPr>
            <w:tcW w:w="701" w:type="pct"/>
            <w:gridSpan w:val="2"/>
            <w:tcBorders>
              <w:tl2br w:val="nil"/>
              <w:tr2bl w:val="nil"/>
            </w:tcBorders>
            <w:noWrap w:val="0"/>
            <w:vAlign w:val="center"/>
          </w:tcPr>
          <w:p w14:paraId="1B8188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无</w:t>
            </w:r>
            <w:r>
              <w:rPr>
                <w:rFonts w:hint="eastAsia" w:ascii="宋体" w:hAnsi="宋体" w:eastAsia="宋体" w:cs="宋体"/>
                <w:sz w:val="21"/>
                <w:szCs w:val="21"/>
                <w:lang w:val="en-US" w:eastAsia="zh-CN"/>
              </w:rPr>
              <w:t>资料</w:t>
            </w:r>
          </w:p>
        </w:tc>
      </w:tr>
      <w:tr w14:paraId="0ABA98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continue"/>
            <w:tcBorders>
              <w:tl2br w:val="nil"/>
              <w:tr2bl w:val="nil"/>
            </w:tcBorders>
            <w:noWrap w:val="0"/>
            <w:vAlign w:val="center"/>
          </w:tcPr>
          <w:p w14:paraId="0CBF59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4824" w:type="pct"/>
            <w:gridSpan w:val="13"/>
            <w:tcBorders>
              <w:tl2br w:val="nil"/>
              <w:tr2bl w:val="nil"/>
            </w:tcBorders>
            <w:noWrap w:val="0"/>
            <w:vAlign w:val="center"/>
          </w:tcPr>
          <w:p w14:paraId="4F302B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危险特性：能与一些活性金属粉末发生反应，放出氢气。遇氰化物能产生剧毒的氰化氢气体。</w:t>
            </w:r>
          </w:p>
          <w:p w14:paraId="1C5C4A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与碱发生中合反应，并放出大量的热。具有较强的腐蚀性。</w:t>
            </w:r>
          </w:p>
        </w:tc>
      </w:tr>
      <w:tr w14:paraId="3D3AB5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continue"/>
            <w:tcBorders>
              <w:tl2br w:val="nil"/>
              <w:tr2bl w:val="nil"/>
            </w:tcBorders>
            <w:noWrap w:val="0"/>
            <w:vAlign w:val="center"/>
          </w:tcPr>
          <w:p w14:paraId="1F8139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276" w:type="pct"/>
            <w:gridSpan w:val="6"/>
            <w:tcBorders>
              <w:tl2br w:val="nil"/>
              <w:tr2bl w:val="nil"/>
            </w:tcBorders>
            <w:noWrap w:val="0"/>
            <w:vAlign w:val="center"/>
          </w:tcPr>
          <w:p w14:paraId="62533D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燃烧（分解）产物：氯化氢。</w:t>
            </w:r>
          </w:p>
        </w:tc>
        <w:tc>
          <w:tcPr>
            <w:tcW w:w="2547" w:type="pct"/>
            <w:gridSpan w:val="7"/>
            <w:tcBorders>
              <w:tl2br w:val="nil"/>
              <w:tr2bl w:val="nil"/>
            </w:tcBorders>
            <w:noWrap w:val="0"/>
            <w:vAlign w:val="center"/>
          </w:tcPr>
          <w:p w14:paraId="0D1959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禁忌物：碱类、胺类、碱金属、易燃或可燃物。</w:t>
            </w:r>
          </w:p>
        </w:tc>
      </w:tr>
      <w:tr w14:paraId="208C64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continue"/>
            <w:tcBorders>
              <w:tl2br w:val="nil"/>
              <w:tr2bl w:val="nil"/>
            </w:tcBorders>
            <w:noWrap w:val="0"/>
            <w:vAlign w:val="center"/>
          </w:tcPr>
          <w:p w14:paraId="271F74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4824" w:type="pct"/>
            <w:gridSpan w:val="13"/>
            <w:tcBorders>
              <w:tl2br w:val="nil"/>
              <w:tr2bl w:val="nil"/>
            </w:tcBorders>
            <w:noWrap w:val="0"/>
            <w:vAlign w:val="center"/>
          </w:tcPr>
          <w:p w14:paraId="67E3FC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灭火方法：消防人员必须佩戴氧气呼吸器、穿全身防护服</w:t>
            </w:r>
          </w:p>
          <w:p w14:paraId="2C1A60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灭火剂：</w:t>
            </w:r>
            <w:r>
              <w:rPr>
                <w:rFonts w:hint="eastAsia" w:ascii="宋体" w:hAnsi="宋体" w:eastAsia="宋体" w:cs="宋体"/>
                <w:sz w:val="21"/>
                <w:szCs w:val="21"/>
              </w:rPr>
              <w:t>用碱性物质如碳酸氢钠、碳酸钠、消石灰等中和。也可用大量水扑救。</w:t>
            </w:r>
          </w:p>
        </w:tc>
      </w:tr>
      <w:tr w14:paraId="5A663C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restart"/>
            <w:tcBorders>
              <w:tl2br w:val="nil"/>
              <w:tr2bl w:val="nil"/>
            </w:tcBorders>
            <w:noWrap w:val="0"/>
            <w:vAlign w:val="center"/>
          </w:tcPr>
          <w:p w14:paraId="71511E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毒性与健康危害</w:t>
            </w:r>
          </w:p>
        </w:tc>
        <w:tc>
          <w:tcPr>
            <w:tcW w:w="2276" w:type="pct"/>
            <w:gridSpan w:val="6"/>
            <w:tcBorders>
              <w:tl2br w:val="nil"/>
              <w:tr2bl w:val="nil"/>
            </w:tcBorders>
            <w:noWrap w:val="0"/>
            <w:vAlign w:val="center"/>
          </w:tcPr>
          <w:p w14:paraId="60522C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毒性资料：无资料</w:t>
            </w:r>
          </w:p>
        </w:tc>
        <w:tc>
          <w:tcPr>
            <w:tcW w:w="2547" w:type="pct"/>
            <w:gridSpan w:val="7"/>
            <w:vMerge w:val="restart"/>
            <w:tcBorders>
              <w:tl2br w:val="nil"/>
              <w:tr2bl w:val="nil"/>
            </w:tcBorders>
            <w:noWrap w:val="0"/>
            <w:vAlign w:val="center"/>
          </w:tcPr>
          <w:p w14:paraId="17E966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职业接触限值：中国MAC：2mg/m3</w:t>
            </w:r>
          </w:p>
          <w:p w14:paraId="3527DA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苏联MAC：1mg/m3</w:t>
            </w:r>
          </w:p>
          <w:p w14:paraId="6AC530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美国TWA：ACGIH 1mg／m3</w:t>
            </w:r>
          </w:p>
          <w:p w14:paraId="4531E1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美国STEL：ACGIH 3mg／m3</w:t>
            </w:r>
          </w:p>
        </w:tc>
      </w:tr>
      <w:tr w14:paraId="57A2D9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continue"/>
            <w:tcBorders>
              <w:tl2br w:val="nil"/>
              <w:tr2bl w:val="nil"/>
            </w:tcBorders>
            <w:noWrap w:val="0"/>
            <w:vAlign w:val="center"/>
          </w:tcPr>
          <w:p w14:paraId="6E5F19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276" w:type="pct"/>
            <w:gridSpan w:val="6"/>
            <w:tcBorders>
              <w:tl2br w:val="nil"/>
              <w:tr2bl w:val="nil"/>
            </w:tcBorders>
            <w:noWrap w:val="0"/>
            <w:vAlign w:val="center"/>
          </w:tcPr>
          <w:p w14:paraId="6BA28E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侵入途径：吸入  食入</w:t>
            </w:r>
          </w:p>
        </w:tc>
        <w:tc>
          <w:tcPr>
            <w:tcW w:w="2547" w:type="pct"/>
            <w:gridSpan w:val="7"/>
            <w:vMerge w:val="continue"/>
            <w:tcBorders>
              <w:tl2br w:val="nil"/>
              <w:tr2bl w:val="nil"/>
            </w:tcBorders>
            <w:noWrap w:val="0"/>
            <w:vAlign w:val="center"/>
          </w:tcPr>
          <w:p w14:paraId="310E25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p>
        </w:tc>
      </w:tr>
      <w:tr w14:paraId="5B1874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continue"/>
            <w:tcBorders>
              <w:tl2br w:val="nil"/>
              <w:tr2bl w:val="nil"/>
            </w:tcBorders>
            <w:noWrap w:val="0"/>
            <w:vAlign w:val="center"/>
          </w:tcPr>
          <w:p w14:paraId="50B920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4824" w:type="pct"/>
            <w:gridSpan w:val="13"/>
            <w:tcBorders>
              <w:tl2br w:val="nil"/>
              <w:tr2bl w:val="nil"/>
            </w:tcBorders>
            <w:noWrap w:val="0"/>
            <w:vAlign w:val="center"/>
          </w:tcPr>
          <w:p w14:paraId="40156B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健康危害：接触其蒸气或烟雾，可引起急性中毒，出现眼结膜炎，鼻及口腔</w:t>
            </w:r>
            <w:r>
              <w:rPr>
                <w:rFonts w:hint="eastAsia" w:cs="宋体"/>
                <w:sz w:val="21"/>
                <w:szCs w:val="21"/>
                <w:lang w:eastAsia="zh-CN"/>
              </w:rPr>
              <w:t>黏膜</w:t>
            </w:r>
            <w:r>
              <w:rPr>
                <w:rFonts w:hint="eastAsia" w:ascii="宋体" w:hAnsi="宋体" w:eastAsia="宋体" w:cs="宋体"/>
                <w:sz w:val="21"/>
                <w:szCs w:val="21"/>
              </w:rPr>
              <w:t>有烧灼感，</w:t>
            </w:r>
          </w:p>
          <w:p w14:paraId="1D422B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鼻衄，齿龈出血，气管炎等。误服可引起消化道灼伤、溃疡形成，有可能引起胃穿孔、腹膜炎等。眼和皮肤接触可致灼伤。慢性影响：长期接触，引起慢性鼻炎、慢性支气管炎、牙齿酸蚀症及皮肤损害。</w:t>
            </w:r>
          </w:p>
        </w:tc>
      </w:tr>
      <w:tr w14:paraId="7DD6F5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restart"/>
            <w:tcBorders>
              <w:tl2br w:val="nil"/>
              <w:tr2bl w:val="nil"/>
            </w:tcBorders>
            <w:noWrap w:val="0"/>
            <w:vAlign w:val="center"/>
          </w:tcPr>
          <w:p w14:paraId="57688C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急</w:t>
            </w:r>
          </w:p>
          <w:p w14:paraId="5D8BC4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救</w:t>
            </w:r>
          </w:p>
          <w:p w14:paraId="5CE1F2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措</w:t>
            </w:r>
          </w:p>
          <w:p w14:paraId="1C54A6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施</w:t>
            </w:r>
          </w:p>
        </w:tc>
        <w:tc>
          <w:tcPr>
            <w:tcW w:w="4824" w:type="pct"/>
            <w:gridSpan w:val="13"/>
            <w:tcBorders>
              <w:tl2br w:val="nil"/>
              <w:tr2bl w:val="nil"/>
            </w:tcBorders>
            <w:noWrap w:val="0"/>
            <w:vAlign w:val="center"/>
          </w:tcPr>
          <w:p w14:paraId="742D0A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皮肤接触：立即脱去污染的衣着，用大量流动清水冲洗至少15分钟。就医。</w:t>
            </w:r>
          </w:p>
        </w:tc>
      </w:tr>
      <w:tr w14:paraId="23584B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continue"/>
            <w:tcBorders>
              <w:tl2br w:val="nil"/>
              <w:tr2bl w:val="nil"/>
            </w:tcBorders>
            <w:noWrap w:val="0"/>
            <w:vAlign w:val="center"/>
          </w:tcPr>
          <w:p w14:paraId="0A7F75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4824" w:type="pct"/>
            <w:gridSpan w:val="13"/>
            <w:tcBorders>
              <w:tl2br w:val="nil"/>
              <w:tr2bl w:val="nil"/>
            </w:tcBorders>
            <w:noWrap w:val="0"/>
            <w:vAlign w:val="center"/>
          </w:tcPr>
          <w:p w14:paraId="621548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眼睛接触：立即提起眼睑，用大量流动清水或生理盐水彻底冲洗至少15分钟。就医。</w:t>
            </w:r>
          </w:p>
        </w:tc>
      </w:tr>
      <w:tr w14:paraId="731CEF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continue"/>
            <w:tcBorders>
              <w:tl2br w:val="nil"/>
              <w:tr2bl w:val="nil"/>
            </w:tcBorders>
            <w:noWrap w:val="0"/>
            <w:vAlign w:val="center"/>
          </w:tcPr>
          <w:p w14:paraId="0BD9CE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4824" w:type="pct"/>
            <w:gridSpan w:val="13"/>
            <w:tcBorders>
              <w:tl2br w:val="nil"/>
              <w:tr2bl w:val="nil"/>
            </w:tcBorders>
            <w:noWrap w:val="0"/>
            <w:vAlign w:val="center"/>
          </w:tcPr>
          <w:p w14:paraId="02BA49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吸入：迅速脱离现场至空气新鲜处，保持呼吸道通畅。如呼吸困难，给输氧。如呼吸停</w:t>
            </w:r>
          </w:p>
          <w:p w14:paraId="2412E1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止，立即进行人工呼吸。就医。</w:t>
            </w:r>
            <w:r>
              <w:rPr>
                <w:rFonts w:hint="eastAsia" w:ascii="宋体" w:hAnsi="宋体" w:eastAsia="宋体" w:cs="宋体"/>
                <w:sz w:val="21"/>
                <w:szCs w:val="21"/>
              </w:rPr>
              <w:cr/>
            </w:r>
          </w:p>
        </w:tc>
      </w:tr>
      <w:tr w14:paraId="7B5015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continue"/>
            <w:tcBorders>
              <w:tl2br w:val="nil"/>
              <w:tr2bl w:val="nil"/>
            </w:tcBorders>
            <w:noWrap w:val="0"/>
            <w:vAlign w:val="center"/>
          </w:tcPr>
          <w:p w14:paraId="0CAA9A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4824" w:type="pct"/>
            <w:gridSpan w:val="13"/>
            <w:tcBorders>
              <w:tl2br w:val="nil"/>
              <w:tr2bl w:val="nil"/>
            </w:tcBorders>
            <w:noWrap w:val="0"/>
            <w:vAlign w:val="center"/>
          </w:tcPr>
          <w:p w14:paraId="197F1B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食入：误服者用水漱口，给饮牛奶或蛋清。就医。</w:t>
            </w:r>
          </w:p>
        </w:tc>
      </w:tr>
      <w:tr w14:paraId="3BA3D4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restart"/>
            <w:tcBorders>
              <w:tl2br w:val="nil"/>
              <w:tr2bl w:val="nil"/>
            </w:tcBorders>
            <w:noWrap w:val="0"/>
            <w:vAlign w:val="center"/>
          </w:tcPr>
          <w:p w14:paraId="45FEE8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防</w:t>
            </w:r>
          </w:p>
          <w:p w14:paraId="18CB06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护</w:t>
            </w:r>
          </w:p>
          <w:p w14:paraId="016AAB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措</w:t>
            </w:r>
          </w:p>
          <w:p w14:paraId="2688FF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施</w:t>
            </w:r>
          </w:p>
        </w:tc>
        <w:tc>
          <w:tcPr>
            <w:tcW w:w="2276" w:type="pct"/>
            <w:gridSpan w:val="6"/>
            <w:tcBorders>
              <w:tl2br w:val="nil"/>
              <w:tr2bl w:val="nil"/>
            </w:tcBorders>
            <w:noWrap w:val="0"/>
            <w:vAlign w:val="center"/>
          </w:tcPr>
          <w:p w14:paraId="33BA22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呼吸系统防护：可能接触其烟雾时，佩戴自吸过滤式防毒面具（全面罩）或空气呼吸器。紧急事态抢救或撤离时，建议佩戴氧气呼吸器。</w:t>
            </w:r>
          </w:p>
        </w:tc>
        <w:tc>
          <w:tcPr>
            <w:tcW w:w="2547" w:type="pct"/>
            <w:gridSpan w:val="7"/>
            <w:tcBorders>
              <w:tl2br w:val="nil"/>
              <w:tr2bl w:val="nil"/>
            </w:tcBorders>
            <w:noWrap w:val="0"/>
            <w:vAlign w:val="center"/>
          </w:tcPr>
          <w:p w14:paraId="7AEBCB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眼睛防护：呼吸系统防护中已作防护。</w:t>
            </w:r>
          </w:p>
        </w:tc>
      </w:tr>
      <w:tr w14:paraId="647486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continue"/>
            <w:tcBorders>
              <w:tl2br w:val="nil"/>
              <w:tr2bl w:val="nil"/>
            </w:tcBorders>
            <w:noWrap w:val="0"/>
            <w:vAlign w:val="center"/>
          </w:tcPr>
          <w:p w14:paraId="6EA49A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2276" w:type="pct"/>
            <w:gridSpan w:val="6"/>
            <w:tcBorders>
              <w:tl2br w:val="nil"/>
              <w:tr2bl w:val="nil"/>
            </w:tcBorders>
            <w:noWrap w:val="0"/>
            <w:vAlign w:val="center"/>
          </w:tcPr>
          <w:p w14:paraId="4FB320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手防护：戴橡胶耐酸碱手套。</w:t>
            </w:r>
            <w:r>
              <w:rPr>
                <w:rFonts w:hint="eastAsia" w:ascii="宋体" w:hAnsi="宋体" w:eastAsia="宋体" w:cs="宋体"/>
                <w:sz w:val="21"/>
                <w:szCs w:val="21"/>
              </w:rPr>
              <w:cr/>
            </w:r>
          </w:p>
        </w:tc>
        <w:tc>
          <w:tcPr>
            <w:tcW w:w="2547" w:type="pct"/>
            <w:gridSpan w:val="7"/>
            <w:tcBorders>
              <w:tl2br w:val="nil"/>
              <w:tr2bl w:val="nil"/>
            </w:tcBorders>
            <w:noWrap w:val="0"/>
            <w:vAlign w:val="center"/>
          </w:tcPr>
          <w:p w14:paraId="409DB1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身体防护：穿橡胶耐酸碱服。</w:t>
            </w:r>
          </w:p>
        </w:tc>
      </w:tr>
      <w:tr w14:paraId="0FADFC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continue"/>
            <w:tcBorders>
              <w:tl2br w:val="nil"/>
              <w:tr2bl w:val="nil"/>
            </w:tcBorders>
            <w:noWrap w:val="0"/>
            <w:vAlign w:val="center"/>
          </w:tcPr>
          <w:p w14:paraId="298403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4824" w:type="pct"/>
            <w:gridSpan w:val="13"/>
            <w:tcBorders>
              <w:tl2br w:val="nil"/>
              <w:tr2bl w:val="nil"/>
            </w:tcBorders>
            <w:noWrap w:val="0"/>
            <w:vAlign w:val="center"/>
          </w:tcPr>
          <w:p w14:paraId="419372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其它：工作现场禁止吸烟、进食和饮水。工作完毕，淋浴更衣。单独存放被毒物污染的衣服洗后备用。保持良好的卫生习惯。</w:t>
            </w:r>
          </w:p>
        </w:tc>
      </w:tr>
      <w:tr w14:paraId="305AAA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restart"/>
            <w:tcBorders>
              <w:tl2br w:val="nil"/>
              <w:tr2bl w:val="nil"/>
            </w:tcBorders>
            <w:noWrap w:val="0"/>
            <w:vAlign w:val="center"/>
          </w:tcPr>
          <w:p w14:paraId="27B8C8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储运与包装</w:t>
            </w:r>
          </w:p>
        </w:tc>
        <w:tc>
          <w:tcPr>
            <w:tcW w:w="2276" w:type="pct"/>
            <w:gridSpan w:val="6"/>
            <w:tcBorders>
              <w:tl2br w:val="nil"/>
              <w:tr2bl w:val="nil"/>
            </w:tcBorders>
            <w:noWrap w:val="0"/>
            <w:vAlign w:val="center"/>
          </w:tcPr>
          <w:p w14:paraId="741FA1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危险性类别：第8.1类 酸性腐蚀品</w:t>
            </w:r>
            <w:r>
              <w:rPr>
                <w:rFonts w:hint="eastAsia" w:ascii="宋体" w:hAnsi="宋体" w:eastAsia="宋体" w:cs="宋体"/>
                <w:sz w:val="21"/>
                <w:szCs w:val="21"/>
              </w:rPr>
              <w:cr/>
            </w:r>
          </w:p>
        </w:tc>
        <w:tc>
          <w:tcPr>
            <w:tcW w:w="1386" w:type="pct"/>
            <w:gridSpan w:val="4"/>
            <w:tcBorders>
              <w:tl2br w:val="nil"/>
              <w:tr2bl w:val="nil"/>
            </w:tcBorders>
            <w:noWrap w:val="0"/>
            <w:vAlign w:val="center"/>
          </w:tcPr>
          <w:p w14:paraId="67B061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包装标志： 20</w:t>
            </w:r>
          </w:p>
        </w:tc>
        <w:tc>
          <w:tcPr>
            <w:tcW w:w="1161" w:type="pct"/>
            <w:gridSpan w:val="3"/>
            <w:tcBorders>
              <w:tl2br w:val="nil"/>
              <w:tr2bl w:val="nil"/>
            </w:tcBorders>
            <w:noWrap w:val="0"/>
            <w:vAlign w:val="center"/>
          </w:tcPr>
          <w:p w14:paraId="05685A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包装类别：</w:t>
            </w:r>
            <w:r>
              <w:rPr>
                <w:rFonts w:hint="eastAsia" w:ascii="宋体" w:hAnsi="宋体" w:eastAsia="宋体" w:cs="宋体"/>
                <w:sz w:val="21"/>
                <w:szCs w:val="21"/>
                <w:lang w:val="en-US" w:eastAsia="zh-CN"/>
              </w:rPr>
              <w:t>Ⅱ类</w:t>
            </w:r>
          </w:p>
        </w:tc>
      </w:tr>
      <w:tr w14:paraId="33F052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vMerge w:val="continue"/>
            <w:tcBorders>
              <w:tl2br w:val="nil"/>
              <w:tr2bl w:val="nil"/>
            </w:tcBorders>
            <w:noWrap w:val="0"/>
            <w:vAlign w:val="center"/>
          </w:tcPr>
          <w:p w14:paraId="35D03B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4824" w:type="pct"/>
            <w:gridSpan w:val="13"/>
            <w:tcBorders>
              <w:tl2br w:val="nil"/>
              <w:tr2bl w:val="nil"/>
            </w:tcBorders>
            <w:noWrap w:val="0"/>
            <w:vAlign w:val="center"/>
          </w:tcPr>
          <w:p w14:paraId="2874F5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储存：储存于阴凉、通风的地方，保持容器密闭，储存温度：15℃到 25℃；应与碱类、胺类、碱金属、易（可）燃物分开存放，切忌混储；一般储存需注意：勿使用金属容器。储区应备有泄漏应急处理设备。</w:t>
            </w:r>
          </w:p>
          <w:p w14:paraId="6ED16E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运输：本品铁路运输时限使用有</w:t>
            </w:r>
            <w:r>
              <w:rPr>
                <w:rFonts w:hint="eastAsia" w:cs="宋体"/>
                <w:sz w:val="21"/>
                <w:szCs w:val="21"/>
                <w:lang w:val="en-US" w:eastAsia="zh-CN"/>
              </w:rPr>
              <w:t>橡胶</w:t>
            </w:r>
            <w:r>
              <w:rPr>
                <w:rFonts w:hint="eastAsia" w:ascii="宋体" w:hAnsi="宋体" w:eastAsia="宋体" w:cs="宋体"/>
                <w:sz w:val="21"/>
                <w:szCs w:val="21"/>
              </w:rPr>
              <w:t>衬里钢制罐车或特制塑料企业自备罐车装运，装运前需报有关部门批准。铁路运输时应严格按照铁道部《危险货物运输规则》中的危险货物配装表进行配装。起运时包装要完整，装载应稳妥。运输过程中要确保容器不泄漏、不倒塌、不坠落、不损坏。严禁与碱类、胺类、碱金属、易燃物或可燃物、食用化学品等混装混运。运输时运输车辆应配备泄漏应急处理设备。运输途中应防曝晒、雨淋，防高温。公路运输时要按规定路线行驶，勿在居民区和人口稠密区停留。</w:t>
            </w:r>
          </w:p>
        </w:tc>
      </w:tr>
      <w:tr w14:paraId="00A72F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3" w:hRule="atLeast"/>
          <w:jc w:val="center"/>
        </w:trPr>
        <w:tc>
          <w:tcPr>
            <w:tcW w:w="175" w:type="pct"/>
            <w:tcBorders>
              <w:tl2br w:val="nil"/>
              <w:tr2bl w:val="nil"/>
            </w:tcBorders>
            <w:noWrap w:val="0"/>
            <w:vAlign w:val="center"/>
          </w:tcPr>
          <w:p w14:paraId="552121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泄</w:t>
            </w:r>
          </w:p>
          <w:p w14:paraId="5F6A66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漏</w:t>
            </w:r>
          </w:p>
          <w:p w14:paraId="147D1C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处</w:t>
            </w:r>
          </w:p>
          <w:p w14:paraId="3D717A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理</w:t>
            </w:r>
          </w:p>
        </w:tc>
        <w:tc>
          <w:tcPr>
            <w:tcW w:w="4824" w:type="pct"/>
            <w:gridSpan w:val="13"/>
            <w:tcBorders>
              <w:tl2br w:val="nil"/>
              <w:tr2bl w:val="nil"/>
            </w:tcBorders>
            <w:noWrap w:val="0"/>
            <w:vAlign w:val="center"/>
          </w:tcPr>
          <w:p w14:paraId="069176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迅速撤离泄漏污染区人员至安全区，并进行隔离，严格限制出入。建议应急处理人员戴自给正压式呼吸器，穿防酸碱工作服。不要直接接触泄漏物。尽可能切断泄漏源。防止进入下水道、排洪沟等限制性空间。小量泄漏：用砂土、干燥石灰或苏打灰混合。也可以用大量水冲洗，洗水稀释后放入废水系统。大量泄漏：构筑围堤或挖坑收容；用泵转移至槽车或专用收集器内。回收或运至废物处理场所处置。</w:t>
            </w:r>
          </w:p>
        </w:tc>
      </w:tr>
    </w:tbl>
    <w:p w14:paraId="6282694C">
      <w:pPr>
        <w:pStyle w:val="4"/>
        <w:keepNext w:val="0"/>
        <w:keepLines w:val="0"/>
        <w:pageBreakBefore w:val="0"/>
        <w:widowControl w:val="0"/>
        <w:kinsoku/>
        <w:bidi w:val="0"/>
        <w:rPr>
          <w:rFonts w:hint="eastAsia"/>
          <w:lang w:val="en-US" w:eastAsia="zh-CN"/>
        </w:rPr>
      </w:pPr>
      <w:bookmarkStart w:id="515" w:name="_Toc8693"/>
      <w:bookmarkStart w:id="516" w:name="_Toc27046"/>
      <w:r>
        <w:rPr>
          <w:rFonts w:hint="eastAsia"/>
          <w:lang w:val="en-US" w:eastAsia="zh-CN"/>
        </w:rPr>
        <w:t>重点监管的危险化学品辨识</w:t>
      </w:r>
      <w:bookmarkEnd w:id="515"/>
      <w:bookmarkEnd w:id="516"/>
    </w:p>
    <w:p w14:paraId="692A1229">
      <w:pPr>
        <w:keepNext w:val="0"/>
        <w:keepLines w:val="0"/>
        <w:pageBreakBefore w:val="0"/>
        <w:widowControl w:val="0"/>
        <w:kinsoku/>
        <w:wordWrap/>
        <w:overflowPunct/>
        <w:topLinePunct w:val="0"/>
        <w:autoSpaceDE/>
        <w:autoSpaceDN/>
        <w:bidi w:val="0"/>
        <w:adjustRightInd w:val="0"/>
        <w:snapToGrid/>
        <w:textAlignment w:val="auto"/>
        <w:rPr>
          <w:rFonts w:hint="eastAsia"/>
          <w:lang w:val="en-US" w:eastAsia="zh-CN"/>
        </w:rPr>
      </w:pPr>
      <w:bookmarkStart w:id="517" w:name="_Toc388278059"/>
      <w:r>
        <w:rPr>
          <w:rFonts w:hint="eastAsia"/>
          <w:lang w:val="en-US" w:eastAsia="zh-CN"/>
        </w:rPr>
        <w:t>根据《重点监管的危险化学品名录（2013年完整版）》（安监总管三〔2013〕12号）的内容，本项目乙炔、一氧化碳属于重点监管的危险化学品。</w:t>
      </w:r>
    </w:p>
    <w:p w14:paraId="55E98354">
      <w:pPr>
        <w:pStyle w:val="4"/>
        <w:keepNext w:val="0"/>
        <w:keepLines w:val="0"/>
        <w:pageBreakBefore w:val="0"/>
        <w:widowControl w:val="0"/>
        <w:kinsoku/>
        <w:bidi w:val="0"/>
        <w:rPr>
          <w:rFonts w:hint="eastAsia"/>
          <w:lang w:val="en-US" w:eastAsia="zh-CN"/>
        </w:rPr>
      </w:pPr>
      <w:bookmarkStart w:id="518" w:name="_Toc27517"/>
      <w:bookmarkStart w:id="519" w:name="_Toc20653"/>
      <w:r>
        <w:rPr>
          <w:rFonts w:hint="eastAsia"/>
          <w:lang w:val="en-US" w:eastAsia="zh-CN"/>
        </w:rPr>
        <w:t>制毒化学品辨识</w:t>
      </w:r>
      <w:bookmarkEnd w:id="518"/>
      <w:bookmarkEnd w:id="519"/>
    </w:p>
    <w:p w14:paraId="06E85129">
      <w:pPr>
        <w:bidi w:val="0"/>
        <w:rPr>
          <w:rFonts w:hint="eastAsia"/>
          <w:lang w:val="en-US" w:eastAsia="zh-CN"/>
        </w:rPr>
      </w:pPr>
      <w:r>
        <w:rPr>
          <w:rFonts w:hint="eastAsia"/>
          <w:lang w:val="en-US" w:eastAsia="zh-CN"/>
        </w:rPr>
        <w:t>根据《易制毒化学品管理条例》国务院令[2018年修订]第445号的规定，本项目涉及易制毒化学品为盐酸。</w:t>
      </w:r>
    </w:p>
    <w:p w14:paraId="23C5B232">
      <w:pPr>
        <w:pStyle w:val="4"/>
        <w:keepNext w:val="0"/>
        <w:keepLines w:val="0"/>
        <w:pageBreakBefore w:val="0"/>
        <w:widowControl w:val="0"/>
        <w:kinsoku/>
        <w:bidi w:val="0"/>
        <w:rPr>
          <w:rFonts w:hint="default"/>
          <w:lang w:val="en-US" w:eastAsia="zh-CN"/>
        </w:rPr>
      </w:pPr>
      <w:bookmarkStart w:id="520" w:name="_Toc4492"/>
      <w:bookmarkStart w:id="521" w:name="_Toc7607"/>
      <w:r>
        <w:rPr>
          <w:rFonts w:hint="default"/>
          <w:lang w:val="en-US" w:eastAsia="zh-CN"/>
        </w:rPr>
        <w:t>剧毒化学品辨识</w:t>
      </w:r>
      <w:bookmarkEnd w:id="520"/>
      <w:bookmarkEnd w:id="521"/>
    </w:p>
    <w:p w14:paraId="3CEE9DD3">
      <w:pPr>
        <w:bidi w:val="0"/>
        <w:rPr>
          <w:rFonts w:hint="default"/>
          <w:lang w:val="en-US" w:eastAsia="zh-CN"/>
        </w:rPr>
      </w:pPr>
      <w:r>
        <w:rPr>
          <w:rFonts w:hint="default"/>
          <w:lang w:val="en-US" w:eastAsia="zh-CN"/>
        </w:rPr>
        <w:t>根据《危险化学品名录》（20</w:t>
      </w:r>
      <w:r>
        <w:rPr>
          <w:rFonts w:hint="eastAsia"/>
          <w:lang w:val="en-US" w:eastAsia="zh-CN"/>
        </w:rPr>
        <w:t>22调整</w:t>
      </w:r>
      <w:r>
        <w:rPr>
          <w:rFonts w:hint="default"/>
          <w:lang w:val="en-US" w:eastAsia="zh-CN"/>
        </w:rPr>
        <w:t>版）</w:t>
      </w:r>
      <w:r>
        <w:rPr>
          <w:rFonts w:hint="eastAsia"/>
          <w:lang w:val="en-US" w:eastAsia="zh-CN"/>
        </w:rPr>
        <w:t>应急管理部</w:t>
      </w:r>
      <w:r>
        <w:rPr>
          <w:rFonts w:hint="default"/>
          <w:lang w:val="en-US" w:eastAsia="zh-CN"/>
        </w:rPr>
        <w:t>等十部委公告</w:t>
      </w:r>
      <w:r>
        <w:rPr>
          <w:rFonts w:hint="eastAsia"/>
          <w:lang w:val="en-US" w:eastAsia="zh-CN"/>
        </w:rPr>
        <w:t>〔</w:t>
      </w:r>
      <w:r>
        <w:rPr>
          <w:rFonts w:hint="default"/>
          <w:lang w:val="en-US" w:eastAsia="zh-CN"/>
        </w:rPr>
        <w:t>20</w:t>
      </w:r>
      <w:r>
        <w:rPr>
          <w:rFonts w:hint="eastAsia"/>
          <w:lang w:val="en-US" w:eastAsia="zh-CN"/>
        </w:rPr>
        <w:t>22〕</w:t>
      </w:r>
      <w:r>
        <w:rPr>
          <w:rFonts w:hint="default"/>
          <w:lang w:val="en-US" w:eastAsia="zh-CN"/>
        </w:rPr>
        <w:t>第</w:t>
      </w:r>
      <w:r>
        <w:rPr>
          <w:rFonts w:hint="eastAsia"/>
          <w:lang w:val="en-US" w:eastAsia="zh-CN"/>
        </w:rPr>
        <w:t>8</w:t>
      </w:r>
      <w:r>
        <w:rPr>
          <w:rFonts w:hint="default"/>
          <w:lang w:val="en-US" w:eastAsia="zh-CN"/>
        </w:rPr>
        <w:t>号的规定，本项目不涉及剧毒化学品。</w:t>
      </w:r>
    </w:p>
    <w:p w14:paraId="28DD0A20">
      <w:pPr>
        <w:pStyle w:val="4"/>
        <w:keepNext w:val="0"/>
        <w:keepLines w:val="0"/>
        <w:pageBreakBefore w:val="0"/>
        <w:widowControl w:val="0"/>
        <w:kinsoku/>
        <w:bidi w:val="0"/>
        <w:rPr>
          <w:rFonts w:hint="default"/>
          <w:lang w:val="en-US" w:eastAsia="zh-CN"/>
        </w:rPr>
      </w:pPr>
      <w:bookmarkStart w:id="522" w:name="_Toc7510"/>
      <w:bookmarkStart w:id="523" w:name="_Toc29735"/>
      <w:r>
        <w:rPr>
          <w:rFonts w:hint="default"/>
          <w:lang w:val="en-US" w:eastAsia="zh-CN"/>
        </w:rPr>
        <w:t>易制爆化学品辨识</w:t>
      </w:r>
      <w:bookmarkEnd w:id="522"/>
      <w:bookmarkEnd w:id="523"/>
    </w:p>
    <w:p w14:paraId="342D61D6">
      <w:pPr>
        <w:bidi w:val="0"/>
        <w:rPr>
          <w:rFonts w:hint="eastAsia"/>
          <w:lang w:val="en-US" w:eastAsia="zh-CN"/>
        </w:rPr>
      </w:pPr>
      <w:r>
        <w:rPr>
          <w:rFonts w:hint="default"/>
          <w:lang w:val="en-US" w:eastAsia="zh-CN"/>
        </w:rPr>
        <w:t>根据《易制爆危险化学品名录》（2017年版），本项目</w:t>
      </w:r>
      <w:r>
        <w:rPr>
          <w:rFonts w:hint="eastAsia"/>
          <w:lang w:val="en-US" w:eastAsia="zh-CN"/>
        </w:rPr>
        <w:t>未</w:t>
      </w:r>
      <w:r>
        <w:rPr>
          <w:rFonts w:hint="default"/>
          <w:lang w:val="en-US" w:eastAsia="zh-CN"/>
        </w:rPr>
        <w:t>涉及易制爆危险化学品</w:t>
      </w:r>
      <w:r>
        <w:rPr>
          <w:rFonts w:hint="eastAsia"/>
          <w:lang w:val="en-US" w:eastAsia="zh-CN"/>
        </w:rPr>
        <w:t>。</w:t>
      </w:r>
    </w:p>
    <w:p w14:paraId="1E6FC525">
      <w:pPr>
        <w:pStyle w:val="4"/>
        <w:keepNext w:val="0"/>
        <w:keepLines w:val="0"/>
        <w:pageBreakBefore w:val="0"/>
        <w:widowControl w:val="0"/>
        <w:kinsoku/>
        <w:bidi w:val="0"/>
        <w:rPr>
          <w:rFonts w:hint="eastAsia"/>
          <w:lang w:val="en-US" w:eastAsia="zh-CN"/>
        </w:rPr>
      </w:pPr>
      <w:bookmarkStart w:id="524" w:name="_Toc11846"/>
      <w:bookmarkStart w:id="525" w:name="_Toc11355"/>
      <w:r>
        <w:rPr>
          <w:rFonts w:hint="eastAsia"/>
          <w:lang w:val="en-US" w:eastAsia="zh-CN"/>
        </w:rPr>
        <w:t>监控化学品辨识</w:t>
      </w:r>
      <w:bookmarkEnd w:id="524"/>
      <w:bookmarkEnd w:id="525"/>
    </w:p>
    <w:p w14:paraId="17F1DDF3">
      <w:pPr>
        <w:bidi w:val="0"/>
        <w:rPr>
          <w:rFonts w:hint="eastAsia"/>
          <w:lang w:val="en-US" w:eastAsia="zh-CN"/>
        </w:rPr>
      </w:pPr>
      <w:r>
        <w:rPr>
          <w:rFonts w:hint="eastAsia"/>
          <w:lang w:val="en-US" w:eastAsia="zh-CN"/>
        </w:rPr>
        <w:t>根据《中华人民共和国监控化学品管理条例》（国务院令588号）进行辨识，本项目不涉及监控化学品。</w:t>
      </w:r>
    </w:p>
    <w:p w14:paraId="1196F3C6">
      <w:pPr>
        <w:pStyle w:val="4"/>
        <w:keepNext w:val="0"/>
        <w:keepLines w:val="0"/>
        <w:pageBreakBefore w:val="0"/>
        <w:widowControl w:val="0"/>
        <w:kinsoku/>
        <w:bidi w:val="0"/>
        <w:rPr>
          <w:lang w:val="en-US" w:eastAsia="zh-CN"/>
        </w:rPr>
      </w:pPr>
      <w:bookmarkStart w:id="526" w:name="_Toc22726"/>
      <w:bookmarkStart w:id="527" w:name="_Toc6370"/>
      <w:bookmarkStart w:id="528" w:name="_Toc5114"/>
      <w:bookmarkStart w:id="529" w:name="_Toc38297927"/>
      <w:bookmarkStart w:id="530" w:name="_Toc13481"/>
      <w:r>
        <w:rPr>
          <w:lang w:val="en-US" w:eastAsia="zh-CN"/>
        </w:rPr>
        <w:t>危险化学品重大危险源</w:t>
      </w:r>
      <w:r>
        <w:rPr>
          <w:rFonts w:hint="eastAsia"/>
          <w:lang w:val="en-US" w:eastAsia="zh-CN"/>
        </w:rPr>
        <w:t>辨识</w:t>
      </w:r>
      <w:bookmarkEnd w:id="526"/>
      <w:bookmarkEnd w:id="527"/>
      <w:bookmarkEnd w:id="528"/>
      <w:bookmarkEnd w:id="529"/>
      <w:bookmarkEnd w:id="530"/>
    </w:p>
    <w:bookmarkEnd w:id="517"/>
    <w:p w14:paraId="53718695">
      <w:pPr>
        <w:pStyle w:val="5"/>
        <w:bidi w:val="0"/>
        <w:rPr>
          <w:lang w:val="en-US" w:eastAsia="zh-CN"/>
        </w:rPr>
      </w:pPr>
      <w:bookmarkStart w:id="531" w:name="_Toc55567437"/>
      <w:bookmarkStart w:id="532" w:name="_Toc60925391"/>
      <w:bookmarkStart w:id="533" w:name="_Toc29138"/>
      <w:bookmarkStart w:id="534" w:name="_Toc55945282"/>
      <w:bookmarkStart w:id="535" w:name="_Toc17792049"/>
      <w:bookmarkStart w:id="536" w:name="_Toc480542251"/>
      <w:bookmarkStart w:id="537" w:name="_Toc4511368"/>
      <w:r>
        <w:rPr>
          <w:rFonts w:hint="eastAsia"/>
          <w:lang w:val="en-US" w:eastAsia="zh-CN"/>
        </w:rPr>
        <w:t>辨识方法</w:t>
      </w:r>
      <w:bookmarkEnd w:id="531"/>
      <w:bookmarkEnd w:id="532"/>
      <w:bookmarkEnd w:id="533"/>
      <w:bookmarkEnd w:id="534"/>
      <w:bookmarkEnd w:id="535"/>
      <w:bookmarkEnd w:id="536"/>
      <w:bookmarkEnd w:id="537"/>
    </w:p>
    <w:p w14:paraId="4DFEEAEB">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ascii="Times New Roman" w:hAnsi="Times New Roman" w:eastAsia="宋体" w:cs="Times New Roman"/>
        </w:rPr>
      </w:pPr>
      <w:r>
        <w:rPr>
          <w:rFonts w:hint="eastAsia" w:ascii="Times New Roman" w:hAnsi="Times New Roman" w:eastAsia="宋体" w:cs="Times New Roman"/>
        </w:rPr>
        <w:t>危险化学品重大危险源是指长期地或临时地生产、储存、使用和经营危险化学品，且危险化学品的数量等于或超过临界量的单元。</w:t>
      </w:r>
    </w:p>
    <w:p w14:paraId="1B87501F">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ascii="Times New Roman" w:hAnsi="Times New Roman" w:eastAsia="宋体" w:cs="Times New Roman"/>
        </w:rPr>
      </w:pPr>
      <w:r>
        <w:rPr>
          <w:rFonts w:hint="eastAsia" w:ascii="Times New Roman" w:hAnsi="Times New Roman" w:eastAsia="宋体" w:cs="Times New Roman"/>
        </w:rPr>
        <w:t>危险化学品重大危险源可分为生产单元危险化学品重大危险源和储存单元危险化学品重大危险源，生产单元是指危险化学品生产、加工及使用等的装置及设施，当装置及设施之间有切断阀时，以切断阀作为分隔界限划分为独立单元；储存单元是指用于储存危险化学品的储罐或仓库组成的相对独立的区域，储罐区以及罐区防火堤为界限划分为独立的单元，仓库以独立库房（独立建筑物）为界限划分为独立的单元。</w:t>
      </w:r>
    </w:p>
    <w:p w14:paraId="2F7AF8DB">
      <w:pPr>
        <w:keepNext w:val="0"/>
        <w:keepLines w:val="0"/>
        <w:pageBreakBefore w:val="0"/>
        <w:widowControl w:val="0"/>
        <w:kinsoku/>
        <w:wordWrap/>
        <w:overflowPunct/>
        <w:topLinePunct/>
        <w:autoSpaceDE/>
        <w:autoSpaceDN/>
        <w:bidi w:val="0"/>
        <w:adjustRightInd/>
        <w:snapToGrid/>
        <w:spacing w:line="500" w:lineRule="exact"/>
        <w:ind w:firstLine="560" w:firstLineChars="200"/>
        <w:jc w:val="both"/>
        <w:textAlignment w:val="auto"/>
        <w:rPr>
          <w:rFonts w:ascii="Times New Roman" w:hAnsi="Times New Roman" w:eastAsia="宋体" w:cs="Times New Roman"/>
          <w:szCs w:val="28"/>
        </w:rPr>
      </w:pPr>
      <w:r>
        <w:rPr>
          <w:rFonts w:hint="eastAsia" w:ascii="Times New Roman" w:hAnsi="Times New Roman" w:eastAsia="宋体" w:cs="Times New Roman"/>
          <w:szCs w:val="28"/>
        </w:rPr>
        <w:t>危险化学品重大危险源的辨识依据是危险化学品的危险特性及数量，危险化学品储罐</w:t>
      </w:r>
      <w:r>
        <w:rPr>
          <w:rFonts w:hint="eastAsia" w:ascii="Times New Roman" w:hAnsi="Times New Roman" w:eastAsia="宋体" w:cs="Times New Roman"/>
          <w:szCs w:val="28"/>
          <w:lang w:eastAsia="zh-CN"/>
        </w:rPr>
        <w:t>以及其他</w:t>
      </w:r>
      <w:r>
        <w:rPr>
          <w:rFonts w:hint="eastAsia" w:ascii="Times New Roman" w:hAnsi="Times New Roman" w:eastAsia="宋体" w:cs="Times New Roman"/>
          <w:szCs w:val="28"/>
        </w:rPr>
        <w:t>容器、设备或仓储区的危险化学品的实际存在量按设计最大量确定。</w:t>
      </w:r>
    </w:p>
    <w:p w14:paraId="51660B2C">
      <w:pPr>
        <w:keepNext w:val="0"/>
        <w:keepLines w:val="0"/>
        <w:pageBreakBefore w:val="0"/>
        <w:widowControl w:val="0"/>
        <w:kinsoku/>
        <w:wordWrap/>
        <w:overflowPunct/>
        <w:topLinePunct/>
        <w:autoSpaceDE/>
        <w:autoSpaceDN/>
        <w:bidi w:val="0"/>
        <w:adjustRightInd/>
        <w:snapToGrid/>
        <w:spacing w:line="500" w:lineRule="exact"/>
        <w:ind w:firstLine="560" w:firstLineChars="200"/>
        <w:jc w:val="both"/>
        <w:textAlignment w:val="auto"/>
        <w:rPr>
          <w:rFonts w:ascii="Times New Roman" w:hAnsi="Times New Roman" w:eastAsia="宋体" w:cs="Times New Roman"/>
          <w:szCs w:val="28"/>
        </w:rPr>
      </w:pPr>
      <w:r>
        <w:rPr>
          <w:rFonts w:hint="eastAsia" w:ascii="Times New Roman" w:hAnsi="Times New Roman" w:eastAsia="宋体" w:cs="Times New Roman"/>
          <w:szCs w:val="28"/>
        </w:rPr>
        <w:t>生产单元、储存单元内存在危险化学品的数量等于或超过表</w:t>
      </w:r>
      <w:r>
        <w:rPr>
          <w:rFonts w:ascii="Times New Roman" w:hAnsi="Times New Roman" w:eastAsia="宋体" w:cs="Times New Roman"/>
          <w:szCs w:val="28"/>
        </w:rPr>
        <w:t>1</w:t>
      </w:r>
      <w:r>
        <w:rPr>
          <w:rFonts w:hint="eastAsia" w:ascii="Times New Roman" w:hAnsi="Times New Roman" w:eastAsia="宋体" w:cs="Times New Roman"/>
          <w:szCs w:val="28"/>
        </w:rPr>
        <w:t>、表</w:t>
      </w:r>
      <w:r>
        <w:rPr>
          <w:rFonts w:ascii="Times New Roman" w:hAnsi="Times New Roman" w:eastAsia="宋体" w:cs="Times New Roman"/>
          <w:szCs w:val="28"/>
        </w:rPr>
        <w:t>2</w:t>
      </w:r>
      <w:r>
        <w:rPr>
          <w:rFonts w:hint="eastAsia" w:ascii="Times New Roman" w:hAnsi="Times New Roman" w:eastAsia="宋体" w:cs="Times New Roman"/>
          <w:szCs w:val="28"/>
        </w:rPr>
        <w:t>（见《危险化学品重大危险源辨识》（</w:t>
      </w:r>
      <w:r>
        <w:rPr>
          <w:rFonts w:ascii="Times New Roman" w:hAnsi="Times New Roman" w:eastAsia="宋体" w:cs="Times New Roman"/>
          <w:szCs w:val="28"/>
        </w:rPr>
        <w:t>GB18218-2018</w:t>
      </w:r>
      <w:r>
        <w:rPr>
          <w:rFonts w:hint="eastAsia" w:ascii="Times New Roman" w:hAnsi="Times New Roman" w:eastAsia="宋体" w:cs="Times New Roman"/>
          <w:szCs w:val="28"/>
        </w:rPr>
        <w:t>）中表</w:t>
      </w:r>
      <w:r>
        <w:rPr>
          <w:rFonts w:ascii="Times New Roman" w:hAnsi="Times New Roman" w:eastAsia="宋体" w:cs="Times New Roman"/>
          <w:szCs w:val="28"/>
        </w:rPr>
        <w:t>1</w:t>
      </w:r>
      <w:r>
        <w:rPr>
          <w:rFonts w:hint="eastAsia" w:ascii="Times New Roman" w:hAnsi="Times New Roman" w:eastAsia="宋体" w:cs="Times New Roman"/>
          <w:szCs w:val="28"/>
        </w:rPr>
        <w:t>、表</w:t>
      </w:r>
      <w:r>
        <w:rPr>
          <w:rFonts w:ascii="Times New Roman" w:hAnsi="Times New Roman" w:eastAsia="宋体" w:cs="Times New Roman"/>
          <w:szCs w:val="28"/>
        </w:rPr>
        <w:t>2</w:t>
      </w:r>
      <w:r>
        <w:rPr>
          <w:rFonts w:hint="eastAsia" w:ascii="Times New Roman" w:hAnsi="Times New Roman" w:eastAsia="宋体" w:cs="Times New Roman"/>
          <w:szCs w:val="28"/>
        </w:rPr>
        <w:t>）规定的临界量，即被定为重大危险源。单元内存在的危险化学品的数量根据危险化学品种类的多少区分为以下两种情况：</w:t>
      </w:r>
    </w:p>
    <w:p w14:paraId="484E789D">
      <w:pPr>
        <w:keepNext w:val="0"/>
        <w:keepLines w:val="0"/>
        <w:pageBreakBefore w:val="0"/>
        <w:widowControl w:val="0"/>
        <w:numPr>
          <w:ilvl w:val="0"/>
          <w:numId w:val="39"/>
        </w:numPr>
        <w:kinsoku/>
        <w:wordWrap/>
        <w:overflowPunct/>
        <w:topLinePunct w:val="0"/>
        <w:autoSpaceDE/>
        <w:autoSpaceDN/>
        <w:bidi w:val="0"/>
        <w:adjustRightInd/>
        <w:snapToGrid/>
        <w:spacing w:line="500" w:lineRule="exact"/>
        <w:ind w:left="0" w:leftChars="0" w:firstLine="560" w:firstLineChars="200"/>
        <w:jc w:val="both"/>
        <w:textAlignment w:val="auto"/>
        <w:rPr>
          <w:rFonts w:hint="eastAsia" w:ascii="宋体" w:hAnsi="宋体" w:eastAsia="宋体" w:cs="宋体"/>
        </w:rPr>
      </w:pPr>
      <w:r>
        <w:rPr>
          <w:rFonts w:hint="eastAsia" w:ascii="宋体" w:hAnsi="宋体" w:eastAsia="宋体" w:cs="宋体"/>
        </w:rPr>
        <w:t>生产单元、储存单元内存在的危险化学品为单一品种时，则该危险化学品的数量即为单元内危险化学品的总量，若等于或超过相应的临界量，则定为重大危险源。</w:t>
      </w:r>
    </w:p>
    <w:p w14:paraId="09A7D50B">
      <w:pPr>
        <w:keepNext w:val="0"/>
        <w:keepLines w:val="0"/>
        <w:pageBreakBefore w:val="0"/>
        <w:widowControl w:val="0"/>
        <w:numPr>
          <w:ilvl w:val="0"/>
          <w:numId w:val="39"/>
        </w:numPr>
        <w:kinsoku/>
        <w:wordWrap/>
        <w:overflowPunct/>
        <w:topLinePunct w:val="0"/>
        <w:autoSpaceDE/>
        <w:autoSpaceDN/>
        <w:bidi w:val="0"/>
        <w:adjustRightInd/>
        <w:snapToGrid/>
        <w:spacing w:line="500" w:lineRule="exact"/>
        <w:ind w:left="0" w:leftChars="0" w:firstLine="560" w:firstLineChars="200"/>
        <w:jc w:val="both"/>
        <w:textAlignment w:val="auto"/>
        <w:rPr>
          <w:rFonts w:hint="eastAsia" w:ascii="宋体" w:hAnsi="宋体" w:eastAsia="宋体" w:cs="宋体"/>
        </w:rPr>
      </w:pPr>
      <w:r>
        <w:rPr>
          <w:rFonts w:hint="eastAsia" w:ascii="宋体" w:hAnsi="宋体" w:eastAsia="宋体" w:cs="宋体"/>
        </w:rPr>
        <w:t>生产单元、储存单元内存在的危险化学品为多品种时，则按下式计算，若满足下面公式，则定为重大危险源：</w:t>
      </w:r>
    </w:p>
    <w:p w14:paraId="56ABDE2C">
      <w:pPr>
        <w:keepNext w:val="0"/>
        <w:keepLines w:val="0"/>
        <w:pageBreakBefore w:val="0"/>
        <w:widowControl w:val="0"/>
        <w:kinsoku/>
        <w:wordWrap/>
        <w:overflowPunct/>
        <w:topLinePunct/>
        <w:autoSpaceDE/>
        <w:autoSpaceDN/>
        <w:bidi w:val="0"/>
        <w:adjustRightInd/>
        <w:snapToGrid w:val="0"/>
        <w:spacing w:line="360" w:lineRule="auto"/>
        <w:ind w:firstLine="560" w:firstLineChars="200"/>
        <w:jc w:val="center"/>
        <w:textAlignment w:val="auto"/>
        <w:rPr>
          <w:rFonts w:ascii="Times New Roman" w:hAnsi="Times New Roman" w:eastAsia="宋体" w:cs="Times New Roman"/>
          <w:szCs w:val="28"/>
        </w:rPr>
      </w:pPr>
      <w:r>
        <w:rPr>
          <w:rFonts w:ascii="Times New Roman" w:hAnsi="Times New Roman" w:eastAsia="宋体" w:cs="Times New Roman"/>
          <w:szCs w:val="28"/>
        </w:rPr>
        <w:t>S=</w:t>
      </w:r>
      <w:r>
        <w:rPr>
          <w:rFonts w:ascii="Times New Roman" w:hAnsi="Times New Roman" w:eastAsia="宋体" w:cs="Times New Roman"/>
          <w:position w:val="-30"/>
          <w:szCs w:val="28"/>
        </w:rPr>
        <w:object>
          <v:shape id="_x0000_i1025" o:spt="75" type="#_x0000_t75" style="height:35.4pt;width:45pt;" o:ole="t" filled="f" o:preferrelative="t" stroked="f" coordsize="21600,21600">
            <v:path/>
            <v:fill on="f" focussize="0,0"/>
            <v:stroke on="f"/>
            <v:imagedata r:id="rId52" o:title=""/>
            <o:lock v:ext="edit" aspectratio="t"/>
            <w10:wrap type="none"/>
            <w10:anchorlock/>
          </v:shape>
          <o:OLEObject Type="Embed" ProgID="Equation.3" ShapeID="_x0000_i1025" DrawAspect="Content" ObjectID="_1468075725" r:id="rId51">
            <o:LockedField>false</o:LockedField>
          </o:OLEObject>
        </w:object>
      </w:r>
      <w:r>
        <w:rPr>
          <w:rFonts w:ascii="Times New Roman" w:hAnsi="Times New Roman" w:eastAsia="宋体" w:cs="Times New Roman"/>
          <w:szCs w:val="28"/>
        </w:rPr>
        <w:t>……</w:t>
      </w:r>
      <w:r>
        <w:rPr>
          <w:rFonts w:hint="eastAsia" w:ascii="Times New Roman" w:hAnsi="Times New Roman" w:eastAsia="宋体" w:cs="Times New Roman"/>
          <w:szCs w:val="28"/>
        </w:rPr>
        <w:t>＋</w:t>
      </w:r>
      <w:r>
        <w:rPr>
          <w:rFonts w:ascii="Times New Roman" w:hAnsi="Times New Roman" w:eastAsia="宋体" w:cs="Times New Roman"/>
          <w:position w:val="-28"/>
          <w:szCs w:val="28"/>
        </w:rPr>
        <w:object>
          <v:shape id="_x0000_i1026" o:spt="75" type="#_x0000_t75" style="height:33.6pt;width:20.4pt;" o:ole="t" filled="f" o:preferrelative="t" stroked="f" coordsize="21600,21600">
            <v:path/>
            <v:fill on="f" focussize="0,0"/>
            <v:stroke on="f"/>
            <v:imagedata r:id="rId54" o:title=""/>
            <o:lock v:ext="edit" aspectratio="t"/>
            <w10:wrap type="none"/>
            <w10:anchorlock/>
          </v:shape>
          <o:OLEObject Type="Embed" ProgID="Equation.3" ShapeID="_x0000_i1026" DrawAspect="Content" ObjectID="_1468075726" r:id="rId53">
            <o:LockedField>false</o:LockedField>
          </o:OLEObject>
        </w:object>
      </w:r>
      <w:r>
        <w:rPr>
          <w:rFonts w:ascii="Times New Roman" w:hAnsi="Times New Roman" w:eastAsia="宋体" w:cs="Times New Roman"/>
          <w:szCs w:val="28"/>
        </w:rPr>
        <w:t>≥1</w:t>
      </w:r>
    </w:p>
    <w:p w14:paraId="484166ED">
      <w:pPr>
        <w:keepNext w:val="0"/>
        <w:keepLines w:val="0"/>
        <w:pageBreakBefore w:val="0"/>
        <w:widowControl w:val="0"/>
        <w:kinsoku/>
        <w:wordWrap/>
        <w:overflowPunct/>
        <w:topLinePunct/>
        <w:autoSpaceDE/>
        <w:autoSpaceDN/>
        <w:bidi w:val="0"/>
        <w:adjustRightInd/>
        <w:snapToGrid/>
        <w:spacing w:line="500" w:lineRule="exact"/>
        <w:ind w:firstLine="560" w:firstLineChars="200"/>
        <w:jc w:val="both"/>
        <w:textAlignment w:val="auto"/>
        <w:rPr>
          <w:rFonts w:ascii="Times New Roman" w:hAnsi="Times New Roman" w:eastAsia="宋体" w:cs="Times New Roman"/>
          <w:szCs w:val="28"/>
        </w:rPr>
      </w:pPr>
      <w:r>
        <w:rPr>
          <w:rFonts w:hint="eastAsia" w:ascii="Times New Roman" w:hAnsi="Times New Roman" w:eastAsia="宋体" w:cs="Times New Roman"/>
          <w:szCs w:val="28"/>
        </w:rPr>
        <w:t>式中：</w:t>
      </w:r>
      <w:r>
        <w:rPr>
          <w:rFonts w:ascii="Times New Roman" w:hAnsi="Times New Roman" w:eastAsia="宋体" w:cs="Times New Roman"/>
          <w:szCs w:val="28"/>
        </w:rPr>
        <w:t>S—</w:t>
      </w:r>
      <w:r>
        <w:rPr>
          <w:rFonts w:hint="eastAsia" w:ascii="Times New Roman" w:hAnsi="Times New Roman" w:eastAsia="宋体" w:cs="Times New Roman"/>
          <w:szCs w:val="28"/>
        </w:rPr>
        <w:t>辨识指标；</w:t>
      </w:r>
    </w:p>
    <w:p w14:paraId="287C93FF">
      <w:pPr>
        <w:keepNext w:val="0"/>
        <w:keepLines w:val="0"/>
        <w:pageBreakBefore w:val="0"/>
        <w:widowControl w:val="0"/>
        <w:kinsoku/>
        <w:wordWrap/>
        <w:overflowPunct/>
        <w:topLinePunct/>
        <w:autoSpaceDE/>
        <w:autoSpaceDN/>
        <w:bidi w:val="0"/>
        <w:adjustRightInd/>
        <w:snapToGrid/>
        <w:spacing w:line="500" w:lineRule="exact"/>
        <w:ind w:firstLine="560" w:firstLineChars="200"/>
        <w:jc w:val="both"/>
        <w:textAlignment w:val="auto"/>
        <w:rPr>
          <w:rFonts w:ascii="Times New Roman" w:hAnsi="Times New Roman" w:eastAsia="宋体" w:cs="Times New Roman"/>
          <w:szCs w:val="28"/>
        </w:rPr>
      </w:pPr>
      <w:r>
        <w:rPr>
          <w:rFonts w:ascii="Times New Roman" w:hAnsi="Times New Roman" w:eastAsia="宋体" w:cs="Times New Roman"/>
          <w:szCs w:val="28"/>
        </w:rPr>
        <w:t>q</w:t>
      </w:r>
      <w:r>
        <w:rPr>
          <w:rFonts w:ascii="Times New Roman" w:hAnsi="Times New Roman" w:eastAsia="宋体" w:cs="Times New Roman"/>
          <w:szCs w:val="28"/>
          <w:vertAlign w:val="subscript"/>
        </w:rPr>
        <w:t>1</w:t>
      </w:r>
      <w:r>
        <w:rPr>
          <w:rFonts w:hint="eastAsia" w:ascii="Times New Roman" w:hAnsi="Times New Roman" w:eastAsia="宋体" w:cs="Times New Roman"/>
          <w:szCs w:val="28"/>
        </w:rPr>
        <w:t>，</w:t>
      </w:r>
      <w:r>
        <w:rPr>
          <w:rFonts w:ascii="Times New Roman" w:hAnsi="Times New Roman" w:eastAsia="宋体" w:cs="Times New Roman"/>
          <w:szCs w:val="28"/>
        </w:rPr>
        <w:t>q</w:t>
      </w:r>
      <w:r>
        <w:rPr>
          <w:rFonts w:ascii="Times New Roman" w:hAnsi="Times New Roman" w:eastAsia="宋体" w:cs="Times New Roman"/>
          <w:szCs w:val="28"/>
          <w:vertAlign w:val="subscript"/>
        </w:rPr>
        <w:t>2</w:t>
      </w:r>
      <w:r>
        <w:rPr>
          <w:rFonts w:ascii="Times New Roman" w:hAnsi="Times New Roman" w:eastAsia="宋体" w:cs="Times New Roman"/>
          <w:szCs w:val="28"/>
        </w:rPr>
        <w:t>……q</w:t>
      </w:r>
      <w:r>
        <w:rPr>
          <w:rFonts w:ascii="Times New Roman" w:hAnsi="Times New Roman" w:eastAsia="宋体" w:cs="Times New Roman"/>
          <w:szCs w:val="28"/>
          <w:vertAlign w:val="subscript"/>
        </w:rPr>
        <w:t>n</w:t>
      </w:r>
      <w:r>
        <w:rPr>
          <w:rFonts w:ascii="Times New Roman" w:hAnsi="Times New Roman" w:eastAsia="宋体" w:cs="Times New Roman"/>
          <w:szCs w:val="28"/>
        </w:rPr>
        <w:t>—</w:t>
      </w:r>
      <w:r>
        <w:rPr>
          <w:rFonts w:hint="eastAsia" w:ascii="Times New Roman" w:hAnsi="Times New Roman" w:eastAsia="宋体" w:cs="Times New Roman"/>
          <w:szCs w:val="28"/>
        </w:rPr>
        <w:t>每种危险化学品实际存在量，</w:t>
      </w:r>
      <w:r>
        <w:rPr>
          <w:rFonts w:ascii="Times New Roman" w:hAnsi="Times New Roman" w:eastAsia="宋体" w:cs="Times New Roman"/>
          <w:szCs w:val="28"/>
        </w:rPr>
        <w:t>t</w:t>
      </w:r>
      <w:r>
        <w:rPr>
          <w:rFonts w:hint="eastAsia" w:ascii="Times New Roman" w:hAnsi="Times New Roman" w:eastAsia="宋体" w:cs="Times New Roman"/>
          <w:szCs w:val="28"/>
        </w:rPr>
        <w:t>。</w:t>
      </w:r>
    </w:p>
    <w:p w14:paraId="1E02BC95">
      <w:pPr>
        <w:keepNext w:val="0"/>
        <w:keepLines w:val="0"/>
        <w:pageBreakBefore w:val="0"/>
        <w:widowControl w:val="0"/>
        <w:kinsoku/>
        <w:wordWrap/>
        <w:overflowPunct/>
        <w:topLinePunct/>
        <w:autoSpaceDE/>
        <w:autoSpaceDN/>
        <w:bidi w:val="0"/>
        <w:adjustRightInd/>
        <w:snapToGrid/>
        <w:spacing w:line="500" w:lineRule="exact"/>
        <w:ind w:firstLine="560" w:firstLineChars="200"/>
        <w:jc w:val="both"/>
        <w:textAlignment w:val="auto"/>
        <w:rPr>
          <w:rFonts w:ascii="Times New Roman" w:hAnsi="Times New Roman" w:eastAsia="宋体" w:cs="Times New Roman"/>
          <w:szCs w:val="28"/>
        </w:rPr>
      </w:pPr>
      <w:r>
        <w:rPr>
          <w:rFonts w:ascii="Times New Roman" w:hAnsi="Times New Roman" w:eastAsia="宋体" w:cs="Times New Roman"/>
          <w:szCs w:val="28"/>
        </w:rPr>
        <w:t>Q</w:t>
      </w:r>
      <w:r>
        <w:rPr>
          <w:rFonts w:ascii="Times New Roman" w:hAnsi="Times New Roman" w:eastAsia="宋体" w:cs="Times New Roman"/>
          <w:szCs w:val="28"/>
          <w:vertAlign w:val="subscript"/>
        </w:rPr>
        <w:t>1</w:t>
      </w:r>
      <w:r>
        <w:rPr>
          <w:rFonts w:hint="eastAsia" w:ascii="Times New Roman" w:hAnsi="Times New Roman" w:eastAsia="宋体" w:cs="Times New Roman"/>
          <w:szCs w:val="28"/>
        </w:rPr>
        <w:t>，</w:t>
      </w:r>
      <w:r>
        <w:rPr>
          <w:rFonts w:ascii="Times New Roman" w:hAnsi="Times New Roman" w:eastAsia="宋体" w:cs="Times New Roman"/>
          <w:szCs w:val="28"/>
        </w:rPr>
        <w:t>Q</w:t>
      </w:r>
      <w:r>
        <w:rPr>
          <w:rFonts w:ascii="Times New Roman" w:hAnsi="Times New Roman" w:eastAsia="宋体" w:cs="Times New Roman"/>
          <w:szCs w:val="28"/>
          <w:vertAlign w:val="subscript"/>
        </w:rPr>
        <w:t>2</w:t>
      </w:r>
      <w:r>
        <w:rPr>
          <w:rFonts w:ascii="Times New Roman" w:hAnsi="Times New Roman" w:eastAsia="宋体" w:cs="Times New Roman"/>
          <w:szCs w:val="28"/>
        </w:rPr>
        <w:t>……Q</w:t>
      </w:r>
      <w:r>
        <w:rPr>
          <w:rFonts w:ascii="Times New Roman" w:hAnsi="Times New Roman" w:eastAsia="宋体" w:cs="Times New Roman"/>
          <w:szCs w:val="28"/>
          <w:vertAlign w:val="subscript"/>
        </w:rPr>
        <w:t>n</w:t>
      </w:r>
      <w:r>
        <w:rPr>
          <w:rFonts w:ascii="Times New Roman" w:hAnsi="Times New Roman" w:eastAsia="宋体" w:cs="Times New Roman"/>
          <w:szCs w:val="28"/>
        </w:rPr>
        <w:t>—</w:t>
      </w:r>
      <w:r>
        <w:rPr>
          <w:rFonts w:hint="eastAsia" w:ascii="Times New Roman" w:hAnsi="Times New Roman" w:eastAsia="宋体" w:cs="Times New Roman"/>
          <w:szCs w:val="28"/>
        </w:rPr>
        <w:t>与每种危险化学品相对应的临界量，</w:t>
      </w:r>
      <w:r>
        <w:rPr>
          <w:rFonts w:ascii="Times New Roman" w:hAnsi="Times New Roman" w:eastAsia="宋体" w:cs="Times New Roman"/>
          <w:szCs w:val="28"/>
        </w:rPr>
        <w:t>t</w:t>
      </w:r>
      <w:r>
        <w:rPr>
          <w:rFonts w:hint="eastAsia" w:ascii="Times New Roman" w:hAnsi="Times New Roman" w:eastAsia="宋体" w:cs="Times New Roman"/>
          <w:szCs w:val="28"/>
        </w:rPr>
        <w:t>。</w:t>
      </w:r>
    </w:p>
    <w:p w14:paraId="349D0B45">
      <w:pPr>
        <w:pStyle w:val="5"/>
        <w:bidi w:val="0"/>
        <w:rPr>
          <w:rFonts w:hint="eastAsia"/>
          <w:lang w:val="en-US" w:eastAsia="zh-CN"/>
        </w:rPr>
      </w:pPr>
      <w:bookmarkStart w:id="538" w:name="_Toc30053"/>
      <w:bookmarkStart w:id="539" w:name="_Toc55945283"/>
      <w:bookmarkStart w:id="540" w:name="_Toc4511369"/>
      <w:bookmarkStart w:id="541" w:name="_Toc480542252"/>
      <w:bookmarkStart w:id="542" w:name="_Toc17792050"/>
      <w:bookmarkStart w:id="543" w:name="_Toc55567438"/>
      <w:bookmarkStart w:id="544" w:name="_Toc60925392"/>
      <w:r>
        <w:rPr>
          <w:rFonts w:hint="eastAsia"/>
          <w:lang w:val="en-US" w:eastAsia="zh-CN"/>
        </w:rPr>
        <w:t>辨识过程</w:t>
      </w:r>
      <w:bookmarkEnd w:id="538"/>
      <w:bookmarkEnd w:id="539"/>
      <w:bookmarkEnd w:id="540"/>
      <w:bookmarkEnd w:id="541"/>
      <w:bookmarkEnd w:id="542"/>
      <w:bookmarkEnd w:id="543"/>
      <w:bookmarkEnd w:id="544"/>
    </w:p>
    <w:p w14:paraId="3915800C">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kern w:val="2"/>
          <w:sz w:val="28"/>
          <w:szCs w:val="20"/>
          <w:lang w:val="en-US" w:eastAsia="zh-CN" w:bidi="ar-SA"/>
        </w:rPr>
      </w:pPr>
      <w:r>
        <w:rPr>
          <w:rFonts w:hint="eastAsia" w:ascii="宋体" w:hAnsi="宋体" w:eastAsia="宋体" w:cs="宋体"/>
          <w:kern w:val="2"/>
          <w:sz w:val="28"/>
          <w:szCs w:val="20"/>
          <w:lang w:val="en-US" w:eastAsia="zh-CN" w:bidi="ar-SA"/>
        </w:rPr>
        <w:t>根据《危险化学品重大危险源辨识》（GB18218-2018）中规定：“单元”是指涉及危险化学品的生产、储存装置、设施或场所，分为生产单元和储存单元。</w:t>
      </w:r>
    </w:p>
    <w:p w14:paraId="5B606AE2">
      <w:pPr>
        <w:keepNext w:val="0"/>
        <w:keepLines w:val="0"/>
        <w:pageBreakBefore w:val="0"/>
        <w:widowControl w:val="0"/>
        <w:numPr>
          <w:ilvl w:val="0"/>
          <w:numId w:val="40"/>
        </w:numPr>
        <w:kinsoku/>
        <w:wordWrap/>
        <w:overflowPunct/>
        <w:topLinePunct w:val="0"/>
        <w:autoSpaceDE/>
        <w:autoSpaceDN/>
        <w:bidi w:val="0"/>
        <w:adjustRightInd/>
        <w:snapToGrid/>
        <w:ind w:left="0" w:leftChars="0" w:firstLine="560" w:firstLineChars="200"/>
        <w:jc w:val="both"/>
        <w:textAlignment w:val="auto"/>
        <w:rPr>
          <w:rFonts w:hint="eastAsia" w:ascii="宋体" w:hAnsi="宋体" w:eastAsia="宋体" w:cs="宋体"/>
          <w:lang w:val="en-US" w:eastAsia="zh-CN"/>
        </w:rPr>
      </w:pPr>
      <w:r>
        <w:rPr>
          <w:rFonts w:hint="eastAsia" w:ascii="宋体" w:hAnsi="宋体" w:eastAsia="宋体" w:cs="宋体"/>
          <w:lang w:val="en-US" w:eastAsia="zh-CN"/>
        </w:rPr>
        <w:t>本项目不生产危险化学品，无生产单元。</w:t>
      </w:r>
    </w:p>
    <w:p w14:paraId="330CC888">
      <w:pPr>
        <w:keepNext w:val="0"/>
        <w:keepLines w:val="0"/>
        <w:pageBreakBefore w:val="0"/>
        <w:widowControl w:val="0"/>
        <w:numPr>
          <w:ilvl w:val="0"/>
          <w:numId w:val="40"/>
        </w:numPr>
        <w:kinsoku/>
        <w:wordWrap/>
        <w:overflowPunct/>
        <w:topLinePunct w:val="0"/>
        <w:autoSpaceDE/>
        <w:autoSpaceDN/>
        <w:bidi w:val="0"/>
        <w:adjustRightInd/>
        <w:snapToGrid/>
        <w:ind w:left="0" w:leftChars="0" w:firstLine="560" w:firstLineChars="200"/>
        <w:jc w:val="both"/>
        <w:textAlignment w:val="auto"/>
        <w:rPr>
          <w:rFonts w:hint="eastAsia" w:ascii="宋体" w:hAnsi="宋体" w:eastAsia="宋体" w:cs="宋体"/>
          <w:lang w:val="en-US" w:eastAsia="zh-CN"/>
        </w:rPr>
      </w:pPr>
      <w:r>
        <w:rPr>
          <w:rFonts w:hint="eastAsia" w:ascii="宋体" w:hAnsi="宋体" w:eastAsia="宋体" w:cs="宋体"/>
          <w:lang w:val="en-US" w:eastAsia="zh-CN"/>
        </w:rPr>
        <w:t>储存单元：</w:t>
      </w:r>
    </w:p>
    <w:p w14:paraId="0C012E92">
      <w:pPr>
        <w:keepNext w:val="0"/>
        <w:keepLines w:val="0"/>
        <w:pageBreakBefore w:val="0"/>
        <w:widowControl w:val="0"/>
        <w:numPr>
          <w:ilvl w:val="0"/>
          <w:numId w:val="41"/>
        </w:numPr>
        <w:kinsoku/>
        <w:wordWrap/>
        <w:overflowPunct/>
        <w:topLinePunct w:val="0"/>
        <w:autoSpaceDE/>
        <w:autoSpaceDN/>
        <w:bidi w:val="0"/>
        <w:adjustRightInd/>
        <w:snapToGrid/>
        <w:spacing w:after="0" w:line="500" w:lineRule="exact"/>
        <w:ind w:left="0" w:leftChars="0" w:firstLine="560" w:firstLineChars="20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本项目叉车使用柴油，现买现用，最大使用量为168kg（200L）。</w:t>
      </w:r>
    </w:p>
    <w:p w14:paraId="650A6377">
      <w:pPr>
        <w:keepNext w:val="0"/>
        <w:keepLines w:val="0"/>
        <w:pageBreakBefore w:val="0"/>
        <w:widowControl w:val="0"/>
        <w:numPr>
          <w:ilvl w:val="0"/>
          <w:numId w:val="41"/>
        </w:numPr>
        <w:kinsoku/>
        <w:wordWrap/>
        <w:overflowPunct/>
        <w:topLinePunct w:val="0"/>
        <w:autoSpaceDE/>
        <w:autoSpaceDN/>
        <w:bidi w:val="0"/>
        <w:adjustRightInd/>
        <w:snapToGrid/>
        <w:spacing w:after="0" w:line="500" w:lineRule="exact"/>
        <w:ind w:left="0" w:leftChars="0" w:firstLine="560" w:firstLineChars="20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本项目检修维护使用氧气最大储存量10瓶，其最大存在量计算如下：</w:t>
      </w:r>
    </w:p>
    <w:p w14:paraId="1228456F">
      <w:pPr>
        <w:keepNext w:val="0"/>
        <w:keepLines w:val="0"/>
        <w:pageBreakBefore w:val="0"/>
        <w:widowControl w:val="0"/>
        <w:numPr>
          <w:ilvl w:val="0"/>
          <w:numId w:val="42"/>
        </w:numPr>
        <w:kinsoku/>
        <w:wordWrap/>
        <w:overflowPunct/>
        <w:topLinePunct w:val="0"/>
        <w:autoSpaceDE/>
        <w:autoSpaceDN/>
        <w:bidi w:val="0"/>
        <w:adjustRightInd/>
        <w:snapToGrid/>
        <w:spacing w:after="0" w:line="500" w:lineRule="exact"/>
        <w:ind w:left="0" w:leftChars="0" w:firstLine="528" w:firstLineChars="200"/>
        <w:jc w:val="left"/>
        <w:textAlignment w:val="auto"/>
        <w:rPr>
          <w:rFonts w:hint="eastAsia" w:ascii="宋体" w:hAnsi="宋体" w:eastAsia="宋体" w:cs="宋体"/>
          <w:spacing w:val="-8"/>
          <w:kern w:val="2"/>
          <w:sz w:val="28"/>
          <w:szCs w:val="28"/>
          <w:lang w:val="en-US" w:eastAsia="zh-CN" w:bidi="ar-SA"/>
        </w:rPr>
      </w:pPr>
      <w:r>
        <w:rPr>
          <w:rFonts w:hint="eastAsia" w:ascii="宋体" w:hAnsi="宋体" w:eastAsia="宋体" w:cs="宋体"/>
          <w:spacing w:val="-8"/>
          <w:kern w:val="2"/>
          <w:sz w:val="28"/>
          <w:szCs w:val="28"/>
          <w:lang w:val="en-US" w:eastAsia="zh-CN" w:bidi="ar-SA"/>
        </w:rPr>
        <w:t>氧气10×0.0086=0.086t</w:t>
      </w:r>
    </w:p>
    <w:p w14:paraId="58AEE84B">
      <w:pPr>
        <w:keepNext w:val="0"/>
        <w:keepLines w:val="0"/>
        <w:pageBreakBefore w:val="0"/>
        <w:widowControl w:val="0"/>
        <w:kinsoku/>
        <w:wordWrap/>
        <w:overflowPunct/>
        <w:topLinePunct w:val="0"/>
        <w:autoSpaceDE/>
        <w:autoSpaceDN/>
        <w:bidi w:val="0"/>
        <w:adjustRightInd/>
        <w:snapToGrid/>
        <w:spacing w:after="0" w:line="500" w:lineRule="exact"/>
        <w:ind w:firstLine="524" w:firstLineChars="20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spacing w:val="-9"/>
          <w:kern w:val="2"/>
          <w:sz w:val="28"/>
          <w:szCs w:val="28"/>
          <w:lang w:val="en-US" w:eastAsia="zh-CN" w:bidi="ar-SA"/>
        </w:rPr>
        <w:t>根据《危险化学品重大危险源辨识》</w:t>
      </w:r>
      <w:r>
        <w:rPr>
          <w:rFonts w:hint="eastAsia" w:ascii="宋体" w:hAnsi="宋体" w:eastAsia="宋体" w:cs="宋体"/>
          <w:spacing w:val="-5"/>
          <w:kern w:val="2"/>
          <w:sz w:val="28"/>
          <w:szCs w:val="28"/>
          <w:lang w:val="en-US" w:eastAsia="zh-CN" w:bidi="ar-SA"/>
        </w:rPr>
        <w:t>（GB18218-2018），储存单元危险化学品辨识如下表</w:t>
      </w:r>
      <w:r>
        <w:rPr>
          <w:rFonts w:hint="eastAsia" w:ascii="宋体" w:hAnsi="宋体" w:eastAsia="宋体" w:cs="宋体"/>
          <w:spacing w:val="-2"/>
          <w:kern w:val="2"/>
          <w:sz w:val="28"/>
          <w:szCs w:val="28"/>
          <w:lang w:val="en-US" w:eastAsia="zh-CN" w:bidi="ar-SA"/>
        </w:rPr>
        <w:t>：</w:t>
      </w:r>
    </w:p>
    <w:p w14:paraId="5E3E2DEF">
      <w:pPr>
        <w:keepNext w:val="0"/>
        <w:keepLines w:val="0"/>
        <w:pageBreakBefore w:val="0"/>
        <w:widowControl w:val="0"/>
        <w:numPr>
          <w:ilvl w:val="0"/>
          <w:numId w:val="0"/>
        </w:numPr>
        <w:kinsoku/>
        <w:wordWrap/>
        <w:bidi w:val="0"/>
        <w:spacing w:line="500" w:lineRule="exact"/>
        <w:ind w:leftChars="0" w:firstLine="400" w:firstLineChars="200"/>
        <w:jc w:val="center"/>
        <w:rPr>
          <w:rFonts w:ascii="Times New Roman" w:hAnsi="Times New Roman" w:eastAsia="宋体" w:cs="Times New Roman"/>
          <w:kern w:val="2"/>
          <w:sz w:val="24"/>
          <w:szCs w:val="24"/>
          <w:lang w:val="en-US" w:eastAsia="zh-CN" w:bidi="ar-SA"/>
        </w:rPr>
      </w:pPr>
      <w:r>
        <w:rPr>
          <w:rFonts w:ascii="Arial" w:hAnsi="Arial" w:eastAsia="黑体" w:cs="Times New Roman"/>
          <w:kern w:val="2"/>
          <w:sz w:val="20"/>
          <w:szCs w:val="24"/>
          <w:lang w:val="en-US" w:eastAsia="zh-CN" w:bidi="ar-SA"/>
        </w:rPr>
        <w:t xml:space="preserve">表 </w:t>
      </w:r>
      <w:r>
        <w:rPr>
          <w:rFonts w:ascii="Arial" w:hAnsi="Arial" w:eastAsia="黑体" w:cs="Times New Roman"/>
          <w:kern w:val="2"/>
          <w:sz w:val="20"/>
          <w:szCs w:val="24"/>
          <w:lang w:val="en-US" w:eastAsia="zh-CN" w:bidi="ar-SA"/>
        </w:rPr>
        <w:fldChar w:fldCharType="begin"/>
      </w:r>
      <w:r>
        <w:rPr>
          <w:rFonts w:ascii="Arial" w:hAnsi="Arial" w:eastAsia="黑体" w:cs="Times New Roman"/>
          <w:kern w:val="2"/>
          <w:sz w:val="20"/>
          <w:szCs w:val="24"/>
          <w:lang w:val="en-US" w:eastAsia="zh-CN" w:bidi="ar-SA"/>
        </w:rPr>
        <w:instrText xml:space="preserve"> STYLEREF 1 \s </w:instrText>
      </w:r>
      <w:r>
        <w:rPr>
          <w:rFonts w:ascii="Arial" w:hAnsi="Arial" w:eastAsia="黑体" w:cs="Times New Roman"/>
          <w:kern w:val="2"/>
          <w:sz w:val="20"/>
          <w:szCs w:val="24"/>
          <w:lang w:val="en-US" w:eastAsia="zh-CN" w:bidi="ar-SA"/>
        </w:rPr>
        <w:fldChar w:fldCharType="separate"/>
      </w:r>
      <w:r>
        <w:rPr>
          <w:rFonts w:ascii="Arial" w:hAnsi="Arial" w:eastAsia="黑体" w:cs="Times New Roman"/>
          <w:kern w:val="2"/>
          <w:sz w:val="20"/>
          <w:szCs w:val="24"/>
          <w:lang w:val="en-US" w:eastAsia="zh-CN" w:bidi="ar-SA"/>
        </w:rPr>
        <w:t>3</w:t>
      </w:r>
      <w:r>
        <w:rPr>
          <w:rFonts w:ascii="Arial" w:hAnsi="Arial" w:eastAsia="黑体" w:cs="Times New Roman"/>
          <w:kern w:val="2"/>
          <w:sz w:val="20"/>
          <w:szCs w:val="24"/>
          <w:lang w:val="en-US" w:eastAsia="zh-CN" w:bidi="ar-SA"/>
        </w:rPr>
        <w:fldChar w:fldCharType="end"/>
      </w:r>
      <w:r>
        <w:rPr>
          <w:rFonts w:hint="eastAsia" w:ascii="Arial" w:hAnsi="Arial" w:eastAsia="黑体" w:cs="Times New Roman"/>
          <w:kern w:val="2"/>
          <w:sz w:val="20"/>
          <w:szCs w:val="24"/>
          <w:lang w:val="en-US" w:eastAsia="zh-CN" w:bidi="ar-SA"/>
        </w:rPr>
        <w:t>-</w:t>
      </w:r>
      <w:r>
        <w:rPr>
          <w:rFonts w:ascii="Arial" w:hAnsi="Arial" w:eastAsia="黑体" w:cs="Times New Roman"/>
          <w:kern w:val="2"/>
          <w:sz w:val="20"/>
          <w:szCs w:val="24"/>
          <w:lang w:val="en-US" w:eastAsia="zh-CN" w:bidi="ar-SA"/>
        </w:rPr>
        <w:fldChar w:fldCharType="begin"/>
      </w:r>
      <w:r>
        <w:rPr>
          <w:rFonts w:ascii="Arial" w:hAnsi="Arial" w:eastAsia="黑体" w:cs="Times New Roman"/>
          <w:kern w:val="2"/>
          <w:sz w:val="20"/>
          <w:szCs w:val="24"/>
          <w:lang w:val="en-US" w:eastAsia="zh-CN" w:bidi="ar-SA"/>
        </w:rPr>
        <w:instrText xml:space="preserve"> SEQ 表 \* ARABIC \s 1 </w:instrText>
      </w:r>
      <w:r>
        <w:rPr>
          <w:rFonts w:ascii="Arial" w:hAnsi="Arial" w:eastAsia="黑体" w:cs="Times New Roman"/>
          <w:kern w:val="2"/>
          <w:sz w:val="20"/>
          <w:szCs w:val="24"/>
          <w:lang w:val="en-US" w:eastAsia="zh-CN" w:bidi="ar-SA"/>
        </w:rPr>
        <w:fldChar w:fldCharType="separate"/>
      </w:r>
      <w:r>
        <w:rPr>
          <w:rFonts w:ascii="Arial" w:hAnsi="Arial" w:eastAsia="黑体" w:cs="Times New Roman"/>
          <w:kern w:val="2"/>
          <w:sz w:val="20"/>
          <w:szCs w:val="24"/>
          <w:lang w:val="en-US" w:eastAsia="zh-CN" w:bidi="ar-SA"/>
        </w:rPr>
        <w:t>6</w:t>
      </w:r>
      <w:r>
        <w:rPr>
          <w:rFonts w:ascii="Arial" w:hAnsi="Arial" w:eastAsia="黑体" w:cs="Times New Roman"/>
          <w:kern w:val="2"/>
          <w:sz w:val="20"/>
          <w:szCs w:val="24"/>
          <w:lang w:val="en-US" w:eastAsia="zh-CN" w:bidi="ar-SA"/>
        </w:rPr>
        <w:fldChar w:fldCharType="end"/>
      </w:r>
      <w:r>
        <w:rPr>
          <w:rFonts w:hint="eastAsia" w:ascii="Times New Roman" w:hAnsi="Times New Roman" w:eastAsia="宋体" w:cs="Times New Roman"/>
          <w:kern w:val="2"/>
          <w:sz w:val="24"/>
          <w:szCs w:val="24"/>
          <w:lang w:val="en-US" w:eastAsia="zh-CN" w:bidi="ar-SA"/>
        </w:rPr>
        <w:t>危险化学品重大危险源辨识表</w:t>
      </w:r>
    </w:p>
    <w:tbl>
      <w:tblPr>
        <w:tblStyle w:val="32"/>
        <w:tblW w:w="502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845"/>
        <w:gridCol w:w="1841"/>
        <w:gridCol w:w="1381"/>
        <w:gridCol w:w="1623"/>
        <w:gridCol w:w="1039"/>
        <w:gridCol w:w="1635"/>
      </w:tblGrid>
      <w:tr w14:paraId="1A7803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5" w:type="pct"/>
            <w:tcBorders>
              <w:tl2br w:val="nil"/>
              <w:tr2bl w:val="nil"/>
            </w:tcBorders>
            <w:noWrap w:val="0"/>
            <w:vAlign w:val="center"/>
          </w:tcPr>
          <w:p w14:paraId="37BC1068">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序号</w:t>
            </w:r>
          </w:p>
        </w:tc>
        <w:tc>
          <w:tcPr>
            <w:tcW w:w="1100" w:type="pct"/>
            <w:tcBorders>
              <w:tl2br w:val="nil"/>
              <w:tr2bl w:val="nil"/>
            </w:tcBorders>
            <w:noWrap w:val="0"/>
            <w:vAlign w:val="center"/>
          </w:tcPr>
          <w:p w14:paraId="3E7F27B6">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物质名称</w:t>
            </w:r>
          </w:p>
        </w:tc>
        <w:tc>
          <w:tcPr>
            <w:tcW w:w="825" w:type="pct"/>
            <w:tcBorders>
              <w:tl2br w:val="nil"/>
              <w:tr2bl w:val="nil"/>
            </w:tcBorders>
            <w:noWrap w:val="0"/>
            <w:vAlign w:val="center"/>
          </w:tcPr>
          <w:p w14:paraId="49B63FDC">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临界量Q（t）</w:t>
            </w:r>
          </w:p>
        </w:tc>
        <w:tc>
          <w:tcPr>
            <w:tcW w:w="970" w:type="pct"/>
            <w:tcBorders>
              <w:tl2br w:val="nil"/>
              <w:tr2bl w:val="nil"/>
            </w:tcBorders>
            <w:noWrap w:val="0"/>
            <w:vAlign w:val="center"/>
          </w:tcPr>
          <w:p w14:paraId="7D28685A">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最大存储量q（t）</w:t>
            </w:r>
          </w:p>
        </w:tc>
        <w:tc>
          <w:tcPr>
            <w:tcW w:w="621" w:type="pct"/>
            <w:tcBorders>
              <w:tl2br w:val="nil"/>
              <w:tr2bl w:val="nil"/>
            </w:tcBorders>
            <w:noWrap w:val="0"/>
            <w:vAlign w:val="center"/>
          </w:tcPr>
          <w:p w14:paraId="277A396E">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q/Q</w:t>
            </w:r>
          </w:p>
        </w:tc>
        <w:tc>
          <w:tcPr>
            <w:tcW w:w="977" w:type="pct"/>
            <w:tcBorders>
              <w:tl2br w:val="nil"/>
              <w:tr2bl w:val="nil"/>
            </w:tcBorders>
            <w:noWrap w:val="0"/>
            <w:vAlign w:val="center"/>
          </w:tcPr>
          <w:p w14:paraId="6A338322">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备注</w:t>
            </w:r>
          </w:p>
        </w:tc>
      </w:tr>
      <w:tr w14:paraId="3A74CC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5" w:type="pct"/>
            <w:tcBorders>
              <w:tl2br w:val="nil"/>
              <w:tr2bl w:val="nil"/>
            </w:tcBorders>
            <w:noWrap w:val="0"/>
            <w:vAlign w:val="center"/>
          </w:tcPr>
          <w:p w14:paraId="37D13734">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w:t>
            </w:r>
          </w:p>
        </w:tc>
        <w:tc>
          <w:tcPr>
            <w:tcW w:w="1100" w:type="pct"/>
            <w:tcBorders>
              <w:tl2br w:val="nil"/>
              <w:tr2bl w:val="nil"/>
            </w:tcBorders>
            <w:noWrap w:val="0"/>
            <w:vAlign w:val="center"/>
          </w:tcPr>
          <w:p w14:paraId="0EB63B05">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柴油</w:t>
            </w:r>
          </w:p>
        </w:tc>
        <w:tc>
          <w:tcPr>
            <w:tcW w:w="825" w:type="pct"/>
            <w:tcBorders>
              <w:tl2br w:val="nil"/>
              <w:tr2bl w:val="nil"/>
            </w:tcBorders>
            <w:noWrap w:val="0"/>
            <w:vAlign w:val="center"/>
          </w:tcPr>
          <w:p w14:paraId="0D451870">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5000</w:t>
            </w:r>
          </w:p>
        </w:tc>
        <w:tc>
          <w:tcPr>
            <w:tcW w:w="970" w:type="pct"/>
            <w:tcBorders>
              <w:tl2br w:val="nil"/>
              <w:tr2bl w:val="nil"/>
            </w:tcBorders>
            <w:noWrap w:val="0"/>
            <w:vAlign w:val="center"/>
          </w:tcPr>
          <w:p w14:paraId="66C0BE58">
            <w:pPr>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0.168</w:t>
            </w:r>
          </w:p>
        </w:tc>
        <w:tc>
          <w:tcPr>
            <w:tcW w:w="621" w:type="pct"/>
            <w:tcBorders>
              <w:tl2br w:val="nil"/>
              <w:tr2bl w:val="nil"/>
            </w:tcBorders>
            <w:noWrap w:val="0"/>
            <w:vAlign w:val="center"/>
          </w:tcPr>
          <w:p w14:paraId="6D9C3B1B">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0.0000336</w:t>
            </w:r>
          </w:p>
        </w:tc>
        <w:tc>
          <w:tcPr>
            <w:tcW w:w="977" w:type="pct"/>
            <w:tcBorders>
              <w:tl2br w:val="nil"/>
              <w:tr2bl w:val="nil"/>
            </w:tcBorders>
            <w:noWrap w:val="0"/>
            <w:vAlign w:val="center"/>
          </w:tcPr>
          <w:p w14:paraId="6E113E5B">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w:t>
            </w:r>
          </w:p>
        </w:tc>
      </w:tr>
      <w:tr w14:paraId="268F6D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505" w:type="pct"/>
            <w:tcBorders>
              <w:tl2br w:val="nil"/>
              <w:tr2bl w:val="nil"/>
            </w:tcBorders>
            <w:noWrap w:val="0"/>
            <w:vAlign w:val="center"/>
          </w:tcPr>
          <w:p w14:paraId="703E1427">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w:t>
            </w:r>
          </w:p>
        </w:tc>
        <w:tc>
          <w:tcPr>
            <w:tcW w:w="1100" w:type="pct"/>
            <w:tcBorders>
              <w:tl2br w:val="nil"/>
              <w:tr2bl w:val="nil"/>
            </w:tcBorders>
            <w:noWrap w:val="0"/>
            <w:vAlign w:val="center"/>
          </w:tcPr>
          <w:p w14:paraId="555E1633">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氧气</w:t>
            </w:r>
          </w:p>
        </w:tc>
        <w:tc>
          <w:tcPr>
            <w:tcW w:w="825" w:type="pct"/>
            <w:tcBorders>
              <w:tl2br w:val="nil"/>
              <w:tr2bl w:val="nil"/>
            </w:tcBorders>
            <w:noWrap w:val="0"/>
            <w:vAlign w:val="center"/>
          </w:tcPr>
          <w:p w14:paraId="4709ABAC">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200</w:t>
            </w:r>
          </w:p>
        </w:tc>
        <w:tc>
          <w:tcPr>
            <w:tcW w:w="970" w:type="pct"/>
            <w:tcBorders>
              <w:tl2br w:val="nil"/>
              <w:tr2bl w:val="nil"/>
            </w:tcBorders>
            <w:noWrap w:val="0"/>
            <w:vAlign w:val="center"/>
          </w:tcPr>
          <w:p w14:paraId="3A152CE1">
            <w:pPr>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0.086</w:t>
            </w:r>
          </w:p>
        </w:tc>
        <w:tc>
          <w:tcPr>
            <w:tcW w:w="621" w:type="pct"/>
            <w:tcBorders>
              <w:tl2br w:val="nil"/>
              <w:tr2bl w:val="nil"/>
            </w:tcBorders>
            <w:noWrap w:val="0"/>
            <w:vAlign w:val="center"/>
          </w:tcPr>
          <w:p w14:paraId="616CA857">
            <w:pPr>
              <w:widowControl w:val="0"/>
              <w:suppressLineNumbers w:val="0"/>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0.00043</w:t>
            </w:r>
          </w:p>
        </w:tc>
        <w:tc>
          <w:tcPr>
            <w:tcW w:w="977" w:type="pct"/>
            <w:tcBorders>
              <w:tl2br w:val="nil"/>
              <w:tr2bl w:val="nil"/>
            </w:tcBorders>
            <w:noWrap w:val="0"/>
            <w:vAlign w:val="center"/>
          </w:tcPr>
          <w:p w14:paraId="4D1F1C89">
            <w:pPr>
              <w:widowControl w:val="0"/>
              <w:suppressLineNumbers w:val="0"/>
              <w:bidi w:val="0"/>
              <w:adjustRightInd w:val="0"/>
              <w:snapToGrid w:val="0"/>
              <w:spacing w:before="0" w:beforeAutospacing="0" w:after="0" w:afterAutospacing="0" w:line="240" w:lineRule="auto"/>
              <w:ind w:left="0" w:right="0" w:firstLine="0" w:firstLineChars="0"/>
              <w:jc w:val="center"/>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w:t>
            </w:r>
          </w:p>
        </w:tc>
      </w:tr>
    </w:tbl>
    <w:p w14:paraId="7755FA7F">
      <w:pPr>
        <w:keepNext w:val="0"/>
        <w:keepLines w:val="0"/>
        <w:pageBreakBefore w:val="0"/>
        <w:widowControl w:val="0"/>
        <w:kinsoku/>
        <w:wordWrap/>
        <w:topLinePunct w:val="0"/>
        <w:bidi w:val="0"/>
        <w:adjustRightInd/>
        <w:snapToGrid/>
        <w:ind w:firstLine="883"/>
        <w:jc w:val="both"/>
        <w:rPr>
          <w:rFonts w:hint="eastAsia" w:ascii="宋体" w:hAnsi="宋体" w:eastAsia="宋体" w:cs="宋体"/>
          <w:lang w:val="en-US" w:eastAsia="zh-CN"/>
        </w:rPr>
      </w:pPr>
      <w:r>
        <w:rPr>
          <w:rFonts w:hint="eastAsia" w:ascii="宋体" w:hAnsi="宋体" w:eastAsia="宋体" w:cs="宋体"/>
          <w:lang w:val="en-US" w:eastAsia="zh-CN"/>
        </w:rPr>
        <w:t>根据重大危险源计算公式可知：</w:t>
      </w:r>
    </w:p>
    <w:p w14:paraId="70C6E3B7">
      <w:pPr>
        <w:keepNext w:val="0"/>
        <w:keepLines w:val="0"/>
        <w:pageBreakBefore w:val="0"/>
        <w:widowControl w:val="0"/>
        <w:kinsoku/>
        <w:wordWrap/>
        <w:topLinePunct w:val="0"/>
        <w:bidi w:val="0"/>
        <w:adjustRightInd/>
        <w:snapToGrid/>
        <w:ind w:firstLine="883"/>
        <w:jc w:val="both"/>
        <w:rPr>
          <w:rFonts w:hint="eastAsia" w:ascii="宋体" w:hAnsi="宋体" w:eastAsia="宋体" w:cs="宋体"/>
          <w:lang w:val="en-US" w:eastAsia="zh-CN"/>
        </w:rPr>
      </w:pPr>
      <w:r>
        <w:rPr>
          <w:rFonts w:hint="eastAsia" w:ascii="宋体" w:hAnsi="宋体" w:eastAsia="宋体" w:cs="宋体"/>
          <w:lang w:val="en-US" w:eastAsia="zh-CN"/>
        </w:rPr>
        <w:t>0.168/5000+0.086/200=0.0004636&lt;1</w:t>
      </w:r>
    </w:p>
    <w:p w14:paraId="0CBC08D7">
      <w:pPr>
        <w:keepNext w:val="0"/>
        <w:keepLines w:val="0"/>
        <w:pageBreakBefore w:val="0"/>
        <w:widowControl w:val="0"/>
        <w:kinsoku/>
        <w:wordWrap/>
        <w:topLinePunct w:val="0"/>
        <w:bidi w:val="0"/>
        <w:adjustRightInd/>
        <w:snapToGrid/>
        <w:ind w:firstLine="883"/>
        <w:jc w:val="both"/>
        <w:rPr>
          <w:rFonts w:hint="eastAsia" w:ascii="宋体" w:hAnsi="宋体" w:eastAsia="宋体" w:cs="宋体"/>
        </w:rPr>
      </w:pPr>
      <w:r>
        <w:rPr>
          <w:rFonts w:hint="eastAsia" w:ascii="宋体" w:hAnsi="宋体" w:eastAsia="宋体" w:cs="宋体"/>
          <w:lang w:val="en-US" w:eastAsia="zh-CN"/>
        </w:rPr>
        <w:t>公司储存单元不构成危险化学品重大危险源</w:t>
      </w:r>
      <w:r>
        <w:rPr>
          <w:rFonts w:hint="eastAsia" w:ascii="宋体" w:hAnsi="宋体" w:eastAsia="宋体" w:cs="宋体"/>
        </w:rPr>
        <w:t>。</w:t>
      </w:r>
    </w:p>
    <w:p w14:paraId="56151E7C">
      <w:pPr>
        <w:pStyle w:val="5"/>
        <w:bidi w:val="0"/>
        <w:rPr>
          <w:lang w:val="en-US" w:eastAsia="zh-CN"/>
        </w:rPr>
      </w:pPr>
      <w:bookmarkStart w:id="545" w:name="5.3_辨识结果"/>
      <w:bookmarkEnd w:id="545"/>
      <w:bookmarkStart w:id="546" w:name="_bookmark87"/>
      <w:bookmarkEnd w:id="546"/>
      <w:bookmarkStart w:id="547" w:name="_Toc17792051"/>
      <w:bookmarkStart w:id="548" w:name="_Toc480542253"/>
      <w:bookmarkStart w:id="549" w:name="_Toc55945284"/>
      <w:bookmarkStart w:id="550" w:name="_Toc4511370"/>
      <w:bookmarkStart w:id="551" w:name="_Toc60925393"/>
      <w:bookmarkStart w:id="552" w:name="_Toc55567439"/>
      <w:bookmarkStart w:id="553" w:name="_Toc11223"/>
      <w:r>
        <w:rPr>
          <w:rFonts w:hint="eastAsia"/>
          <w:lang w:val="en-US" w:eastAsia="zh-CN"/>
        </w:rPr>
        <w:t>辨识结</w:t>
      </w:r>
      <w:bookmarkEnd w:id="547"/>
      <w:bookmarkEnd w:id="548"/>
      <w:bookmarkEnd w:id="549"/>
      <w:bookmarkEnd w:id="550"/>
      <w:bookmarkEnd w:id="551"/>
      <w:bookmarkEnd w:id="552"/>
      <w:r>
        <w:rPr>
          <w:rFonts w:hint="eastAsia"/>
          <w:lang w:val="en-US" w:eastAsia="zh-CN"/>
        </w:rPr>
        <w:t>果</w:t>
      </w:r>
      <w:bookmarkEnd w:id="553"/>
    </w:p>
    <w:p w14:paraId="4972FDB4">
      <w:pPr>
        <w:keepNext w:val="0"/>
        <w:keepLines w:val="0"/>
        <w:pageBreakBefore w:val="0"/>
        <w:widowControl w:val="0"/>
        <w:kinsoku/>
        <w:wordWrap/>
        <w:topLinePunct/>
        <w:bidi w:val="0"/>
        <w:adjustRightInd/>
        <w:snapToGrid/>
        <w:ind w:firstLine="481" w:firstLineChars="172"/>
        <w:jc w:val="both"/>
        <w:rPr>
          <w:rFonts w:hint="eastAsia" w:ascii="Times New Roman" w:hAnsi="Times New Roman" w:eastAsia="宋体" w:cs="Times New Roman"/>
        </w:rPr>
      </w:pPr>
      <w:bookmarkStart w:id="554" w:name="_Toc121910246"/>
      <w:bookmarkEnd w:id="554"/>
      <w:r>
        <w:rPr>
          <w:rFonts w:hint="eastAsia" w:ascii="Times New Roman" w:hAnsi="Times New Roman" w:eastAsia="宋体" w:cs="Times New Roman"/>
        </w:rPr>
        <w:t>综上所述，</w:t>
      </w:r>
      <w:r>
        <w:rPr>
          <w:rFonts w:hint="eastAsia" w:ascii="宋体" w:hAnsi="Times New Roman" w:eastAsia="宋体" w:cs="宋体"/>
          <w:kern w:val="0"/>
          <w:sz w:val="28"/>
          <w:szCs w:val="28"/>
          <w:lang w:val="zh-CN"/>
        </w:rPr>
        <w:t>本项目涉及的危险化学品不构成危险化学品重大危险源。</w:t>
      </w:r>
    </w:p>
    <w:bookmarkEnd w:id="502"/>
    <w:p w14:paraId="54F393EE">
      <w:pPr>
        <w:pStyle w:val="3"/>
        <w:keepNext w:val="0"/>
        <w:keepLines w:val="0"/>
        <w:pageBreakBefore w:val="0"/>
        <w:widowControl w:val="0"/>
        <w:kinsoku/>
        <w:bidi w:val="0"/>
        <w:rPr>
          <w:rFonts w:hint="eastAsia"/>
        </w:rPr>
      </w:pPr>
      <w:bookmarkStart w:id="555" w:name="_Toc7858"/>
      <w:r>
        <w:rPr>
          <w:rFonts w:hint="eastAsia"/>
          <w:lang w:val="en-US" w:eastAsia="zh-CN"/>
        </w:rPr>
        <w:t>项目固有</w:t>
      </w:r>
      <w:r>
        <w:rPr>
          <w:rFonts w:hint="eastAsia"/>
        </w:rPr>
        <w:t>危险有害因素辨识与分析</w:t>
      </w:r>
      <w:bookmarkEnd w:id="555"/>
    </w:p>
    <w:p w14:paraId="0F71A58E">
      <w:pPr>
        <w:bidi w:val="0"/>
        <w:jc w:val="both"/>
        <w:rPr>
          <w:rFonts w:hint="eastAsia"/>
          <w:lang w:val="en-US" w:eastAsia="zh-CN"/>
        </w:rPr>
      </w:pPr>
      <w:bookmarkStart w:id="556" w:name="_Toc29141"/>
      <w:bookmarkEnd w:id="556"/>
      <w:bookmarkStart w:id="557" w:name="_Toc6455"/>
      <w:bookmarkEnd w:id="557"/>
      <w:bookmarkStart w:id="558" w:name="_Toc19677"/>
      <w:bookmarkEnd w:id="558"/>
      <w:bookmarkStart w:id="559" w:name="_Toc15188"/>
      <w:bookmarkEnd w:id="559"/>
      <w:bookmarkStart w:id="560" w:name="_Toc61013553"/>
      <w:bookmarkEnd w:id="560"/>
      <w:bookmarkStart w:id="561" w:name="_Toc61013559"/>
      <w:bookmarkEnd w:id="561"/>
      <w:bookmarkStart w:id="562" w:name="_Toc790"/>
      <w:bookmarkEnd w:id="562"/>
      <w:bookmarkStart w:id="563" w:name="_Toc12421"/>
      <w:r>
        <w:rPr>
          <w:rFonts w:hint="eastAsia"/>
          <w:lang w:val="zh-CN"/>
        </w:rPr>
        <w:t>本公司主要从事</w:t>
      </w:r>
      <w:r>
        <w:rPr>
          <w:rFonts w:hint="eastAsia"/>
          <w:lang w:val="en-US" w:eastAsia="zh-CN"/>
        </w:rPr>
        <w:t>氧化锆</w:t>
      </w:r>
      <w:r>
        <w:rPr>
          <w:rFonts w:hint="eastAsia"/>
          <w:lang w:val="zh-CN"/>
        </w:rPr>
        <w:t>的生产及销售，经过对</w:t>
      </w:r>
      <w:r>
        <w:rPr>
          <w:rFonts w:hint="eastAsia"/>
          <w:lang w:val="en-US" w:eastAsia="zh-CN"/>
        </w:rPr>
        <w:t>公司单斜电熔氧化锆</w:t>
      </w:r>
      <w:r>
        <w:rPr>
          <w:rFonts w:hint="eastAsia"/>
          <w:lang w:val="zh-CN"/>
        </w:rPr>
        <w:t>生产工艺、生产装置及使用的原料、辅助材料、产品、生产过程中产生的废弃物的调查分析，依据《企业职工伤亡事故分类标准》（GB</w:t>
      </w:r>
      <w:r>
        <w:rPr>
          <w:rFonts w:hint="eastAsia"/>
          <w:lang w:val="en-US" w:eastAsia="zh-CN"/>
        </w:rPr>
        <w:t xml:space="preserve"> </w:t>
      </w:r>
      <w:r>
        <w:rPr>
          <w:rFonts w:hint="eastAsia"/>
          <w:lang w:val="zh-CN"/>
        </w:rPr>
        <w:t>6441-</w:t>
      </w:r>
      <w:r>
        <w:rPr>
          <w:rFonts w:hint="eastAsia"/>
          <w:lang w:val="en-US" w:eastAsia="zh-CN"/>
        </w:rPr>
        <w:t>19</w:t>
      </w:r>
      <w:r>
        <w:rPr>
          <w:rFonts w:hint="eastAsia"/>
          <w:lang w:val="zh-CN"/>
        </w:rPr>
        <w:t>86）、《</w:t>
      </w:r>
      <w:r>
        <w:rPr>
          <w:rFonts w:hint="eastAsia"/>
          <w:lang w:val="en-US" w:eastAsia="zh-CN"/>
        </w:rPr>
        <w:t>生产过程危险和有害因素分类与代码》（GB/T 13861-2022）分析，公司</w:t>
      </w:r>
      <w:r>
        <w:rPr>
          <w:rFonts w:hint="eastAsia"/>
          <w:lang w:val="zh-CN"/>
        </w:rPr>
        <w:t>在生产过程中可能存在的主要危险、有害因素类型有：物体打击、车辆伤害、机械伤害、</w:t>
      </w:r>
      <w:r>
        <w:rPr>
          <w:rFonts w:hint="eastAsia"/>
          <w:lang w:val="en-US" w:eastAsia="zh-CN"/>
        </w:rPr>
        <w:t>起重伤害、</w:t>
      </w:r>
      <w:r>
        <w:rPr>
          <w:rFonts w:hint="eastAsia"/>
          <w:lang w:val="zh-CN"/>
        </w:rPr>
        <w:t>触电、</w:t>
      </w:r>
      <w:r>
        <w:rPr>
          <w:rFonts w:hint="eastAsia"/>
          <w:lang w:val="en-US" w:eastAsia="zh-CN"/>
        </w:rPr>
        <w:t>淹溺、灼烫、</w:t>
      </w:r>
      <w:r>
        <w:rPr>
          <w:rFonts w:hint="eastAsia"/>
          <w:lang w:val="zh-CN"/>
        </w:rPr>
        <w:t>火灾、</w:t>
      </w:r>
      <w:r>
        <w:rPr>
          <w:rFonts w:hint="eastAsia"/>
          <w:lang w:val="en-US" w:eastAsia="zh-CN"/>
        </w:rPr>
        <w:t>高处坠落、坍塌、容器爆炸、其他爆炸、中毒和窒息，以及噪声、</w:t>
      </w:r>
      <w:r>
        <w:t>振动</w:t>
      </w:r>
      <w:r>
        <w:rPr>
          <w:rFonts w:hint="eastAsia"/>
          <w:lang w:eastAsia="zh-CN"/>
        </w:rPr>
        <w:t>、</w:t>
      </w:r>
      <w:r>
        <w:rPr>
          <w:rFonts w:hint="eastAsia"/>
          <w:lang w:val="en-US" w:eastAsia="zh-CN"/>
        </w:rPr>
        <w:t>粉尘、电磁辐射等其他危害。</w:t>
      </w:r>
    </w:p>
    <w:p w14:paraId="47A9A7CD">
      <w:pPr>
        <w:pStyle w:val="4"/>
        <w:keepNext w:val="0"/>
        <w:keepLines w:val="0"/>
        <w:pageBreakBefore w:val="0"/>
        <w:widowControl w:val="0"/>
        <w:kinsoku/>
        <w:bidi w:val="0"/>
        <w:rPr>
          <w:rFonts w:hint="eastAsia"/>
        </w:rPr>
      </w:pPr>
      <w:bookmarkStart w:id="564" w:name="_Toc28298"/>
      <w:bookmarkStart w:id="565" w:name="_Toc10352"/>
      <w:bookmarkStart w:id="566" w:name="_Toc21506"/>
      <w:bookmarkStart w:id="567" w:name="_Toc26053"/>
      <w:bookmarkStart w:id="568" w:name="_Toc22188"/>
      <w:bookmarkStart w:id="569" w:name="_Toc45511299"/>
      <w:bookmarkStart w:id="570" w:name="_Toc8177"/>
      <w:bookmarkStart w:id="571" w:name="_Toc45700535"/>
      <w:bookmarkStart w:id="572" w:name="_Toc45510933"/>
      <w:bookmarkStart w:id="573" w:name="_Toc304199093"/>
      <w:bookmarkStart w:id="574" w:name="_Toc9825"/>
      <w:bookmarkStart w:id="575" w:name="_Toc268336692"/>
      <w:bookmarkStart w:id="576" w:name="_Toc306872678"/>
      <w:bookmarkStart w:id="577" w:name="_Toc306879782"/>
      <w:bookmarkStart w:id="578" w:name="_Toc60128289"/>
      <w:bookmarkStart w:id="579" w:name="_Toc45703695"/>
      <w:bookmarkStart w:id="580" w:name="_Toc277948251"/>
      <w:bookmarkStart w:id="581" w:name="_Toc120607107"/>
      <w:bookmarkStart w:id="582" w:name="_Toc45677438"/>
      <w:bookmarkStart w:id="583" w:name="_Toc267577928"/>
      <w:bookmarkStart w:id="584" w:name="_Toc310500596"/>
      <w:r>
        <w:rPr>
          <w:rFonts w:hint="eastAsia"/>
        </w:rPr>
        <w:t>物体打击</w:t>
      </w:r>
      <w:bookmarkEnd w:id="564"/>
      <w:bookmarkEnd w:id="565"/>
      <w:bookmarkEnd w:id="566"/>
      <w:bookmarkEnd w:id="567"/>
      <w:bookmarkEnd w:id="568"/>
    </w:p>
    <w:p w14:paraId="09635749">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rPr>
      </w:pPr>
      <w:r>
        <w:rPr>
          <w:rFonts w:hint="eastAsia" w:ascii="宋体" w:hAnsi="宋体" w:eastAsia="宋体" w:cs="宋体"/>
        </w:rPr>
        <w:t>物体打击，是指物体在重力或其他外力的作用下产生运动，打击人体造成人身伤亡事故。本公司导致物体打击的原因主要有：</w:t>
      </w:r>
    </w:p>
    <w:p w14:paraId="32937F03">
      <w:pPr>
        <w:keepNext w:val="0"/>
        <w:keepLines w:val="0"/>
        <w:pageBreakBefore w:val="0"/>
        <w:widowControl w:val="0"/>
        <w:numPr>
          <w:ilvl w:val="0"/>
          <w:numId w:val="4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在生产车间内的各平台及其他高空平台、通道上堆物或者高空装置零件破损，可能会造成物料或装置部件坠落，对下层作业人员造成物体打击；</w:t>
      </w:r>
    </w:p>
    <w:p w14:paraId="7F89141F">
      <w:pPr>
        <w:keepNext w:val="0"/>
        <w:keepLines w:val="0"/>
        <w:pageBreakBefore w:val="0"/>
        <w:widowControl w:val="0"/>
        <w:numPr>
          <w:ilvl w:val="0"/>
          <w:numId w:val="4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高处临边未设置踢脚线；</w:t>
      </w:r>
    </w:p>
    <w:p w14:paraId="19CDB359">
      <w:pPr>
        <w:keepNext w:val="0"/>
        <w:keepLines w:val="0"/>
        <w:pageBreakBefore w:val="0"/>
        <w:widowControl w:val="0"/>
        <w:numPr>
          <w:ilvl w:val="0"/>
          <w:numId w:val="4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高空抛物，未划定警戒线，无人监护；</w:t>
      </w:r>
    </w:p>
    <w:p w14:paraId="13B4E9C0">
      <w:pPr>
        <w:keepNext w:val="0"/>
        <w:keepLines w:val="0"/>
        <w:pageBreakBefore w:val="0"/>
        <w:widowControl w:val="0"/>
        <w:numPr>
          <w:ilvl w:val="0"/>
          <w:numId w:val="4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建（构）筑物倒塌和拆除时违章作业；</w:t>
      </w:r>
    </w:p>
    <w:p w14:paraId="6CAB7B35">
      <w:pPr>
        <w:keepNext w:val="0"/>
        <w:keepLines w:val="0"/>
        <w:pageBreakBefore w:val="0"/>
        <w:widowControl w:val="0"/>
        <w:numPr>
          <w:ilvl w:val="0"/>
          <w:numId w:val="4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物件设备摆放不稳，倾覆；易滚动物件堆放无防滚动措施；</w:t>
      </w:r>
    </w:p>
    <w:p w14:paraId="05705EF6">
      <w:pPr>
        <w:keepNext w:val="0"/>
        <w:keepLines w:val="0"/>
        <w:pageBreakBefore w:val="0"/>
        <w:widowControl w:val="0"/>
        <w:numPr>
          <w:ilvl w:val="0"/>
          <w:numId w:val="4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物料堆码过高，堆码不规范等，物料坍塌造成物体打击伤害。</w:t>
      </w:r>
    </w:p>
    <w:p w14:paraId="2293F871">
      <w:pPr>
        <w:keepNext w:val="0"/>
        <w:keepLines w:val="0"/>
        <w:pageBreakBefore w:val="0"/>
        <w:widowControl w:val="0"/>
        <w:numPr>
          <w:ilvl w:val="0"/>
          <w:numId w:val="43"/>
        </w:numPr>
        <w:kinsoku/>
        <w:wordWrap/>
        <w:overflowPunct/>
        <w:topLinePunct w:val="0"/>
        <w:autoSpaceDE/>
        <w:autoSpaceDN/>
        <w:bidi w:val="0"/>
        <w:adjustRightInd/>
        <w:snapToGrid/>
        <w:ind w:left="0" w:leftChars="0" w:firstLine="560" w:firstLineChars="200"/>
        <w:textAlignment w:val="auto"/>
        <w:rPr>
          <w:rFonts w:hint="eastAsia" w:asciiTheme="minorEastAsia" w:hAnsiTheme="minorEastAsia" w:eastAsiaTheme="minorEastAsia" w:cstheme="minorEastAsia"/>
          <w:sz w:val="28"/>
          <w:szCs w:val="28"/>
        </w:rPr>
      </w:pPr>
      <w:r>
        <w:rPr>
          <w:rFonts w:hint="eastAsia" w:ascii="宋体" w:hAnsi="宋体" w:eastAsia="宋体" w:cs="宋体"/>
          <w:lang w:val="en-US" w:eastAsia="zh-CN"/>
        </w:rPr>
        <w:t>未</w:t>
      </w:r>
      <w:r>
        <w:rPr>
          <w:rFonts w:hint="eastAsia" w:ascii="宋体" w:hAnsi="宋体" w:eastAsia="宋体" w:cs="宋体"/>
        </w:rPr>
        <w:t>按要求穿戴劳动防护用品。</w:t>
      </w:r>
    </w:p>
    <w:p w14:paraId="3B15A7D2">
      <w:pPr>
        <w:pStyle w:val="4"/>
        <w:keepNext w:val="0"/>
        <w:keepLines w:val="0"/>
        <w:pageBreakBefore w:val="0"/>
        <w:widowControl w:val="0"/>
        <w:kinsoku/>
        <w:bidi w:val="0"/>
        <w:rPr>
          <w:rFonts w:hint="eastAsia"/>
        </w:rPr>
      </w:pPr>
      <w:bookmarkStart w:id="585" w:name="_Toc23494"/>
      <w:bookmarkStart w:id="586" w:name="_Toc4009"/>
      <w:bookmarkStart w:id="587" w:name="_Toc19032"/>
      <w:bookmarkStart w:id="588" w:name="_Toc3774"/>
      <w:bookmarkStart w:id="589" w:name="_Toc1289"/>
      <w:r>
        <w:rPr>
          <w:rFonts w:hint="eastAsia"/>
        </w:rPr>
        <w:t>车辆伤害</w:t>
      </w:r>
      <w:bookmarkEnd w:id="585"/>
      <w:bookmarkEnd w:id="586"/>
    </w:p>
    <w:p w14:paraId="3D206AEE">
      <w:pPr>
        <w:keepNext w:val="0"/>
        <w:keepLines w:val="0"/>
        <w:pageBreakBefore w:val="0"/>
        <w:widowControl w:val="0"/>
        <w:kinsoku/>
        <w:bidi w:val="0"/>
        <w:rPr>
          <w:rFonts w:hint="eastAsia" w:ascii="宋体" w:hAnsi="宋体" w:eastAsia="宋体" w:cs="宋体"/>
        </w:rPr>
      </w:pPr>
      <w:r>
        <w:rPr>
          <w:rFonts w:hint="eastAsia" w:ascii="宋体" w:hAnsi="宋体" w:eastAsia="宋体" w:cs="宋体"/>
        </w:rPr>
        <w:t>本公司</w:t>
      </w:r>
      <w:r>
        <w:rPr>
          <w:rFonts w:hint="eastAsia" w:ascii="宋体" w:hAnsi="宋体" w:eastAsia="宋体" w:cs="宋体"/>
          <w:lang w:val="en-US" w:eastAsia="zh-CN"/>
        </w:rPr>
        <w:t>原</w:t>
      </w:r>
      <w:r>
        <w:rPr>
          <w:rFonts w:hint="eastAsia" w:ascii="宋体" w:hAnsi="宋体" w:eastAsia="宋体" w:cs="宋体"/>
        </w:rPr>
        <w:t>材料进入、产品销售出厂需要使用</w:t>
      </w:r>
      <w:r>
        <w:rPr>
          <w:rFonts w:hint="eastAsia" w:ascii="宋体" w:hAnsi="宋体" w:eastAsia="宋体" w:cs="宋体"/>
          <w:lang w:val="en-US" w:eastAsia="zh-CN"/>
        </w:rPr>
        <w:t>运输</w:t>
      </w:r>
      <w:r>
        <w:rPr>
          <w:rFonts w:hint="eastAsia" w:ascii="宋体" w:hAnsi="宋体" w:eastAsia="宋体" w:cs="宋体"/>
        </w:rPr>
        <w:t>车辆</w:t>
      </w:r>
      <w:r>
        <w:rPr>
          <w:rFonts w:hint="eastAsia" w:ascii="宋体" w:hAnsi="宋体" w:eastAsia="宋体" w:cs="宋体"/>
          <w:lang w:eastAsia="zh-CN"/>
        </w:rPr>
        <w:t>，</w:t>
      </w:r>
      <w:r>
        <w:rPr>
          <w:rFonts w:hint="eastAsia" w:ascii="宋体" w:hAnsi="宋体" w:eastAsia="宋体" w:cs="宋体"/>
          <w:lang w:val="en-US" w:eastAsia="zh-CN"/>
        </w:rPr>
        <w:t>装卸、搬运、堆码等作业需要使用叉车。</w:t>
      </w:r>
      <w:r>
        <w:rPr>
          <w:rFonts w:hint="eastAsia" w:ascii="宋体" w:hAnsi="宋体" w:eastAsia="宋体" w:cs="宋体"/>
        </w:rPr>
        <w:t>在</w:t>
      </w:r>
      <w:r>
        <w:rPr>
          <w:rFonts w:hint="eastAsia" w:ascii="宋体" w:hAnsi="宋体" w:eastAsia="宋体" w:cs="宋体"/>
          <w:lang w:val="en-US" w:eastAsia="zh-CN"/>
        </w:rPr>
        <w:t>这些</w:t>
      </w:r>
      <w:r>
        <w:rPr>
          <w:rFonts w:hint="eastAsia" w:ascii="宋体" w:hAnsi="宋体" w:eastAsia="宋体" w:cs="宋体"/>
        </w:rPr>
        <w:t>过程中，由于公司内部道路原因、现场指挥不当、装卸操作失误、车辆故障、驾驶员违法驾驶、作业人员</w:t>
      </w:r>
      <w:r>
        <w:rPr>
          <w:rFonts w:hint="eastAsia" w:ascii="宋体" w:hAnsi="宋体" w:eastAsia="宋体" w:cs="宋体"/>
          <w:lang w:eastAsia="zh-CN"/>
        </w:rPr>
        <w:t>乱窜</w:t>
      </w:r>
      <w:r>
        <w:rPr>
          <w:rFonts w:hint="eastAsia" w:ascii="宋体" w:hAnsi="宋体" w:eastAsia="宋体" w:cs="宋体"/>
        </w:rPr>
        <w:t>等原因，可能发生车辆伤害事故。主要表现在以下方面：</w:t>
      </w:r>
    </w:p>
    <w:p w14:paraId="6FF94FD9">
      <w:pPr>
        <w:keepNext w:val="0"/>
        <w:keepLines w:val="0"/>
        <w:pageBreakBefore w:val="0"/>
        <w:widowControl w:val="0"/>
        <w:numPr>
          <w:ilvl w:val="0"/>
          <w:numId w:val="4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碰撞和碾轧的危险：车辆造成碾轧、撞伤事故，倒车时或大型设备存在视野死角特别容易发生此类事故，包括对作业人员、过路行人或作业场地</w:t>
      </w:r>
      <w:r>
        <w:rPr>
          <w:rFonts w:hint="eastAsia" w:ascii="宋体" w:hAnsi="宋体" w:eastAsia="宋体" w:cs="宋体"/>
          <w:lang w:eastAsia="zh-CN"/>
        </w:rPr>
        <w:t>其他人员</w:t>
      </w:r>
      <w:r>
        <w:rPr>
          <w:rFonts w:hint="eastAsia" w:ascii="宋体" w:hAnsi="宋体" w:eastAsia="宋体" w:cs="宋体"/>
        </w:rPr>
        <w:t>的撞轧</w:t>
      </w:r>
      <w:r>
        <w:rPr>
          <w:rFonts w:hint="eastAsia" w:ascii="宋体" w:hAnsi="宋体" w:eastAsia="宋体" w:cs="宋体"/>
          <w:lang w:eastAsia="zh-CN"/>
        </w:rPr>
        <w:t>。</w:t>
      </w:r>
      <w:r>
        <w:rPr>
          <w:rFonts w:hint="eastAsia" w:ascii="宋体" w:hAnsi="宋体" w:eastAsia="宋体" w:cs="宋体"/>
        </w:rPr>
        <w:t>由于人员与作业的机械设备距离过近，不管是运动的或静止的都可能造成刮碰或撞击；两车辆之间在厂内错车或</w:t>
      </w:r>
      <w:r>
        <w:rPr>
          <w:rFonts w:hint="eastAsia" w:ascii="宋体" w:hAnsi="宋体" w:eastAsia="宋体" w:cs="宋体"/>
          <w:lang w:eastAsia="zh-CN"/>
        </w:rPr>
        <w:t>通过</w:t>
      </w:r>
      <w:r>
        <w:rPr>
          <w:rFonts w:hint="eastAsia" w:ascii="宋体" w:hAnsi="宋体" w:eastAsia="宋体" w:cs="宋体"/>
        </w:rPr>
        <w:t>交叉路口时的撞车或刮碰</w:t>
      </w:r>
      <w:r>
        <w:rPr>
          <w:rFonts w:hint="eastAsia" w:ascii="宋体" w:hAnsi="宋体" w:eastAsia="宋体" w:cs="宋体"/>
          <w:lang w:eastAsia="zh-CN"/>
        </w:rPr>
        <w:t>。</w:t>
      </w:r>
    </w:p>
    <w:p w14:paraId="11B52E69">
      <w:pPr>
        <w:keepNext w:val="0"/>
        <w:keepLines w:val="0"/>
        <w:pageBreakBefore w:val="0"/>
        <w:widowControl w:val="0"/>
        <w:numPr>
          <w:ilvl w:val="0"/>
          <w:numId w:val="4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失稳倾翻的危险：行驶中的车辆由于转弯过急、速度过快导致侧翻</w:t>
      </w:r>
      <w:r>
        <w:rPr>
          <w:rFonts w:hint="eastAsia" w:ascii="宋体" w:hAnsi="宋体" w:eastAsia="宋体" w:cs="宋体"/>
          <w:lang w:eastAsia="zh-CN"/>
        </w:rPr>
        <w:t>，</w:t>
      </w:r>
      <w:r>
        <w:rPr>
          <w:rFonts w:hint="eastAsia" w:ascii="宋体" w:hAnsi="宋体" w:eastAsia="宋体" w:cs="宋体"/>
        </w:rPr>
        <w:t>叉车起重装卸货物超载、举升过高、臂架变幅或旋转过快，使车辆丧失稳定性发生倾覆。</w:t>
      </w:r>
    </w:p>
    <w:p w14:paraId="25F5A623">
      <w:pPr>
        <w:keepNext w:val="0"/>
        <w:keepLines w:val="0"/>
        <w:pageBreakBefore w:val="0"/>
        <w:widowControl w:val="0"/>
        <w:numPr>
          <w:ilvl w:val="0"/>
          <w:numId w:val="4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物料打击的危险：装载货物的车辆由于撞击、倾翻，或撞击设备、设施、堆垛等导致物料倾倒打击伤人；装卸货物人员组织、安排不周，导致卸货物料打击。</w:t>
      </w:r>
    </w:p>
    <w:p w14:paraId="1EC9FFA2">
      <w:pPr>
        <w:keepNext w:val="0"/>
        <w:keepLines w:val="0"/>
        <w:pageBreakBefore w:val="0"/>
        <w:widowControl w:val="0"/>
        <w:numPr>
          <w:ilvl w:val="0"/>
          <w:numId w:val="44"/>
        </w:numPr>
        <w:kinsoku/>
        <w:wordWrap/>
        <w:overflowPunct/>
        <w:topLinePunct w:val="0"/>
        <w:autoSpaceDE/>
        <w:autoSpaceDN/>
        <w:bidi w:val="0"/>
        <w:adjustRightInd/>
        <w:snapToGrid/>
        <w:ind w:left="0" w:leftChars="0" w:firstLine="560" w:firstLineChars="200"/>
        <w:textAlignment w:val="auto"/>
        <w:rPr>
          <w:rFonts w:hint="eastAsia" w:asciiTheme="minorEastAsia" w:hAnsiTheme="minorEastAsia" w:eastAsiaTheme="minorEastAsia" w:cstheme="minorEastAsia"/>
        </w:rPr>
      </w:pPr>
      <w:r>
        <w:rPr>
          <w:rFonts w:hint="eastAsia" w:ascii="宋体" w:hAnsi="宋体" w:eastAsia="宋体" w:cs="宋体"/>
          <w:lang w:val="en-US" w:eastAsia="zh-CN"/>
        </w:rPr>
        <w:t>其他</w:t>
      </w:r>
      <w:r>
        <w:rPr>
          <w:rFonts w:hint="eastAsia" w:ascii="宋体" w:hAnsi="宋体" w:eastAsia="宋体" w:cs="宋体"/>
        </w:rPr>
        <w:t>危险</w:t>
      </w:r>
      <w:r>
        <w:rPr>
          <w:rFonts w:hint="eastAsia" w:ascii="宋体" w:hAnsi="宋体" w:eastAsia="宋体" w:cs="宋体"/>
          <w:lang w:eastAsia="zh-CN"/>
        </w:rPr>
        <w:t>：</w:t>
      </w:r>
      <w:r>
        <w:rPr>
          <w:rFonts w:hint="eastAsia" w:ascii="宋体" w:hAnsi="宋体" w:eastAsia="宋体" w:cs="宋体"/>
        </w:rPr>
        <w:t>夜间照明设施损坏或不明</w:t>
      </w:r>
      <w:r>
        <w:rPr>
          <w:rFonts w:hint="eastAsia" w:ascii="宋体" w:hAnsi="宋体" w:eastAsia="宋体" w:cs="宋体"/>
          <w:lang w:eastAsia="zh-CN"/>
        </w:rPr>
        <w:t>。</w:t>
      </w:r>
      <w:r>
        <w:rPr>
          <w:rFonts w:hint="eastAsia" w:ascii="宋体" w:hAnsi="宋体" w:eastAsia="宋体" w:cs="宋体"/>
        </w:rPr>
        <w:t>因建筑物或自然环境影响造成视线不良等；车间内安全通道设置不合理，安全</w:t>
      </w:r>
      <w:r>
        <w:rPr>
          <w:rFonts w:hint="eastAsia" w:ascii="宋体" w:hAnsi="宋体" w:eastAsia="宋体" w:cs="宋体"/>
          <w:lang w:eastAsia="zh-CN"/>
        </w:rPr>
        <w:t>标识</w:t>
      </w:r>
      <w:r>
        <w:rPr>
          <w:rFonts w:hint="eastAsia" w:ascii="宋体" w:hAnsi="宋体" w:eastAsia="宋体" w:cs="宋体"/>
        </w:rPr>
        <w:t>，警示标志不醒目；相关限速、限高、警示等标志不完善。</w:t>
      </w:r>
    </w:p>
    <w:p w14:paraId="7EBB8FA2">
      <w:pPr>
        <w:pStyle w:val="4"/>
        <w:keepNext w:val="0"/>
        <w:keepLines w:val="0"/>
        <w:pageBreakBefore w:val="0"/>
        <w:widowControl w:val="0"/>
        <w:kinsoku/>
        <w:bidi w:val="0"/>
        <w:rPr>
          <w:rFonts w:hint="eastAsia"/>
        </w:rPr>
      </w:pPr>
      <w:bookmarkStart w:id="590" w:name="_Toc9558"/>
      <w:bookmarkStart w:id="591" w:name="_Toc14435"/>
      <w:r>
        <w:rPr>
          <w:rFonts w:hint="eastAsia"/>
        </w:rPr>
        <w:t>机械伤害</w:t>
      </w:r>
      <w:bookmarkEnd w:id="587"/>
      <w:bookmarkEnd w:id="588"/>
      <w:bookmarkEnd w:id="589"/>
      <w:bookmarkEnd w:id="590"/>
      <w:bookmarkEnd w:id="591"/>
    </w:p>
    <w:p w14:paraId="355FD12C">
      <w:pPr>
        <w:keepNext w:val="0"/>
        <w:keepLines w:val="0"/>
        <w:pageBreakBefore w:val="0"/>
        <w:widowControl w:val="0"/>
        <w:kinsoku/>
        <w:bidi w:val="0"/>
        <w:rPr>
          <w:rFonts w:hint="eastAsia" w:ascii="宋体" w:hAnsi="宋体" w:eastAsia="宋体" w:cs="宋体"/>
        </w:rPr>
      </w:pPr>
      <w:r>
        <w:rPr>
          <w:rFonts w:hint="eastAsia" w:ascii="宋体" w:hAnsi="宋体" w:eastAsia="宋体" w:cs="宋体"/>
        </w:rPr>
        <w:t>生产区域内使用较多的传（转）动机械设备，如</w:t>
      </w:r>
      <w:r>
        <w:rPr>
          <w:rFonts w:hint="eastAsia" w:ascii="宋体" w:hAnsi="宋体" w:eastAsia="宋体" w:cs="宋体"/>
          <w:lang w:val="en-US" w:eastAsia="zh-CN"/>
        </w:rPr>
        <w:t>配料系统带式输送机</w:t>
      </w:r>
      <w:r>
        <w:rPr>
          <w:rFonts w:hint="eastAsia" w:ascii="宋体" w:hAnsi="宋体" w:eastAsia="宋体" w:cs="宋体"/>
          <w:lang w:eastAsia="zh-CN"/>
        </w:rPr>
        <w:t>、</w:t>
      </w:r>
      <w:r>
        <w:rPr>
          <w:rFonts w:hint="eastAsia" w:ascii="宋体" w:hAnsi="宋体" w:eastAsia="宋体" w:cs="宋体"/>
        </w:rPr>
        <w:t>振动筛</w:t>
      </w:r>
      <w:r>
        <w:rPr>
          <w:rFonts w:hint="eastAsia" w:ascii="宋体" w:hAnsi="宋体" w:eastAsia="宋体" w:cs="宋体"/>
          <w:lang w:eastAsia="zh-CN"/>
        </w:rPr>
        <w:t>、</w:t>
      </w:r>
      <w:r>
        <w:rPr>
          <w:rFonts w:hint="eastAsia" w:ascii="宋体" w:hAnsi="宋体" w:eastAsia="宋体" w:cs="宋体"/>
        </w:rPr>
        <w:t>雷蒙磨</w:t>
      </w:r>
      <w:r>
        <w:rPr>
          <w:rFonts w:hint="eastAsia" w:ascii="宋体" w:hAnsi="宋体" w:eastAsia="宋体" w:cs="宋体"/>
          <w:lang w:eastAsia="zh-CN"/>
        </w:rPr>
        <w:t>、</w:t>
      </w:r>
      <w:r>
        <w:rPr>
          <w:rFonts w:hint="eastAsia" w:ascii="宋体" w:hAnsi="宋体" w:eastAsia="宋体" w:cs="宋体"/>
        </w:rPr>
        <w:t>气流磨</w:t>
      </w:r>
      <w:r>
        <w:rPr>
          <w:rFonts w:hint="eastAsia" w:ascii="宋体" w:hAnsi="宋体" w:eastAsia="宋体" w:cs="宋体"/>
          <w:lang w:eastAsia="zh-CN"/>
        </w:rPr>
        <w:t>、</w:t>
      </w:r>
      <w:r>
        <w:rPr>
          <w:rFonts w:hint="eastAsia" w:ascii="宋体" w:hAnsi="宋体" w:eastAsia="宋体" w:cs="宋体"/>
        </w:rPr>
        <w:t>空压机</w:t>
      </w:r>
      <w:r>
        <w:rPr>
          <w:rFonts w:hint="eastAsia" w:ascii="宋体" w:hAnsi="宋体" w:eastAsia="宋体" w:cs="宋体"/>
          <w:lang w:eastAsia="zh-CN"/>
        </w:rPr>
        <w:t>，</w:t>
      </w:r>
      <w:r>
        <w:rPr>
          <w:rFonts w:hint="eastAsia" w:ascii="宋体" w:hAnsi="宋体" w:eastAsia="宋体" w:cs="宋体"/>
          <w:lang w:val="en-US" w:eastAsia="zh-CN"/>
        </w:rPr>
        <w:t>检修用的切割机、台钻、自动缠膜机</w:t>
      </w:r>
      <w:r>
        <w:rPr>
          <w:rFonts w:hint="eastAsia" w:ascii="宋体" w:hAnsi="宋体" w:eastAsia="宋体" w:cs="宋体"/>
        </w:rPr>
        <w:t>等，如果没有可靠的安全防护装置，或设备有缺陷，违章作业等，易发生作业人员被切、绞、轧、挤、压、撞击等事故。导致发生机械伤害事故的主要因素有：</w:t>
      </w:r>
    </w:p>
    <w:p w14:paraId="361FA7EC">
      <w:pPr>
        <w:keepNext w:val="0"/>
        <w:keepLines w:val="0"/>
        <w:pageBreakBefore w:val="0"/>
        <w:widowControl w:val="0"/>
        <w:numPr>
          <w:ilvl w:val="0"/>
          <w:numId w:val="4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违章作业或操作不当；</w:t>
      </w:r>
    </w:p>
    <w:p w14:paraId="5DE12066">
      <w:pPr>
        <w:keepNext w:val="0"/>
        <w:keepLines w:val="0"/>
        <w:pageBreakBefore w:val="0"/>
        <w:widowControl w:val="0"/>
        <w:numPr>
          <w:ilvl w:val="0"/>
          <w:numId w:val="4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机械设备或切割工具安全防护装置缺乏或损坏</w:t>
      </w:r>
      <w:r>
        <w:rPr>
          <w:rFonts w:hint="eastAsia" w:ascii="宋体" w:hAnsi="宋体" w:eastAsia="宋体" w:cs="宋体"/>
          <w:lang w:eastAsia="zh-CN"/>
        </w:rPr>
        <w:t>或</w:t>
      </w:r>
      <w:r>
        <w:rPr>
          <w:rFonts w:hint="eastAsia" w:ascii="宋体" w:hAnsi="宋体" w:eastAsia="宋体" w:cs="宋体"/>
        </w:rPr>
        <w:t>被拆除等；</w:t>
      </w:r>
    </w:p>
    <w:p w14:paraId="14C0C524">
      <w:pPr>
        <w:keepNext w:val="0"/>
        <w:keepLines w:val="0"/>
        <w:pageBreakBefore w:val="0"/>
        <w:widowControl w:val="0"/>
        <w:numPr>
          <w:ilvl w:val="0"/>
          <w:numId w:val="4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操作人员疏忽大意，身体误入机械危险部位；</w:t>
      </w:r>
    </w:p>
    <w:p w14:paraId="45D904A1">
      <w:pPr>
        <w:keepNext w:val="0"/>
        <w:keepLines w:val="0"/>
        <w:pageBreakBefore w:val="0"/>
        <w:widowControl w:val="0"/>
        <w:numPr>
          <w:ilvl w:val="0"/>
          <w:numId w:val="4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不停机检修设备；</w:t>
      </w:r>
    </w:p>
    <w:p w14:paraId="19BC6F04">
      <w:pPr>
        <w:keepNext w:val="0"/>
        <w:keepLines w:val="0"/>
        <w:pageBreakBefore w:val="0"/>
        <w:widowControl w:val="0"/>
        <w:numPr>
          <w:ilvl w:val="0"/>
          <w:numId w:val="4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在不安全的机械上停留、休息；</w:t>
      </w:r>
    </w:p>
    <w:p w14:paraId="0C4D5C4F">
      <w:pPr>
        <w:keepNext w:val="0"/>
        <w:keepLines w:val="0"/>
        <w:pageBreakBefore w:val="0"/>
        <w:widowControl w:val="0"/>
        <w:numPr>
          <w:ilvl w:val="0"/>
          <w:numId w:val="4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不按规定穿戴劳动保护用品；</w:t>
      </w:r>
    </w:p>
    <w:p w14:paraId="0192FA25">
      <w:pPr>
        <w:keepNext w:val="0"/>
        <w:keepLines w:val="0"/>
        <w:pageBreakBefore w:val="0"/>
        <w:widowControl w:val="0"/>
        <w:numPr>
          <w:ilvl w:val="0"/>
          <w:numId w:val="4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Cs w:val="30"/>
        </w:rPr>
      </w:pPr>
      <w:r>
        <w:rPr>
          <w:rFonts w:hint="eastAsia" w:ascii="宋体" w:hAnsi="宋体" w:eastAsia="宋体" w:cs="宋体"/>
        </w:rPr>
        <w:t>检修时机械电器未断电挂牌锁定。在检修和正常工作时，机器突然被别人随意启动，导致事故发生</w:t>
      </w:r>
      <w:r>
        <w:rPr>
          <w:rFonts w:hint="eastAsia" w:ascii="宋体" w:hAnsi="宋体" w:eastAsia="宋体" w:cs="宋体"/>
          <w:lang w:eastAsia="zh-CN"/>
        </w:rPr>
        <w:t>；</w:t>
      </w:r>
    </w:p>
    <w:p w14:paraId="19D3DF67">
      <w:pPr>
        <w:keepNext w:val="0"/>
        <w:keepLines w:val="0"/>
        <w:pageBreakBefore w:val="0"/>
        <w:widowControl w:val="0"/>
        <w:numPr>
          <w:ilvl w:val="0"/>
          <w:numId w:val="45"/>
        </w:numPr>
        <w:kinsoku/>
        <w:wordWrap/>
        <w:overflowPunct/>
        <w:topLinePunct w:val="0"/>
        <w:autoSpaceDE/>
        <w:autoSpaceDN/>
        <w:bidi w:val="0"/>
        <w:adjustRightInd/>
        <w:snapToGrid/>
        <w:ind w:left="0" w:leftChars="0" w:firstLine="560" w:firstLineChars="200"/>
        <w:textAlignment w:val="auto"/>
        <w:rPr>
          <w:rFonts w:hint="eastAsia" w:asciiTheme="minorEastAsia" w:hAnsiTheme="minorEastAsia" w:eastAsiaTheme="minorEastAsia" w:cstheme="minorEastAsia"/>
          <w:szCs w:val="30"/>
        </w:rPr>
      </w:pPr>
      <w:r>
        <w:rPr>
          <w:rFonts w:hint="eastAsia" w:ascii="宋体" w:hAnsi="宋体" w:eastAsia="宋体" w:cs="宋体"/>
        </w:rPr>
        <w:t>无意或为排除故障而接近危险部位：如在无防护罩的两个相对运动零部件之间清理卡住物时，可能造成挤伤、夹断、切断、压碎或人的肢体被卷进的伤害。</w:t>
      </w:r>
    </w:p>
    <w:p w14:paraId="387116AA">
      <w:pPr>
        <w:pStyle w:val="4"/>
        <w:keepNext w:val="0"/>
        <w:keepLines w:val="0"/>
        <w:pageBreakBefore w:val="0"/>
        <w:widowControl w:val="0"/>
        <w:kinsoku/>
        <w:bidi w:val="0"/>
        <w:rPr>
          <w:rFonts w:hint="eastAsia"/>
        </w:rPr>
      </w:pPr>
      <w:bookmarkStart w:id="592" w:name="_Toc8150"/>
      <w:bookmarkStart w:id="593" w:name="_Toc9376"/>
      <w:bookmarkStart w:id="594" w:name="_Toc1538"/>
      <w:bookmarkStart w:id="595" w:name="_Toc31408"/>
      <w:bookmarkStart w:id="596" w:name="_Toc25954"/>
      <w:bookmarkStart w:id="597" w:name="_Toc451960674"/>
      <w:bookmarkStart w:id="598" w:name="_Toc468364414"/>
      <w:bookmarkStart w:id="599" w:name="_Toc30762"/>
      <w:bookmarkStart w:id="600" w:name="_Toc446"/>
      <w:r>
        <w:rPr>
          <w:rFonts w:hint="eastAsia"/>
          <w:lang w:val="en-US" w:eastAsia="zh-CN"/>
        </w:rPr>
        <w:t>起重伤害</w:t>
      </w:r>
      <w:bookmarkEnd w:id="592"/>
    </w:p>
    <w:p w14:paraId="406B6349">
      <w:pPr>
        <w:keepNext w:val="0"/>
        <w:keepLines w:val="0"/>
        <w:pageBreakBefore w:val="0"/>
        <w:widowControl w:val="0"/>
        <w:kinsoku/>
        <w:wordWrap/>
        <w:topLinePunct/>
        <w:bidi w:val="0"/>
        <w:ind w:firstLine="560"/>
        <w:rPr>
          <w:rFonts w:hint="eastAsia" w:eastAsia="宋体"/>
          <w:szCs w:val="28"/>
          <w:lang w:val="en-US" w:eastAsia="zh-CN"/>
        </w:rPr>
      </w:pPr>
      <w:r>
        <w:rPr>
          <w:szCs w:val="20"/>
        </w:rPr>
        <w:t>本项目在生产过程中使用到起重</w:t>
      </w:r>
      <w:r>
        <w:rPr>
          <w:rFonts w:hint="eastAsia"/>
          <w:szCs w:val="20"/>
          <w:lang w:val="en-US" w:eastAsia="zh-CN"/>
        </w:rPr>
        <w:t>机械</w:t>
      </w:r>
      <w:r>
        <w:rPr>
          <w:szCs w:val="20"/>
        </w:rPr>
        <w:t>，主要是桥式起重机等，因此在使用过程中存在起重伤害的危险。</w:t>
      </w:r>
      <w:r>
        <w:rPr>
          <w:rFonts w:hint="eastAsia" w:eastAsia="宋体"/>
          <w:szCs w:val="28"/>
          <w:lang w:val="en-US" w:eastAsia="zh-CN"/>
        </w:rPr>
        <w:t>起重机机械事故的发生原因主要包括人的因素、设备因素和环境因素等几个方面，其中人的因素主要是由于管理者或使用者心存侥幸、省事和逆反等心理原因从而产生非理智行为；物的因素主要是由于设备未按要求进行设计、制造、安装、维修和保养，特别是未按要求进行检验，带“病</w:t>
      </w:r>
      <w:r>
        <w:rPr>
          <w:rFonts w:hint="eastAsia"/>
          <w:szCs w:val="28"/>
          <w:lang w:val="en-US" w:eastAsia="zh-CN"/>
        </w:rPr>
        <w:t>”</w:t>
      </w:r>
      <w:r>
        <w:rPr>
          <w:rFonts w:hint="eastAsia" w:eastAsia="宋体"/>
          <w:szCs w:val="28"/>
          <w:lang w:val="en-US" w:eastAsia="zh-CN"/>
        </w:rPr>
        <w:t>运行，从而埋下安全隐患。</w:t>
      </w:r>
    </w:p>
    <w:p w14:paraId="6CAD97CA">
      <w:pPr>
        <w:keepNext w:val="0"/>
        <w:keepLines w:val="0"/>
        <w:pageBreakBefore w:val="0"/>
        <w:widowControl w:val="0"/>
        <w:kinsoku/>
        <w:wordWrap/>
        <w:topLinePunct/>
        <w:bidi w:val="0"/>
        <w:ind w:firstLine="560"/>
        <w:rPr>
          <w:szCs w:val="28"/>
        </w:rPr>
      </w:pPr>
      <w:r>
        <w:rPr>
          <w:szCs w:val="20"/>
        </w:rPr>
        <w:t>对</w:t>
      </w:r>
      <w:r>
        <w:rPr>
          <w:szCs w:val="28"/>
        </w:rPr>
        <w:t>发生起重伤害的主要原因分析如下：</w:t>
      </w:r>
    </w:p>
    <w:p w14:paraId="211DEF5B">
      <w:pPr>
        <w:keepNext w:val="0"/>
        <w:keepLines w:val="0"/>
        <w:pageBreakBefore w:val="0"/>
        <w:widowControl w:val="0"/>
        <w:numPr>
          <w:ilvl w:val="0"/>
          <w:numId w:val="46"/>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脱钩</w:t>
      </w:r>
    </w:p>
    <w:p w14:paraId="091081E6">
      <w:pPr>
        <w:keepNext w:val="0"/>
        <w:keepLines w:val="0"/>
        <w:pageBreakBefore w:val="0"/>
        <w:widowControl w:val="0"/>
        <w:kinsoku/>
        <w:wordWrap/>
        <w:topLinePunct/>
        <w:bidi w:val="0"/>
        <w:snapToGrid w:val="0"/>
        <w:ind w:firstLine="560"/>
        <w:rPr>
          <w:szCs w:val="28"/>
        </w:rPr>
      </w:pPr>
      <w:r>
        <w:rPr>
          <w:szCs w:val="28"/>
        </w:rPr>
        <w:t>起重工在吊运物体时，因现场无人指挥，吊物下降过快造成脱钩；有时在吊运中因起吊物体不稳，使吊钩在空中悠荡，在悠荡过程中，钩头由于离心惯性力甩出而引起脱钩事故。行车因操作不稳，紧急</w:t>
      </w:r>
      <w:r>
        <w:rPr>
          <w:rFonts w:hint="eastAsia"/>
          <w:szCs w:val="28"/>
          <w:lang w:eastAsia="zh-CN"/>
        </w:rPr>
        <w:t>启动</w:t>
      </w:r>
      <w:r>
        <w:rPr>
          <w:szCs w:val="28"/>
        </w:rPr>
        <w:t>、制动都有可能引起钩头惯性飞出。具有主、副钩头的行车吊运重物时，当另</w:t>
      </w:r>
      <w:r>
        <w:rPr>
          <w:rFonts w:hint="eastAsia"/>
          <w:szCs w:val="28"/>
          <w:lang w:eastAsia="zh-CN"/>
        </w:rPr>
        <w:t>一部</w:t>
      </w:r>
      <w:r>
        <w:rPr>
          <w:szCs w:val="28"/>
        </w:rPr>
        <w:t>用钩头挂在吊索的小圈上时，因钩头粗不容易插牢在圈环内，在操作和振动、摆动时，由于离心惯性力的作用，而引起钩头脱出</w:t>
      </w:r>
      <w:r>
        <w:rPr>
          <w:rFonts w:hint="eastAsia"/>
          <w:szCs w:val="28"/>
          <w:lang w:val="en-US" w:eastAsia="zh-CN"/>
        </w:rPr>
        <w:t>吊物</w:t>
      </w:r>
      <w:r>
        <w:rPr>
          <w:szCs w:val="28"/>
        </w:rPr>
        <w:t>坠落伤人。</w:t>
      </w:r>
    </w:p>
    <w:p w14:paraId="26B46D75">
      <w:pPr>
        <w:keepNext w:val="0"/>
        <w:keepLines w:val="0"/>
        <w:pageBreakBefore w:val="0"/>
        <w:widowControl w:val="0"/>
        <w:numPr>
          <w:ilvl w:val="0"/>
          <w:numId w:val="46"/>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钢丝绳折断</w:t>
      </w:r>
    </w:p>
    <w:p w14:paraId="53B2F1DE">
      <w:pPr>
        <w:keepNext w:val="0"/>
        <w:keepLines w:val="0"/>
        <w:pageBreakBefore w:val="0"/>
        <w:widowControl w:val="0"/>
        <w:kinsoku/>
        <w:wordWrap/>
        <w:topLinePunct/>
        <w:bidi w:val="0"/>
        <w:snapToGrid w:val="0"/>
        <w:ind w:firstLine="560"/>
        <w:rPr>
          <w:szCs w:val="28"/>
        </w:rPr>
      </w:pPr>
      <w:r>
        <w:rPr>
          <w:szCs w:val="28"/>
        </w:rPr>
        <w:t>钢丝绳发生折断的原因很多，其主要和常见的原因是：操作前</w:t>
      </w:r>
      <w:r>
        <w:rPr>
          <w:rFonts w:hint="eastAsia"/>
          <w:szCs w:val="28"/>
          <w:lang w:val="en-US" w:eastAsia="zh-CN"/>
        </w:rPr>
        <w:t>司索工</w:t>
      </w:r>
      <w:r>
        <w:rPr>
          <w:szCs w:val="28"/>
        </w:rPr>
        <w:t>没有对钢丝绳进行安全技术检验或认真检查，对已断丝的钢丝绳没有按钢丝绳报废标准处理或降低负荷使用，吊运时严重超负荷等。</w:t>
      </w:r>
    </w:p>
    <w:p w14:paraId="40D81FD6">
      <w:pPr>
        <w:keepNext w:val="0"/>
        <w:keepLines w:val="0"/>
        <w:pageBreakBefore w:val="0"/>
        <w:widowControl w:val="0"/>
        <w:numPr>
          <w:ilvl w:val="0"/>
          <w:numId w:val="46"/>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安全防护装置缺乏或失灵</w:t>
      </w:r>
    </w:p>
    <w:p w14:paraId="7B8EDB35">
      <w:pPr>
        <w:keepNext w:val="0"/>
        <w:keepLines w:val="0"/>
        <w:pageBreakBefore w:val="0"/>
        <w:widowControl w:val="0"/>
        <w:kinsoku/>
        <w:wordWrap/>
        <w:topLinePunct/>
        <w:bidi w:val="0"/>
        <w:snapToGrid w:val="0"/>
        <w:ind w:firstLine="560"/>
        <w:rPr>
          <w:szCs w:val="28"/>
        </w:rPr>
      </w:pPr>
      <w:r>
        <w:rPr>
          <w:szCs w:val="28"/>
        </w:rPr>
        <w:t>起重机械的安全装置（制动器、缓冲器、行程限位器、起重量限制器、防护罩等）是各类起重机所不可缺少的。因安全装置缺乏或失灵又未检修时，这种装置便起不到安全防护作用。因操作不慎和超负荷等原因，将发生翻车、碰撞、钢丝绳折断等事故。</w:t>
      </w:r>
    </w:p>
    <w:p w14:paraId="3CE6FCF3">
      <w:pPr>
        <w:keepNext w:val="0"/>
        <w:keepLines w:val="0"/>
        <w:pageBreakBefore w:val="0"/>
        <w:widowControl w:val="0"/>
        <w:numPr>
          <w:ilvl w:val="0"/>
          <w:numId w:val="46"/>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吊物坠落</w:t>
      </w:r>
    </w:p>
    <w:p w14:paraId="21C3DCA0">
      <w:pPr>
        <w:keepNext w:val="0"/>
        <w:keepLines w:val="0"/>
        <w:pageBreakBefore w:val="0"/>
        <w:widowControl w:val="0"/>
        <w:kinsoku/>
        <w:wordWrap/>
        <w:topLinePunct/>
        <w:bidi w:val="0"/>
        <w:snapToGrid w:val="0"/>
        <w:ind w:firstLine="560"/>
        <w:rPr>
          <w:szCs w:val="28"/>
        </w:rPr>
      </w:pPr>
      <w:r>
        <w:rPr>
          <w:szCs w:val="28"/>
        </w:rPr>
        <w:t>起重机吊运物体时，由于某种原因，物体突然坠落，</w:t>
      </w:r>
      <w:r>
        <w:rPr>
          <w:rFonts w:hint="eastAsia"/>
          <w:szCs w:val="28"/>
          <w:lang w:val="en-US" w:eastAsia="zh-CN"/>
        </w:rPr>
        <w:t>造成</w:t>
      </w:r>
      <w:r>
        <w:rPr>
          <w:szCs w:val="28"/>
        </w:rPr>
        <w:t>地面人员</w:t>
      </w:r>
      <w:r>
        <w:rPr>
          <w:rFonts w:hint="eastAsia"/>
          <w:szCs w:val="28"/>
          <w:lang w:val="en-US" w:eastAsia="zh-CN"/>
        </w:rPr>
        <w:t>伤亡</w:t>
      </w:r>
      <w:r>
        <w:rPr>
          <w:szCs w:val="28"/>
        </w:rPr>
        <w:t>，这种事故一般是惨痛的，因为坠落的重物一般都是击中人的头部（立姿）或腰部（蹲姿）。在有行车的厂房，由于生产噪声的掩盖，地面人员往往听不到指挥信号或思想麻痹</w:t>
      </w:r>
      <w:r>
        <w:rPr>
          <w:rFonts w:hint="eastAsia"/>
          <w:szCs w:val="28"/>
          <w:lang w:val="en-US" w:eastAsia="zh-CN"/>
        </w:rPr>
        <w:t>站位不当</w:t>
      </w:r>
      <w:r>
        <w:rPr>
          <w:szCs w:val="28"/>
        </w:rPr>
        <w:t>，不能迅速避让，因而导致物体坠落伤人。</w:t>
      </w:r>
    </w:p>
    <w:p w14:paraId="02541A83">
      <w:pPr>
        <w:keepNext w:val="0"/>
        <w:keepLines w:val="0"/>
        <w:pageBreakBefore w:val="0"/>
        <w:widowControl w:val="0"/>
        <w:numPr>
          <w:ilvl w:val="0"/>
          <w:numId w:val="46"/>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碰撞致伤</w:t>
      </w:r>
    </w:p>
    <w:p w14:paraId="3458489F">
      <w:pPr>
        <w:keepNext w:val="0"/>
        <w:keepLines w:val="0"/>
        <w:pageBreakBefore w:val="0"/>
        <w:widowControl w:val="0"/>
        <w:kinsoku/>
        <w:wordWrap/>
        <w:topLinePunct/>
        <w:bidi w:val="0"/>
        <w:snapToGrid w:val="0"/>
        <w:ind w:firstLine="560"/>
        <w:rPr>
          <w:szCs w:val="28"/>
        </w:rPr>
      </w:pPr>
      <w:r>
        <w:rPr>
          <w:szCs w:val="28"/>
        </w:rPr>
        <w:t>物体在吊运中，因碰撞或刹车等原因，使吊件在空中</w:t>
      </w:r>
      <w:r>
        <w:rPr>
          <w:rFonts w:hint="eastAsia"/>
          <w:szCs w:val="28"/>
          <w:lang w:eastAsia="zh-CN"/>
        </w:rPr>
        <w:t>游荡</w:t>
      </w:r>
      <w:r>
        <w:rPr>
          <w:szCs w:val="28"/>
        </w:rPr>
        <w:t>，吊件撞倒设备或积物而引起事故，撞击力大，故后果比较严重。</w:t>
      </w:r>
    </w:p>
    <w:p w14:paraId="4FFD52C6">
      <w:pPr>
        <w:keepNext w:val="0"/>
        <w:keepLines w:val="0"/>
        <w:pageBreakBefore w:val="0"/>
        <w:widowControl w:val="0"/>
        <w:numPr>
          <w:ilvl w:val="0"/>
          <w:numId w:val="46"/>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指挥信号不明或乱指挥</w:t>
      </w:r>
    </w:p>
    <w:p w14:paraId="32FC0D3C">
      <w:pPr>
        <w:keepNext w:val="0"/>
        <w:keepLines w:val="0"/>
        <w:pageBreakBefore w:val="0"/>
        <w:widowControl w:val="0"/>
        <w:kinsoku/>
        <w:wordWrap/>
        <w:topLinePunct/>
        <w:bidi w:val="0"/>
        <w:snapToGrid w:val="0"/>
        <w:ind w:firstLine="560"/>
        <w:rPr>
          <w:szCs w:val="28"/>
        </w:rPr>
      </w:pPr>
      <w:r>
        <w:rPr>
          <w:szCs w:val="28"/>
        </w:rPr>
        <w:t>现场起吊时，指挥者乱指挥或指挥信号不明时，易使现场起重人员产生错误判断或错误操作，往往会产生严重后果。</w:t>
      </w:r>
    </w:p>
    <w:p w14:paraId="7B782149">
      <w:pPr>
        <w:keepNext w:val="0"/>
        <w:keepLines w:val="0"/>
        <w:pageBreakBefore w:val="0"/>
        <w:widowControl w:val="0"/>
        <w:numPr>
          <w:ilvl w:val="0"/>
          <w:numId w:val="46"/>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吊物上面站人</w:t>
      </w:r>
    </w:p>
    <w:p w14:paraId="18DB11C2">
      <w:pPr>
        <w:keepNext w:val="0"/>
        <w:keepLines w:val="0"/>
        <w:pageBreakBefore w:val="0"/>
        <w:widowControl w:val="0"/>
        <w:kinsoku/>
        <w:wordWrap/>
        <w:topLinePunct/>
        <w:bidi w:val="0"/>
        <w:snapToGrid w:val="0"/>
        <w:ind w:firstLine="560"/>
        <w:rPr>
          <w:szCs w:val="28"/>
        </w:rPr>
      </w:pPr>
      <w:r>
        <w:rPr>
          <w:szCs w:val="28"/>
        </w:rPr>
        <w:t>在物体吊起后失去平衡，将重物放下重新起吊时，起重工违章站在重物上以求平衡，当起重机一旦发生紧急制动剧烈振动时，站在起吊物上的人随之跌下或被物体碰倒以及被压人。</w:t>
      </w:r>
    </w:p>
    <w:p w14:paraId="76EDBE33">
      <w:pPr>
        <w:keepNext w:val="0"/>
        <w:keepLines w:val="0"/>
        <w:pageBreakBefore w:val="0"/>
        <w:widowControl w:val="0"/>
        <w:numPr>
          <w:ilvl w:val="0"/>
          <w:numId w:val="46"/>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物件紧固不牢</w:t>
      </w:r>
    </w:p>
    <w:p w14:paraId="720E3576">
      <w:pPr>
        <w:keepNext w:val="0"/>
        <w:keepLines w:val="0"/>
        <w:pageBreakBefore w:val="0"/>
        <w:widowControl w:val="0"/>
        <w:kinsoku/>
        <w:wordWrap/>
        <w:topLinePunct/>
        <w:bidi w:val="0"/>
        <w:snapToGrid w:val="0"/>
        <w:ind w:firstLine="560"/>
        <w:rPr>
          <w:szCs w:val="28"/>
        </w:rPr>
      </w:pPr>
      <w:r>
        <w:rPr>
          <w:szCs w:val="28"/>
        </w:rPr>
        <w:t>当起吊散装金属物体或工件时，若没有捆扎牢固，吊运或搬运过程中零星小件会脱落坠下，可能砸伤自己或别人。</w:t>
      </w:r>
    </w:p>
    <w:p w14:paraId="0D7EFCBA">
      <w:pPr>
        <w:keepNext w:val="0"/>
        <w:keepLines w:val="0"/>
        <w:pageBreakBefore w:val="0"/>
        <w:widowControl w:val="0"/>
        <w:numPr>
          <w:ilvl w:val="0"/>
          <w:numId w:val="46"/>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光线阴暗看不清物体</w:t>
      </w:r>
    </w:p>
    <w:p w14:paraId="5F0A279F">
      <w:pPr>
        <w:keepNext w:val="0"/>
        <w:keepLines w:val="0"/>
        <w:pageBreakBefore w:val="0"/>
        <w:widowControl w:val="0"/>
        <w:kinsoku/>
        <w:wordWrap/>
        <w:topLinePunct/>
        <w:bidi w:val="0"/>
        <w:snapToGrid w:val="0"/>
        <w:ind w:firstLine="560"/>
        <w:rPr>
          <w:szCs w:val="28"/>
        </w:rPr>
      </w:pPr>
      <w:r>
        <w:rPr>
          <w:szCs w:val="28"/>
        </w:rPr>
        <w:t>如在晚间或者照明设施不全的情况下进行作业时，可能因能见度差，光线太暗等原因，导致操作人员看不清物体和周围障碍物，而导致误操作等造成起重伤害事故。</w:t>
      </w:r>
    </w:p>
    <w:p w14:paraId="38F6D67F">
      <w:pPr>
        <w:keepNext w:val="0"/>
        <w:keepLines w:val="0"/>
        <w:pageBreakBefore w:val="0"/>
        <w:widowControl w:val="0"/>
        <w:numPr>
          <w:ilvl w:val="0"/>
          <w:numId w:val="46"/>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起重设备带病运转</w:t>
      </w:r>
    </w:p>
    <w:p w14:paraId="1ABC65BF">
      <w:pPr>
        <w:keepNext w:val="0"/>
        <w:keepLines w:val="0"/>
        <w:pageBreakBefore w:val="0"/>
        <w:widowControl w:val="0"/>
        <w:kinsoku/>
        <w:wordWrap/>
        <w:topLinePunct/>
        <w:bidi w:val="0"/>
        <w:snapToGrid w:val="0"/>
        <w:ind w:firstLine="560"/>
        <w:rPr>
          <w:szCs w:val="28"/>
        </w:rPr>
      </w:pPr>
      <w:r>
        <w:rPr>
          <w:szCs w:val="28"/>
        </w:rPr>
        <w:t>设备带病运转，不仅缩短了起重设备的使用寿命或修理周期，更为严重的是设备在带病运转过程中，可以导致发生许多设备和人身事故。</w:t>
      </w:r>
    </w:p>
    <w:p w14:paraId="7D3A76E6">
      <w:pPr>
        <w:keepNext w:val="0"/>
        <w:keepLines w:val="0"/>
        <w:pageBreakBefore w:val="0"/>
        <w:widowControl w:val="0"/>
        <w:numPr>
          <w:ilvl w:val="0"/>
          <w:numId w:val="46"/>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开车前未发开车信号</w:t>
      </w:r>
    </w:p>
    <w:p w14:paraId="5ECABF52">
      <w:pPr>
        <w:keepNext w:val="0"/>
        <w:keepLines w:val="0"/>
        <w:pageBreakBefore w:val="0"/>
        <w:widowControl w:val="0"/>
        <w:kinsoku/>
        <w:wordWrap/>
        <w:topLinePunct/>
        <w:bidi w:val="0"/>
        <w:snapToGrid w:val="0"/>
        <w:ind w:firstLine="560"/>
        <w:rPr>
          <w:szCs w:val="28"/>
        </w:rPr>
      </w:pPr>
      <w:r>
        <w:rPr>
          <w:szCs w:val="28"/>
        </w:rPr>
        <w:t>起重机在开车前应预先发出开车信号，信号可由起重机司机直接发出，或由地面指挥者发出；在进行起重作业时，可能因开车信号不明或信号的警示效果无效等原因，致使相关人员得不到指令、警示灯，而导致起重伤害事故的发生。</w:t>
      </w:r>
    </w:p>
    <w:p w14:paraId="0E5DB2A8">
      <w:pPr>
        <w:keepNext w:val="0"/>
        <w:keepLines w:val="0"/>
        <w:pageBreakBefore w:val="0"/>
        <w:widowControl w:val="0"/>
        <w:numPr>
          <w:ilvl w:val="0"/>
          <w:numId w:val="46"/>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人为事故因素</w:t>
      </w:r>
    </w:p>
    <w:p w14:paraId="2628E48E">
      <w:pPr>
        <w:keepNext w:val="0"/>
        <w:keepLines w:val="0"/>
        <w:pageBreakBefore w:val="0"/>
        <w:widowControl w:val="0"/>
        <w:kinsoku/>
        <w:wordWrap/>
        <w:topLinePunct/>
        <w:bidi w:val="0"/>
        <w:snapToGrid w:val="0"/>
        <w:ind w:firstLine="560"/>
        <w:rPr>
          <w:szCs w:val="28"/>
        </w:rPr>
      </w:pPr>
      <w:r>
        <w:rPr>
          <w:szCs w:val="28"/>
        </w:rPr>
        <w:t>起重机械操作员在操作时违规操作或驾驶起重机械的人员未经专业技术培训持证上岗，不具备安全操作的能力。</w:t>
      </w:r>
    </w:p>
    <w:p w14:paraId="0F257991">
      <w:pPr>
        <w:keepNext w:val="0"/>
        <w:keepLines w:val="0"/>
        <w:pageBreakBefore w:val="0"/>
        <w:widowControl w:val="0"/>
        <w:numPr>
          <w:ilvl w:val="0"/>
          <w:numId w:val="46"/>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未定期进行检测检验</w:t>
      </w:r>
    </w:p>
    <w:p w14:paraId="0C8429E2">
      <w:pPr>
        <w:keepNext w:val="0"/>
        <w:keepLines w:val="0"/>
        <w:pageBreakBefore w:val="0"/>
        <w:widowControl w:val="0"/>
        <w:kinsoku/>
        <w:wordWrap/>
        <w:topLinePunct/>
        <w:bidi w:val="0"/>
        <w:snapToGrid w:val="0"/>
        <w:ind w:firstLine="560"/>
        <w:rPr>
          <w:szCs w:val="28"/>
        </w:rPr>
      </w:pPr>
      <w:r>
        <w:rPr>
          <w:szCs w:val="28"/>
        </w:rPr>
        <w:t>起重设备设施属于特种设备，若未定期进行检测检验，日常的维护保养不到位，超期使用，可能因相关设备设施的隐患而导致起重伤害等恶性事故的发生。</w:t>
      </w:r>
    </w:p>
    <w:p w14:paraId="080AE4AD">
      <w:pPr>
        <w:pStyle w:val="4"/>
        <w:keepNext w:val="0"/>
        <w:keepLines w:val="0"/>
        <w:pageBreakBefore w:val="0"/>
        <w:widowControl w:val="0"/>
        <w:kinsoku/>
        <w:bidi w:val="0"/>
        <w:rPr>
          <w:rFonts w:hint="eastAsia"/>
        </w:rPr>
      </w:pPr>
      <w:bookmarkStart w:id="601" w:name="_Toc28295"/>
      <w:r>
        <w:rPr>
          <w:rFonts w:hint="eastAsia"/>
        </w:rPr>
        <w:t>触电</w:t>
      </w:r>
      <w:bookmarkEnd w:id="593"/>
      <w:bookmarkEnd w:id="594"/>
      <w:bookmarkEnd w:id="595"/>
      <w:bookmarkEnd w:id="596"/>
      <w:bookmarkEnd w:id="601"/>
    </w:p>
    <w:p w14:paraId="6C455E0E">
      <w:pPr>
        <w:keepNext w:val="0"/>
        <w:keepLines w:val="0"/>
        <w:pageBreakBefore w:val="0"/>
        <w:widowControl w:val="0"/>
        <w:kinsoku/>
        <w:bidi w:val="0"/>
        <w:rPr>
          <w:rFonts w:hint="eastAsia"/>
        </w:rPr>
      </w:pPr>
      <w:r>
        <w:rPr>
          <w:rFonts w:hint="eastAsia" w:ascii="宋体" w:hAnsi="宋体" w:eastAsia="宋体" w:cs="宋体"/>
        </w:rPr>
        <w:t>触电事故的发生经常是由于违章作业或线路老化</w:t>
      </w:r>
      <w:r>
        <w:rPr>
          <w:rFonts w:hint="eastAsia" w:ascii="宋体" w:hAnsi="宋体" w:eastAsia="宋体" w:cs="宋体"/>
          <w:lang w:eastAsia="zh-CN"/>
        </w:rPr>
        <w:t>；</w:t>
      </w:r>
      <w:r>
        <w:rPr>
          <w:rFonts w:hint="eastAsia" w:ascii="宋体" w:hAnsi="宋体" w:eastAsia="宋体" w:cs="宋体"/>
        </w:rPr>
        <w:t>高压用电设备绝缘失效；电气线路、设备设计上的不合理、选型不合理、安装上存在缺陷、超负荷使用；未装设漏电保护装置或漏电保护装置失效；电气设备保护接地不良等，电气设备漏电造成人体与带电体直接接触或人体接近高压带电体，使人体流过超过承受阈值的电流而造成的伤害。</w:t>
      </w:r>
    </w:p>
    <w:p w14:paraId="05E15772">
      <w:pPr>
        <w:keepNext w:val="0"/>
        <w:keepLines w:val="0"/>
        <w:pageBreakBefore w:val="0"/>
        <w:widowControl w:val="0"/>
        <w:kinsoku/>
        <w:bidi w:val="0"/>
        <w:rPr>
          <w:rFonts w:hint="eastAsia" w:asciiTheme="minorEastAsia" w:hAnsiTheme="minorEastAsia" w:eastAsiaTheme="minorEastAsia" w:cstheme="minorEastAsia"/>
        </w:rPr>
      </w:pPr>
      <w:r>
        <w:rPr>
          <w:rFonts w:hint="eastAsia" w:ascii="宋体" w:hAnsi="宋体" w:eastAsia="宋体" w:cs="宋体"/>
        </w:rPr>
        <w:t>配电室和生产车间发生触电伤害的</w:t>
      </w:r>
      <w:r>
        <w:rPr>
          <w:rFonts w:hint="eastAsia" w:cs="宋体"/>
          <w:lang w:eastAsia="zh-CN"/>
        </w:rPr>
        <w:t>概率</w:t>
      </w:r>
      <w:r>
        <w:rPr>
          <w:rFonts w:hint="eastAsia" w:ascii="宋体" w:hAnsi="宋体" w:eastAsia="宋体" w:cs="宋体"/>
        </w:rPr>
        <w:t>较高，这是由于其作业性质决定的。引起触电事故的主要原因，除了设计缺陷、设计不周等技术因素外，大部分是由于违章作业、违章操作引起的。造成事故的主要因素有：</w:t>
      </w:r>
    </w:p>
    <w:p w14:paraId="257EDD21">
      <w:pPr>
        <w:keepNext w:val="0"/>
        <w:keepLines w:val="0"/>
        <w:pageBreakBefore w:val="0"/>
        <w:widowControl w:val="0"/>
        <w:numPr>
          <w:ilvl w:val="0"/>
          <w:numId w:val="47"/>
        </w:numPr>
        <w:kinsoku/>
        <w:wordWrap/>
        <w:overflowPunct/>
        <w:topLinePunct/>
        <w:autoSpaceDE/>
        <w:autoSpaceDN/>
        <w:bidi w:val="0"/>
        <w:adjustRightInd w:val="0"/>
        <w:snapToGrid w:val="0"/>
        <w:ind w:left="0" w:leftChars="0" w:firstLine="560" w:firstLineChars="200"/>
        <w:textAlignment w:val="auto"/>
        <w:rPr>
          <w:rFonts w:ascii="宋体" w:hAnsi="宋体" w:eastAsia="宋体" w:cs="Times New Roman"/>
          <w:szCs w:val="28"/>
        </w:rPr>
      </w:pPr>
      <w:r>
        <w:rPr>
          <w:rFonts w:hint="eastAsia" w:ascii="宋体" w:hAnsi="宋体" w:eastAsia="宋体" w:cs="宋体"/>
          <w:sz w:val="28"/>
          <w:szCs w:val="28"/>
          <w:lang w:val="zh-CN" w:eastAsia="zh-CN"/>
        </w:rPr>
        <w:t>无证操作、违章作业；</w:t>
      </w:r>
    </w:p>
    <w:p w14:paraId="0F8A1F05">
      <w:pPr>
        <w:keepNext w:val="0"/>
        <w:keepLines w:val="0"/>
        <w:pageBreakBefore w:val="0"/>
        <w:widowControl w:val="0"/>
        <w:numPr>
          <w:ilvl w:val="0"/>
          <w:numId w:val="47"/>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zh-CN" w:eastAsia="zh-CN"/>
        </w:rPr>
      </w:pPr>
      <w:bookmarkStart w:id="602" w:name="_Toc8446"/>
      <w:bookmarkStart w:id="603" w:name="_Toc650"/>
      <w:bookmarkStart w:id="604" w:name="_Toc16066"/>
      <w:bookmarkStart w:id="605" w:name="_Toc13450"/>
      <w:r>
        <w:rPr>
          <w:rFonts w:hint="eastAsia" w:ascii="宋体" w:hAnsi="宋体" w:eastAsia="宋体" w:cs="宋体"/>
          <w:sz w:val="28"/>
          <w:szCs w:val="28"/>
          <w:lang w:val="zh-CN" w:eastAsia="zh-CN"/>
        </w:rPr>
        <w:t>电缆敷设不规范，电路接头裸露等；电气线路、设备设计上的不合理、选型不合理、安装上存在缺陷、超负荷使用；</w:t>
      </w:r>
    </w:p>
    <w:p w14:paraId="68B1B7E7">
      <w:pPr>
        <w:keepNext w:val="0"/>
        <w:keepLines w:val="0"/>
        <w:pageBreakBefore w:val="0"/>
        <w:widowControl w:val="0"/>
        <w:numPr>
          <w:ilvl w:val="0"/>
          <w:numId w:val="47"/>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zh-CN" w:eastAsia="zh-CN"/>
        </w:rPr>
      </w:pPr>
      <w:r>
        <w:rPr>
          <w:rFonts w:hint="eastAsia" w:ascii="宋体" w:hAnsi="宋体" w:eastAsia="宋体" w:cs="宋体"/>
          <w:sz w:val="28"/>
          <w:szCs w:val="28"/>
          <w:lang w:val="zh-CN" w:eastAsia="zh-CN"/>
        </w:rPr>
        <w:t>电气设备质量缺陷或未按规定接零；</w:t>
      </w:r>
    </w:p>
    <w:p w14:paraId="2396D355">
      <w:pPr>
        <w:keepNext w:val="0"/>
        <w:keepLines w:val="0"/>
        <w:pageBreakBefore w:val="0"/>
        <w:widowControl w:val="0"/>
        <w:numPr>
          <w:ilvl w:val="0"/>
          <w:numId w:val="47"/>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zh-CN" w:eastAsia="zh-CN"/>
        </w:rPr>
      </w:pPr>
      <w:r>
        <w:rPr>
          <w:rFonts w:hint="eastAsia" w:ascii="宋体" w:hAnsi="宋体" w:eastAsia="宋体" w:cs="宋体"/>
          <w:sz w:val="28"/>
          <w:szCs w:val="28"/>
          <w:lang w:val="zh-CN" w:eastAsia="zh-CN"/>
        </w:rPr>
        <w:t>线路磨损、压破绝缘层使外壳带电，设备缺少漏电保护等防护装置；</w:t>
      </w:r>
    </w:p>
    <w:p w14:paraId="6E45349B">
      <w:pPr>
        <w:keepNext w:val="0"/>
        <w:keepLines w:val="0"/>
        <w:pageBreakBefore w:val="0"/>
        <w:widowControl w:val="0"/>
        <w:numPr>
          <w:ilvl w:val="0"/>
          <w:numId w:val="47"/>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zh-CN" w:eastAsia="zh-CN"/>
        </w:rPr>
      </w:pPr>
      <w:r>
        <w:rPr>
          <w:rFonts w:hint="eastAsia" w:ascii="宋体" w:hAnsi="宋体" w:eastAsia="宋体" w:cs="宋体"/>
          <w:sz w:val="28"/>
          <w:szCs w:val="28"/>
          <w:lang w:val="zh-CN" w:eastAsia="zh-CN"/>
        </w:rPr>
        <w:t>检修作业不填写操作票或不执行监护制度，线路或电气设备工作完毕，未办理工作票终结手续，就对停电设备恢复送电；</w:t>
      </w:r>
    </w:p>
    <w:p w14:paraId="198D55AF">
      <w:pPr>
        <w:keepNext w:val="0"/>
        <w:keepLines w:val="0"/>
        <w:pageBreakBefore w:val="0"/>
        <w:widowControl w:val="0"/>
        <w:numPr>
          <w:ilvl w:val="0"/>
          <w:numId w:val="47"/>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zh-CN" w:eastAsia="zh-CN"/>
        </w:rPr>
      </w:pPr>
      <w:r>
        <w:rPr>
          <w:rFonts w:hint="eastAsia" w:ascii="宋体" w:hAnsi="宋体" w:eastAsia="宋体" w:cs="宋体"/>
          <w:sz w:val="28"/>
          <w:szCs w:val="28"/>
          <w:lang w:val="zh-CN" w:eastAsia="zh-CN"/>
        </w:rPr>
        <w:t>使用未经校验或校验不合格的绝缘手套、绝缘鞋、接地线、</w:t>
      </w:r>
      <w:r>
        <w:rPr>
          <w:rFonts w:hint="eastAsia" w:ascii="宋体" w:hAnsi="宋体" w:eastAsia="宋体" w:cs="宋体"/>
          <w:sz w:val="28"/>
          <w:szCs w:val="28"/>
          <w:lang w:val="en-US" w:eastAsia="zh-CN"/>
        </w:rPr>
        <w:t>验电器</w:t>
      </w:r>
      <w:r>
        <w:rPr>
          <w:rFonts w:hint="eastAsia" w:ascii="宋体" w:hAnsi="宋体" w:eastAsia="宋体" w:cs="宋体"/>
          <w:sz w:val="28"/>
          <w:szCs w:val="28"/>
          <w:lang w:val="zh-CN" w:eastAsia="zh-CN"/>
        </w:rPr>
        <w:t>等电力工器具和手持电动工器具；</w:t>
      </w:r>
    </w:p>
    <w:p w14:paraId="1417E374">
      <w:pPr>
        <w:keepNext w:val="0"/>
        <w:keepLines w:val="0"/>
        <w:pageBreakBefore w:val="0"/>
        <w:widowControl w:val="0"/>
        <w:numPr>
          <w:ilvl w:val="0"/>
          <w:numId w:val="47"/>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zh-CN" w:eastAsia="zh-CN"/>
        </w:rPr>
      </w:pPr>
      <w:r>
        <w:rPr>
          <w:rFonts w:hint="eastAsia" w:ascii="宋体" w:hAnsi="宋体" w:eastAsia="宋体" w:cs="宋体"/>
          <w:sz w:val="28"/>
          <w:szCs w:val="28"/>
          <w:lang w:val="zh-CN" w:eastAsia="zh-CN"/>
        </w:rPr>
        <w:t>在带电设备附近进行作业，不符合安全距离或无隔离防护措施；</w:t>
      </w:r>
    </w:p>
    <w:p w14:paraId="3ABA4B14">
      <w:pPr>
        <w:keepNext w:val="0"/>
        <w:keepLines w:val="0"/>
        <w:pageBreakBefore w:val="0"/>
        <w:widowControl w:val="0"/>
        <w:numPr>
          <w:ilvl w:val="0"/>
          <w:numId w:val="47"/>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zh-CN" w:eastAsia="zh-CN"/>
        </w:rPr>
      </w:pPr>
      <w:r>
        <w:rPr>
          <w:rFonts w:hint="eastAsia" w:ascii="宋体" w:hAnsi="宋体" w:eastAsia="宋体" w:cs="宋体"/>
          <w:sz w:val="28"/>
          <w:szCs w:val="28"/>
          <w:lang w:val="zh-CN" w:eastAsia="zh-CN"/>
        </w:rPr>
        <w:t>跨越安全围栏或超越安全警戒线，误碰带电设备，以及在带电设备附近使用钢卷尺等进行测量或携带金属超高物体在带电设备下行走；</w:t>
      </w:r>
    </w:p>
    <w:p w14:paraId="5F7A709F">
      <w:pPr>
        <w:keepNext w:val="0"/>
        <w:keepLines w:val="0"/>
        <w:pageBreakBefore w:val="0"/>
        <w:widowControl w:val="0"/>
        <w:numPr>
          <w:ilvl w:val="0"/>
          <w:numId w:val="47"/>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zh-CN" w:eastAsia="zh-CN"/>
        </w:rPr>
      </w:pPr>
      <w:r>
        <w:rPr>
          <w:rFonts w:hint="eastAsia" w:ascii="宋体" w:hAnsi="宋体" w:eastAsia="宋体" w:cs="宋体"/>
          <w:sz w:val="28"/>
          <w:szCs w:val="28"/>
          <w:lang w:val="zh-CN" w:eastAsia="zh-CN"/>
        </w:rPr>
        <w:t>作业现场缺少安全警示标志或标志不明显；</w:t>
      </w:r>
    </w:p>
    <w:p w14:paraId="0111442F">
      <w:pPr>
        <w:keepNext w:val="0"/>
        <w:keepLines w:val="0"/>
        <w:pageBreakBefore w:val="0"/>
        <w:widowControl w:val="0"/>
        <w:numPr>
          <w:ilvl w:val="0"/>
          <w:numId w:val="47"/>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zh-CN" w:eastAsia="zh-CN"/>
        </w:rPr>
      </w:pPr>
      <w:r>
        <w:rPr>
          <w:rFonts w:hint="eastAsia" w:ascii="宋体" w:hAnsi="宋体" w:eastAsia="宋体" w:cs="宋体"/>
          <w:sz w:val="28"/>
          <w:szCs w:val="28"/>
          <w:lang w:val="zh-CN" w:eastAsia="zh-CN"/>
        </w:rPr>
        <w:t>防雷电设施或接地损坏、失效；</w:t>
      </w:r>
    </w:p>
    <w:p w14:paraId="7E2AA0B6">
      <w:pPr>
        <w:keepNext w:val="0"/>
        <w:keepLines w:val="0"/>
        <w:pageBreakBefore w:val="0"/>
        <w:widowControl w:val="0"/>
        <w:numPr>
          <w:ilvl w:val="0"/>
          <w:numId w:val="47"/>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zh-CN" w:eastAsia="zh-CN"/>
        </w:rPr>
      </w:pPr>
      <w:r>
        <w:rPr>
          <w:rFonts w:hint="eastAsia" w:ascii="宋体" w:hAnsi="宋体" w:eastAsia="宋体" w:cs="宋体"/>
          <w:sz w:val="28"/>
          <w:szCs w:val="28"/>
          <w:lang w:val="zh-CN" w:eastAsia="zh-CN"/>
        </w:rPr>
        <w:t>避雷设施没有各自独立的接地装置，没有定期检测接地电阻值，接地电阻不符合要求；</w:t>
      </w:r>
    </w:p>
    <w:p w14:paraId="1EB6014D">
      <w:pPr>
        <w:keepNext w:val="0"/>
        <w:keepLines w:val="0"/>
        <w:pageBreakBefore w:val="0"/>
        <w:widowControl w:val="0"/>
        <w:numPr>
          <w:ilvl w:val="0"/>
          <w:numId w:val="47"/>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zh-CN" w:eastAsia="zh-CN"/>
        </w:rPr>
      </w:pPr>
      <w:r>
        <w:rPr>
          <w:rFonts w:hint="eastAsia" w:ascii="宋体" w:hAnsi="宋体" w:eastAsia="宋体" w:cs="宋体"/>
          <w:sz w:val="28"/>
          <w:szCs w:val="28"/>
          <w:lang w:val="zh-CN" w:eastAsia="zh-CN"/>
        </w:rPr>
        <w:t>室外敷设的电气线路部分暴露在大气中，容易受到气候环境条件的影响，可能造成电气线路发生断线、混线、接地等故障。此外，电缆受到外力破坏、化学腐蚀、水淹、虫咬，电缆终端接头和中间接头受到污染或进水；</w:t>
      </w:r>
    </w:p>
    <w:p w14:paraId="412AD51D">
      <w:pPr>
        <w:keepNext w:val="0"/>
        <w:keepLines w:val="0"/>
        <w:pageBreakBefore w:val="0"/>
        <w:widowControl w:val="0"/>
        <w:numPr>
          <w:ilvl w:val="0"/>
          <w:numId w:val="47"/>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zh-CN" w:eastAsia="zh-CN"/>
        </w:rPr>
      </w:pPr>
      <w:r>
        <w:rPr>
          <w:rFonts w:hint="eastAsia" w:ascii="宋体" w:hAnsi="宋体" w:eastAsia="宋体" w:cs="宋体"/>
          <w:sz w:val="28"/>
          <w:szCs w:val="28"/>
          <w:lang w:val="zh-CN" w:eastAsia="zh-CN"/>
        </w:rPr>
        <w:t>电气作业的安全管理工作存在漏洞等。</w:t>
      </w:r>
    </w:p>
    <w:p w14:paraId="6EF3010C">
      <w:pPr>
        <w:bidi w:val="0"/>
        <w:rPr>
          <w:rFonts w:hint="eastAsia" w:ascii="宋体" w:hAnsi="宋体" w:eastAsia="宋体" w:cs="宋体"/>
        </w:rPr>
      </w:pPr>
      <w:r>
        <w:rPr>
          <w:rFonts w:hint="eastAsia" w:ascii="宋体" w:hAnsi="宋体" w:eastAsia="宋体" w:cs="宋体"/>
        </w:rPr>
        <w:t>另外，作业人员在进入</w:t>
      </w:r>
      <w:r>
        <w:rPr>
          <w:rFonts w:hint="eastAsia" w:ascii="宋体" w:hAnsi="宋体" w:eastAsia="宋体" w:cs="宋体"/>
          <w:lang w:val="en-US" w:eastAsia="zh-CN"/>
        </w:rPr>
        <w:t>电弧炉</w:t>
      </w:r>
      <w:r>
        <w:rPr>
          <w:rFonts w:hint="eastAsia" w:ascii="宋体" w:hAnsi="宋体" w:eastAsia="宋体" w:cs="宋体"/>
        </w:rPr>
        <w:t>、除尘器、循环水池</w:t>
      </w:r>
      <w:r>
        <w:rPr>
          <w:rFonts w:hint="eastAsia" w:ascii="宋体" w:hAnsi="宋体" w:eastAsia="宋体" w:cs="宋体"/>
          <w:lang w:eastAsia="zh-CN"/>
        </w:rPr>
        <w:t>、</w:t>
      </w:r>
      <w:r>
        <w:rPr>
          <w:rFonts w:hint="eastAsia" w:ascii="宋体" w:hAnsi="宋体" w:eastAsia="宋体" w:cs="宋体"/>
          <w:lang w:val="en-US" w:eastAsia="zh-CN"/>
        </w:rPr>
        <w:t>高位水池、冷却池</w:t>
      </w:r>
      <w:r>
        <w:rPr>
          <w:rFonts w:hint="eastAsia" w:ascii="宋体" w:hAnsi="宋体" w:eastAsia="宋体" w:cs="宋体"/>
        </w:rPr>
        <w:t>等有限空间内进行检修、清理和从事其他工作时，会与</w:t>
      </w:r>
      <w:r>
        <w:rPr>
          <w:rFonts w:hint="eastAsia" w:ascii="宋体" w:hAnsi="宋体" w:cs="宋体"/>
          <w:lang w:eastAsia="zh-CN"/>
        </w:rPr>
        <w:t>电气设备</w:t>
      </w:r>
      <w:r>
        <w:rPr>
          <w:rFonts w:hint="eastAsia" w:ascii="宋体" w:hAnsi="宋体" w:eastAsia="宋体" w:cs="宋体"/>
        </w:rPr>
        <w:t>接触频繁，如果照明灯具、</w:t>
      </w:r>
      <w:r>
        <w:rPr>
          <w:rFonts w:hint="eastAsia" w:ascii="宋体" w:hAnsi="宋体" w:eastAsia="宋体" w:cs="宋体"/>
          <w:lang w:val="en-US" w:eastAsia="zh-CN"/>
        </w:rPr>
        <w:t>移动式</w:t>
      </w:r>
      <w:r>
        <w:rPr>
          <w:rFonts w:hint="eastAsia" w:ascii="宋体" w:hAnsi="宋体" w:eastAsia="宋体" w:cs="宋体"/>
        </w:rPr>
        <w:t>电动工具漏电、未使用安全电压的电气设备等，有可能导致人员触电事故。</w:t>
      </w:r>
    </w:p>
    <w:p w14:paraId="2706DAC3">
      <w:pPr>
        <w:pStyle w:val="4"/>
        <w:keepNext w:val="0"/>
        <w:keepLines w:val="0"/>
        <w:pageBreakBefore w:val="0"/>
        <w:widowControl w:val="0"/>
        <w:kinsoku/>
        <w:bidi w:val="0"/>
        <w:rPr>
          <w:rFonts w:hint="eastAsia"/>
        </w:rPr>
      </w:pPr>
      <w:bookmarkStart w:id="606" w:name="_Toc13700"/>
      <w:r>
        <w:rPr>
          <w:rFonts w:hint="eastAsia"/>
        </w:rPr>
        <w:t>淹溺</w:t>
      </w:r>
      <w:bookmarkEnd w:id="602"/>
      <w:bookmarkEnd w:id="603"/>
      <w:bookmarkEnd w:id="604"/>
      <w:bookmarkEnd w:id="605"/>
      <w:bookmarkEnd w:id="606"/>
    </w:p>
    <w:p w14:paraId="649E14AE">
      <w:pPr>
        <w:keepNext w:val="0"/>
        <w:keepLines w:val="0"/>
        <w:pageBreakBefore w:val="0"/>
        <w:widowControl w:val="0"/>
        <w:kinsoku/>
        <w:bidi w:val="0"/>
        <w:rPr>
          <w:rFonts w:hint="eastAsia"/>
        </w:rPr>
      </w:pPr>
      <w:r>
        <w:rPr>
          <w:rFonts w:hint="eastAsia"/>
        </w:rPr>
        <w:t>淹溺主要是由于人跌入水中，水进入人体呼吸气管后，由于窒息缺氧而产生昏迷，救治不及时会造成人员死亡。</w:t>
      </w:r>
    </w:p>
    <w:p w14:paraId="201D384D">
      <w:pPr>
        <w:keepNext w:val="0"/>
        <w:keepLines w:val="0"/>
        <w:pageBreakBefore w:val="0"/>
        <w:widowControl w:val="0"/>
        <w:kinsoku/>
        <w:bidi w:val="0"/>
        <w:rPr>
          <w:rFonts w:hint="eastAsia"/>
        </w:rPr>
      </w:pPr>
      <w:r>
        <w:rPr>
          <w:szCs w:val="28"/>
        </w:rPr>
        <w:t>本项目设有</w:t>
      </w:r>
      <w:r>
        <w:rPr>
          <w:rFonts w:hint="eastAsia" w:ascii="宋体" w:hAnsi="宋体" w:cs="宋体"/>
          <w:szCs w:val="28"/>
        </w:rPr>
        <w:t>冷却池、循环</w:t>
      </w:r>
      <w:r>
        <w:rPr>
          <w:rFonts w:hint="eastAsia" w:cs="宋体"/>
          <w:szCs w:val="28"/>
          <w:lang w:val="en-US" w:eastAsia="zh-CN"/>
        </w:rPr>
        <w:t>水</w:t>
      </w:r>
      <w:r>
        <w:rPr>
          <w:rFonts w:hint="eastAsia" w:ascii="宋体" w:hAnsi="宋体" w:cs="宋体"/>
          <w:szCs w:val="28"/>
        </w:rPr>
        <w:t>池</w:t>
      </w:r>
      <w:r>
        <w:rPr>
          <w:szCs w:val="28"/>
        </w:rPr>
        <w:t>、</w:t>
      </w:r>
      <w:r>
        <w:rPr>
          <w:rFonts w:hint="eastAsia"/>
          <w:szCs w:val="28"/>
          <w:lang w:val="en-US" w:eastAsia="zh-CN"/>
        </w:rPr>
        <w:t>高位水池、化粪池</w:t>
      </w:r>
      <w:r>
        <w:rPr>
          <w:szCs w:val="28"/>
        </w:rPr>
        <w:t>等各类水池，若防护栏或盖板质量缺陷、存在夜间作业的水池区域照明不足、各类水池未设置安全警示标识或在水池附近作业未采取相应安全措施，作业人员可能跌入水池，发生淹溺事故。</w:t>
      </w:r>
    </w:p>
    <w:bookmarkEnd w:id="597"/>
    <w:bookmarkEnd w:id="598"/>
    <w:bookmarkEnd w:id="599"/>
    <w:bookmarkEnd w:id="600"/>
    <w:p w14:paraId="54814C7C">
      <w:pPr>
        <w:pStyle w:val="4"/>
        <w:keepNext w:val="0"/>
        <w:keepLines w:val="0"/>
        <w:pageBreakBefore w:val="0"/>
        <w:widowControl w:val="0"/>
        <w:kinsoku/>
        <w:bidi w:val="0"/>
        <w:rPr>
          <w:rFonts w:hint="eastAsia"/>
        </w:rPr>
      </w:pPr>
      <w:bookmarkStart w:id="607" w:name="_Toc16591"/>
      <w:bookmarkStart w:id="608" w:name="_Toc8734"/>
      <w:r>
        <w:rPr>
          <w:rFonts w:hint="eastAsia"/>
        </w:rPr>
        <w:t>灼烫</w:t>
      </w:r>
      <w:bookmarkEnd w:id="607"/>
    </w:p>
    <w:p w14:paraId="66B03E7E">
      <w:pPr>
        <w:keepNext w:val="0"/>
        <w:keepLines w:val="0"/>
        <w:pageBreakBefore w:val="0"/>
        <w:widowControl w:val="0"/>
        <w:kinsoku/>
        <w:bidi w:val="0"/>
        <w:rPr>
          <w:rFonts w:hint="eastAsia" w:ascii="宋体" w:hAnsi="宋体" w:eastAsia="宋体" w:cs="宋体"/>
        </w:rPr>
      </w:pPr>
      <w:r>
        <w:rPr>
          <w:rFonts w:hint="eastAsia" w:ascii="宋体" w:hAnsi="宋体" w:eastAsia="宋体" w:cs="宋体"/>
        </w:rPr>
        <w:t>指强酸、强碱溅到身体引起的灼伤，或因火焰引起的烧伤，高温物体引起的烫伤等事故。适用于烧伤、烫伤、化学灼伤等伤害。不包括电烧伤以及火灾事故引起的烧伤。</w:t>
      </w:r>
    </w:p>
    <w:p w14:paraId="1C77D3FA">
      <w:pPr>
        <w:keepNext w:val="0"/>
        <w:keepLines w:val="0"/>
        <w:pageBreakBefore w:val="0"/>
        <w:widowControl w:val="0"/>
        <w:kinsoku/>
        <w:bidi w:val="0"/>
        <w:rPr>
          <w:rFonts w:hint="eastAsia" w:ascii="宋体" w:hAnsi="宋体" w:eastAsia="宋体" w:cs="宋体"/>
          <w:lang w:val="en-US" w:eastAsia="zh-CN"/>
        </w:rPr>
      </w:pPr>
      <w:r>
        <w:rPr>
          <w:rFonts w:hint="eastAsia" w:ascii="宋体" w:hAnsi="宋体" w:eastAsia="宋体" w:cs="宋体"/>
          <w:lang w:val="en-US" w:eastAsia="zh-CN"/>
        </w:rPr>
        <w:t>公司发生灼烫伤害事故的原因分析如下：</w:t>
      </w:r>
    </w:p>
    <w:p w14:paraId="3A5909CB">
      <w:pPr>
        <w:keepNext w:val="0"/>
        <w:keepLines w:val="0"/>
        <w:pageBreakBefore w:val="0"/>
        <w:widowControl w:val="0"/>
        <w:numPr>
          <w:ilvl w:val="0"/>
          <w:numId w:val="48"/>
        </w:numPr>
        <w:kinsoku/>
        <w:bidi w:val="0"/>
        <w:ind w:left="0" w:leftChars="0" w:firstLine="560" w:firstLineChars="200"/>
        <w:rPr>
          <w:rFonts w:hint="eastAsia" w:ascii="宋体" w:hAnsi="宋体" w:eastAsia="宋体" w:cs="宋体"/>
        </w:rPr>
      </w:pPr>
      <w:r>
        <w:rPr>
          <w:rFonts w:hint="eastAsia" w:ascii="宋体" w:hAnsi="宋体" w:eastAsia="宋体" w:cs="宋体"/>
          <w:lang w:val="en-US" w:eastAsia="zh-CN"/>
        </w:rPr>
        <w:t>高温灼烫</w:t>
      </w:r>
    </w:p>
    <w:p w14:paraId="3360444A">
      <w:pPr>
        <w:keepNext w:val="0"/>
        <w:keepLines w:val="0"/>
        <w:pageBreakBefore w:val="0"/>
        <w:widowControl/>
        <w:numPr>
          <w:ilvl w:val="0"/>
          <w:numId w:val="49"/>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电弧炉等高温设备未按要求采取保温隔热措施，或表面隔热层防护不完善、保温材料不符合要求。</w:t>
      </w:r>
    </w:p>
    <w:p w14:paraId="76AB77BA">
      <w:pPr>
        <w:keepNext w:val="0"/>
        <w:keepLines w:val="0"/>
        <w:pageBreakBefore w:val="0"/>
        <w:widowControl/>
        <w:numPr>
          <w:ilvl w:val="0"/>
          <w:numId w:val="49"/>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电弧炉熔炼过程不可避免地会向周围环境散发热量，若通风不良、近距离操作、未穿着隔热服等长期作业均可能造成高温辐射，夏季高温天气可能导致中暑。</w:t>
      </w:r>
    </w:p>
    <w:p w14:paraId="032C78DE">
      <w:pPr>
        <w:keepNext w:val="0"/>
        <w:keepLines w:val="0"/>
        <w:pageBreakBefore w:val="0"/>
        <w:widowControl/>
        <w:numPr>
          <w:ilvl w:val="0"/>
          <w:numId w:val="49"/>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进行可能接触高温部位、介质的作业时，操作不当或未正确穿戴防护用品，可能发生灼烫。</w:t>
      </w:r>
    </w:p>
    <w:p w14:paraId="676959B1">
      <w:pPr>
        <w:keepNext w:val="0"/>
        <w:keepLines w:val="0"/>
        <w:pageBreakBefore w:val="0"/>
        <w:widowControl/>
        <w:numPr>
          <w:ilvl w:val="0"/>
          <w:numId w:val="49"/>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焊接过程中也存在高温物件，其次是各种高速运转设备的高温部件、长期运转致使温度升高的机械部件，作业人员在检修巡查或操作过程中均有造成意外灼伤的可能。</w:t>
      </w:r>
    </w:p>
    <w:p w14:paraId="3F1593BC">
      <w:pPr>
        <w:keepNext w:val="0"/>
        <w:keepLines w:val="0"/>
        <w:pageBreakBefore w:val="0"/>
        <w:widowControl w:val="0"/>
        <w:numPr>
          <w:ilvl w:val="0"/>
          <w:numId w:val="48"/>
        </w:numPr>
        <w:kinsoku/>
        <w:bidi w:val="0"/>
        <w:ind w:left="0" w:leftChars="0" w:firstLine="560" w:firstLineChars="200"/>
        <w:rPr>
          <w:rFonts w:hint="eastAsia" w:ascii="宋体" w:hAnsi="宋体" w:eastAsia="宋体" w:cs="宋体"/>
        </w:rPr>
      </w:pPr>
      <w:bookmarkStart w:id="609" w:name="_Toc1128"/>
      <w:r>
        <w:rPr>
          <w:rFonts w:hint="eastAsia" w:ascii="宋体" w:hAnsi="宋体" w:eastAsia="宋体" w:cs="宋体"/>
        </w:rPr>
        <w:t>化学灼伤</w:t>
      </w:r>
      <w:bookmarkEnd w:id="609"/>
    </w:p>
    <w:p w14:paraId="42AA473E">
      <w:pPr>
        <w:bidi w:val="0"/>
        <w:rPr>
          <w:rFonts w:hint="eastAsia"/>
          <w:lang w:val="en-US" w:eastAsia="zh-CN"/>
        </w:rPr>
      </w:pPr>
      <w:r>
        <w:rPr>
          <w:rFonts w:hint="eastAsia" w:ascii="宋体" w:hAnsi="宋体" w:eastAsia="宋体" w:cs="宋体"/>
        </w:rPr>
        <w:t>若</w:t>
      </w:r>
      <w:r>
        <w:rPr>
          <w:rFonts w:hint="eastAsia" w:ascii="宋体" w:hAnsi="宋体" w:eastAsia="宋体" w:cs="宋体"/>
          <w:lang w:val="en-US" w:eastAsia="zh-CN"/>
        </w:rPr>
        <w:t>化验室</w:t>
      </w:r>
      <w:r>
        <w:rPr>
          <w:rFonts w:hint="eastAsia" w:ascii="宋体" w:hAnsi="宋体" w:eastAsia="宋体" w:cs="宋体"/>
        </w:rPr>
        <w:t>操作人员对</w:t>
      </w:r>
      <w:r>
        <w:rPr>
          <w:rFonts w:hint="eastAsia" w:ascii="宋体" w:hAnsi="宋体" w:eastAsia="宋体" w:cs="宋体"/>
          <w:lang w:val="en-US" w:eastAsia="zh-CN"/>
        </w:rPr>
        <w:t>盐酸试剂等</w:t>
      </w:r>
      <w:r>
        <w:rPr>
          <w:rFonts w:hint="eastAsia" w:ascii="宋体" w:hAnsi="宋体" w:eastAsia="宋体" w:cs="宋体"/>
        </w:rPr>
        <w:t>化学腐蚀品的危险性认识不足，违规作业</w:t>
      </w:r>
      <w:r>
        <w:rPr>
          <w:rFonts w:hint="eastAsia" w:ascii="宋体" w:hAnsi="宋体" w:eastAsia="宋体" w:cs="宋体"/>
          <w:lang w:eastAsia="zh-CN"/>
        </w:rPr>
        <w:t>、</w:t>
      </w:r>
      <w:r>
        <w:rPr>
          <w:rFonts w:hint="eastAsia" w:ascii="宋体" w:hAnsi="宋体" w:eastAsia="宋体" w:cs="宋体"/>
          <w:lang w:val="en-US" w:eastAsia="zh-CN"/>
        </w:rPr>
        <w:t>操作不当或未正确穿戴防护用品，</w:t>
      </w:r>
      <w:r>
        <w:rPr>
          <w:rFonts w:hint="eastAsia" w:ascii="宋体" w:hAnsi="宋体" w:eastAsia="宋体" w:cs="宋体"/>
        </w:rPr>
        <w:t>很可能引起化学灼伤。</w:t>
      </w:r>
    </w:p>
    <w:p w14:paraId="692BF8D7">
      <w:pPr>
        <w:pStyle w:val="4"/>
        <w:keepNext w:val="0"/>
        <w:keepLines w:val="0"/>
        <w:pageBreakBefore w:val="0"/>
        <w:widowControl w:val="0"/>
        <w:kinsoku/>
        <w:bidi w:val="0"/>
        <w:rPr>
          <w:rFonts w:hint="eastAsia"/>
        </w:rPr>
      </w:pPr>
      <w:bookmarkStart w:id="610" w:name="_Toc20956"/>
      <w:r>
        <w:rPr>
          <w:rFonts w:hint="eastAsia"/>
        </w:rPr>
        <w:t>火灾</w:t>
      </w:r>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608"/>
      <w:bookmarkEnd w:id="610"/>
    </w:p>
    <w:p w14:paraId="3197810F">
      <w:pPr>
        <w:keepNext w:val="0"/>
        <w:keepLines w:val="0"/>
        <w:pageBreakBefore w:val="0"/>
        <w:widowControl w:val="0"/>
        <w:kinsoku/>
        <w:bidi w:val="0"/>
        <w:rPr>
          <w:rFonts w:hint="eastAsia"/>
        </w:rPr>
      </w:pPr>
      <w:r>
        <w:rPr>
          <w:rFonts w:hint="eastAsia"/>
          <w:lang w:val="en-US" w:eastAsia="zh-CN"/>
        </w:rPr>
        <w:t>公司原辅料中的石油焦</w:t>
      </w:r>
      <w:r>
        <w:rPr>
          <w:rFonts w:hint="eastAsia"/>
          <w:lang w:eastAsia="zh-CN"/>
        </w:rPr>
        <w:t>、</w:t>
      </w:r>
      <w:r>
        <w:rPr>
          <w:rFonts w:hint="eastAsia"/>
          <w:lang w:val="en-US" w:eastAsia="zh-CN"/>
        </w:rPr>
        <w:t>叉车使用的柴油、原辅材料的包装材料</w:t>
      </w:r>
      <w:r>
        <w:rPr>
          <w:rFonts w:hint="eastAsia"/>
        </w:rPr>
        <w:t>为可燃物，若不严格执行消防安全管理制度，加强火源管理，严格动火作业，包装材料</w:t>
      </w:r>
      <w:r>
        <w:rPr>
          <w:rFonts w:hint="eastAsia"/>
          <w:lang w:eastAsia="zh-CN"/>
        </w:rPr>
        <w:t>、</w:t>
      </w:r>
      <w:r>
        <w:rPr>
          <w:rFonts w:hint="eastAsia"/>
          <w:lang w:val="en-US" w:eastAsia="zh-CN"/>
        </w:rPr>
        <w:t>石油焦、柴油</w:t>
      </w:r>
      <w:r>
        <w:rPr>
          <w:rFonts w:hint="eastAsia"/>
        </w:rPr>
        <w:t>遇火源会发生燃烧。</w:t>
      </w:r>
    </w:p>
    <w:p w14:paraId="5493E8A7">
      <w:pPr>
        <w:keepNext w:val="0"/>
        <w:keepLines w:val="0"/>
        <w:pageBreakBefore w:val="0"/>
        <w:widowControl w:val="0"/>
        <w:kinsoku/>
        <w:bidi w:val="0"/>
        <w:rPr>
          <w:rFonts w:hint="eastAsia"/>
        </w:rPr>
      </w:pPr>
      <w:r>
        <w:rPr>
          <w:rFonts w:hint="eastAsia"/>
        </w:rPr>
        <w:t>生产过程中还可能发生电气火灾，电气设备或电气线路发生短路、接触不良、严重过载、散热失效、接地及漏电、机械故障、电压波动太大的情况下可能使温度升高，发生电气火灾，另外，正常工作或正常操作过程中以及事故状态下产生的电火花可能使可燃物发生燃烧</w:t>
      </w:r>
      <w:r>
        <w:rPr>
          <w:rFonts w:hint="eastAsia"/>
          <w:lang w:eastAsia="zh-CN"/>
        </w:rPr>
        <w:t>，</w:t>
      </w:r>
      <w:r>
        <w:rPr>
          <w:rFonts w:hint="eastAsia"/>
          <w:lang w:val="en-US" w:eastAsia="zh-CN"/>
        </w:rPr>
        <w:t>引起火灾</w:t>
      </w:r>
      <w:r>
        <w:rPr>
          <w:rFonts w:hint="eastAsia"/>
        </w:rPr>
        <w:t>。</w:t>
      </w:r>
    </w:p>
    <w:p w14:paraId="5414CB56">
      <w:pPr>
        <w:pStyle w:val="5"/>
        <w:bidi w:val="0"/>
        <w:rPr>
          <w:rFonts w:hint="eastAsia"/>
        </w:rPr>
      </w:pPr>
      <w:r>
        <w:rPr>
          <w:rFonts w:hint="eastAsia"/>
          <w:lang w:eastAsia="zh-CN"/>
        </w:rPr>
        <w:t>易燃可燃物火灾危险性分析</w:t>
      </w:r>
    </w:p>
    <w:p w14:paraId="46DD74D7">
      <w:pPr>
        <w:keepNext w:val="0"/>
        <w:keepLines w:val="0"/>
        <w:pageBreakBefore w:val="0"/>
        <w:widowControl w:val="0"/>
        <w:kinsoku/>
        <w:wordWrap/>
        <w:overflowPunct/>
        <w:topLinePunct w:val="0"/>
        <w:autoSpaceDE/>
        <w:autoSpaceDN/>
        <w:bidi w:val="0"/>
        <w:adjustRightInd/>
        <w:snapToGrid/>
        <w:ind w:left="0" w:firstLine="560" w:firstLineChars="200"/>
        <w:textAlignment w:val="auto"/>
        <w:rPr>
          <w:rFonts w:hint="eastAsia" w:ascii="宋体" w:hAnsi="宋体" w:eastAsia="宋体" w:cs="宋体"/>
          <w:lang w:val="en-US" w:eastAsia="zh-CN"/>
        </w:rPr>
      </w:pPr>
      <w:r>
        <w:rPr>
          <w:rFonts w:hint="eastAsia" w:ascii="宋体" w:hAnsi="宋体" w:eastAsia="宋体" w:cs="宋体"/>
        </w:rPr>
        <w:t>公司存放</w:t>
      </w:r>
      <w:r>
        <w:rPr>
          <w:rFonts w:hint="eastAsia" w:ascii="宋体" w:hAnsi="宋体" w:eastAsia="宋体" w:cs="宋体"/>
          <w:lang w:val="en-US" w:eastAsia="zh-CN"/>
        </w:rPr>
        <w:t>的石油焦、柴油、包装材料、</w:t>
      </w:r>
      <w:r>
        <w:rPr>
          <w:rFonts w:hint="eastAsia" w:ascii="宋体" w:hAnsi="宋体" w:eastAsia="宋体" w:cs="宋体"/>
          <w:lang w:eastAsia="zh-CN"/>
        </w:rPr>
        <w:t>润滑油、</w:t>
      </w:r>
      <w:r>
        <w:rPr>
          <w:rFonts w:hint="eastAsia" w:ascii="宋体" w:hAnsi="宋体" w:eastAsia="宋体" w:cs="宋体"/>
          <w:lang w:val="en-US" w:eastAsia="zh-CN"/>
        </w:rPr>
        <w:t>液压</w:t>
      </w:r>
      <w:r>
        <w:rPr>
          <w:rFonts w:hint="eastAsia" w:ascii="宋体" w:hAnsi="宋体" w:eastAsia="宋体" w:cs="宋体"/>
          <w:lang w:eastAsia="zh-CN"/>
        </w:rPr>
        <w:t>油等可燃物，</w:t>
      </w:r>
      <w:r>
        <w:rPr>
          <w:rFonts w:hint="eastAsia" w:ascii="宋体" w:hAnsi="宋体" w:eastAsia="宋体" w:cs="宋体"/>
          <w:lang w:val="en-US" w:eastAsia="zh-CN"/>
        </w:rPr>
        <w:t>如接触明火，可能发生火灾事故。</w:t>
      </w:r>
    </w:p>
    <w:p w14:paraId="6E28E1B0">
      <w:pPr>
        <w:keepNext w:val="0"/>
        <w:keepLines w:val="0"/>
        <w:pageBreakBefore w:val="0"/>
        <w:widowControl w:val="0"/>
        <w:numPr>
          <w:ilvl w:val="0"/>
          <w:numId w:val="50"/>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柴油</w:t>
      </w:r>
    </w:p>
    <w:p w14:paraId="530F9B93">
      <w:pPr>
        <w:keepNext w:val="0"/>
        <w:keepLines w:val="0"/>
        <w:pageBreakBefore w:val="0"/>
        <w:widowControl w:val="0"/>
        <w:kinsoku/>
        <w:wordWrap/>
        <w:overflowPunct/>
        <w:topLinePunct w:val="0"/>
        <w:autoSpaceDE/>
        <w:autoSpaceDN/>
        <w:bidi w:val="0"/>
        <w:adjustRightInd/>
        <w:snapToGrid/>
        <w:ind w:left="0" w:firstLine="560" w:firstLineChars="200"/>
        <w:textAlignment w:val="auto"/>
        <w:rPr>
          <w:rFonts w:hint="eastAsia" w:ascii="宋体" w:hAnsi="宋体" w:eastAsia="宋体" w:cs="宋体"/>
        </w:rPr>
      </w:pPr>
      <w:r>
        <w:rPr>
          <w:rFonts w:hint="eastAsia" w:ascii="宋体" w:hAnsi="宋体" w:eastAsia="宋体" w:cs="宋体"/>
        </w:rPr>
        <w:t>本项目叉车会使用到柴油，柴油属可燃液体，遇明火会燃烧引起火灾事故，其蒸气与空气可形成爆炸性混合物，遇明火、高热能引起燃烧爆炸；与氧化剂能发生强烈反应。柴油在储存、输送、使用时可能因安全设施不完善、违规操作、违章作业、管理不善，消防器材缺失等而引发火灾。</w:t>
      </w:r>
    </w:p>
    <w:p w14:paraId="6E3D2E7A">
      <w:pPr>
        <w:keepNext w:val="0"/>
        <w:keepLines w:val="0"/>
        <w:pageBreakBefore w:val="0"/>
        <w:widowControl w:val="0"/>
        <w:numPr>
          <w:ilvl w:val="0"/>
          <w:numId w:val="50"/>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石油焦</w:t>
      </w:r>
    </w:p>
    <w:p w14:paraId="76BAF7F7">
      <w:pPr>
        <w:bidi w:val="0"/>
        <w:rPr>
          <w:rFonts w:hint="eastAsia" w:ascii="宋体" w:hAnsi="宋体" w:eastAsia="宋体" w:cs="宋体"/>
        </w:rPr>
      </w:pPr>
      <w:r>
        <w:rPr>
          <w:rFonts w:hint="eastAsia" w:ascii="宋体" w:hAnsi="宋体" w:eastAsia="宋体" w:cs="宋体"/>
        </w:rPr>
        <w:t>在生产中石油焦作为还原剂，堆放场所若被明火引燃，或因堆放不当，可能会自燃，而导致火灾事故的发生。</w:t>
      </w:r>
    </w:p>
    <w:p w14:paraId="2F096250">
      <w:pPr>
        <w:keepNext w:val="0"/>
        <w:keepLines w:val="0"/>
        <w:pageBreakBefore w:val="0"/>
        <w:widowControl w:val="0"/>
        <w:numPr>
          <w:ilvl w:val="0"/>
          <w:numId w:val="50"/>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润滑油、液压油</w:t>
      </w:r>
    </w:p>
    <w:p w14:paraId="51803B6D">
      <w:pPr>
        <w:bidi w:val="0"/>
        <w:rPr>
          <w:rFonts w:hint="eastAsia" w:ascii="宋体" w:hAnsi="宋体" w:eastAsia="宋体" w:cs="宋体"/>
          <w:lang w:val="en-US" w:eastAsia="zh-CN"/>
        </w:rPr>
      </w:pPr>
      <w:r>
        <w:rPr>
          <w:rFonts w:hint="eastAsia" w:ascii="宋体" w:hAnsi="宋体" w:eastAsia="宋体" w:cs="宋体"/>
        </w:rPr>
        <w:t>润滑油等油品</w:t>
      </w:r>
      <w:r>
        <w:rPr>
          <w:rFonts w:hint="eastAsia" w:ascii="宋体" w:hAnsi="宋体" w:eastAsia="宋体" w:cs="宋体"/>
          <w:szCs w:val="28"/>
        </w:rPr>
        <w:t>为可燃液体，遇明火易引发燃烧</w:t>
      </w:r>
      <w:r>
        <w:rPr>
          <w:rFonts w:hint="eastAsia" w:ascii="宋体" w:hAnsi="宋体" w:eastAsia="宋体" w:cs="宋体"/>
          <w:szCs w:val="28"/>
          <w:lang w:eastAsia="zh-CN"/>
        </w:rPr>
        <w:t>；</w:t>
      </w:r>
      <w:r>
        <w:rPr>
          <w:rFonts w:hint="eastAsia" w:ascii="宋体" w:hAnsi="宋体" w:eastAsia="宋体" w:cs="宋体"/>
        </w:rPr>
        <w:t>油品蒸气与空气混合成为爆炸性混合物；遇热、火花、明火，有引起燃烧爆炸的危险。</w:t>
      </w:r>
    </w:p>
    <w:p w14:paraId="1A6F8B4A">
      <w:pPr>
        <w:keepNext w:val="0"/>
        <w:keepLines w:val="0"/>
        <w:pageBreakBefore w:val="0"/>
        <w:widowControl w:val="0"/>
        <w:numPr>
          <w:ilvl w:val="0"/>
          <w:numId w:val="50"/>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包装材料</w:t>
      </w:r>
    </w:p>
    <w:p w14:paraId="36D4868A">
      <w:pPr>
        <w:bidi w:val="0"/>
        <w:rPr>
          <w:rFonts w:hint="default"/>
          <w:lang w:val="en-US" w:eastAsia="zh-CN"/>
        </w:rPr>
      </w:pPr>
      <w:bookmarkStart w:id="611" w:name="_Hlk89857306"/>
      <w:r>
        <w:rPr>
          <w:rFonts w:hint="eastAsia" w:ascii="宋体" w:hAnsi="宋体" w:eastAsia="宋体" w:cs="宋体"/>
        </w:rPr>
        <w:t>各类包装物为可燃物质</w:t>
      </w:r>
      <w:bookmarkEnd w:id="611"/>
      <w:r>
        <w:rPr>
          <w:rFonts w:hint="eastAsia" w:ascii="宋体" w:hAnsi="宋体" w:eastAsia="宋体" w:cs="宋体"/>
        </w:rPr>
        <w:t>，如存放</w:t>
      </w:r>
      <w:r>
        <w:rPr>
          <w:rFonts w:hint="eastAsia" w:ascii="宋体" w:hAnsi="宋体" w:eastAsia="宋体" w:cs="宋体"/>
          <w:lang w:eastAsia="zh-CN"/>
        </w:rPr>
        <w:t>场所</w:t>
      </w:r>
      <w:r>
        <w:rPr>
          <w:rFonts w:hint="eastAsia" w:ascii="宋体" w:hAnsi="宋体" w:eastAsia="宋体" w:cs="宋体"/>
        </w:rPr>
        <w:t>管理不当，违章用火等，可能导致火灾事故的危险。</w:t>
      </w:r>
    </w:p>
    <w:p w14:paraId="61205373">
      <w:pPr>
        <w:pStyle w:val="5"/>
        <w:bidi w:val="0"/>
        <w:rPr>
          <w:rFonts w:hint="eastAsia"/>
          <w:lang w:eastAsia="zh-CN"/>
        </w:rPr>
      </w:pPr>
      <w:r>
        <w:rPr>
          <w:rFonts w:hint="eastAsia"/>
          <w:lang w:val="en-US" w:eastAsia="zh-CN"/>
        </w:rPr>
        <w:t>乙炔、氧气</w:t>
      </w:r>
      <w:r>
        <w:rPr>
          <w:rFonts w:hint="eastAsia"/>
          <w:lang w:eastAsia="zh-CN"/>
        </w:rPr>
        <w:t>火灾危险性分析</w:t>
      </w:r>
    </w:p>
    <w:p w14:paraId="0B4F92C5">
      <w:pPr>
        <w:keepNext w:val="0"/>
        <w:keepLines w:val="0"/>
        <w:pageBreakBefore w:val="0"/>
        <w:widowControl w:val="0"/>
        <w:numPr>
          <w:ilvl w:val="0"/>
          <w:numId w:val="51"/>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在进行焊接作业时，使用的乙炔是易燃易爆气体，使用的氧气具有强烈的助燃性，如果控制不好，很容易发生燃烧或引起爆炸。</w:t>
      </w:r>
    </w:p>
    <w:p w14:paraId="2CAFAEE6">
      <w:pPr>
        <w:keepNext w:val="0"/>
        <w:keepLines w:val="0"/>
        <w:pageBreakBefore w:val="0"/>
        <w:widowControl w:val="0"/>
        <w:numPr>
          <w:ilvl w:val="0"/>
          <w:numId w:val="51"/>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电、气焊（割）作业过程中高温焊渣或熔融的金属火星飞溅到可燃物质上，会引起火灾。</w:t>
      </w:r>
    </w:p>
    <w:p w14:paraId="60F246A3">
      <w:pPr>
        <w:keepNext w:val="0"/>
        <w:keepLines w:val="0"/>
        <w:pageBreakBefore w:val="0"/>
        <w:widowControl w:val="0"/>
        <w:numPr>
          <w:ilvl w:val="0"/>
          <w:numId w:val="51"/>
        </w:numPr>
        <w:kinsoku/>
        <w:wordWrap/>
        <w:overflowPunct/>
        <w:topLinePunct/>
        <w:autoSpaceDE/>
        <w:autoSpaceDN/>
        <w:bidi w:val="0"/>
        <w:adjustRightInd w:val="0"/>
        <w:snapToGrid w:val="0"/>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不按规范要求使用乙炔气瓶，如胶管老化不及时更换导致泄漏、气瓶减压阀泄漏、回火均可能会发生火灾、爆炸事故</w:t>
      </w:r>
      <w:bookmarkStart w:id="612" w:name="_Toc14160"/>
      <w:bookmarkStart w:id="613" w:name="_Toc1876"/>
      <w:bookmarkStart w:id="614" w:name="_Toc7522"/>
      <w:r>
        <w:rPr>
          <w:rFonts w:hint="eastAsia" w:ascii="宋体" w:hAnsi="宋体" w:eastAsia="宋体" w:cs="宋体"/>
          <w:sz w:val="28"/>
          <w:szCs w:val="28"/>
          <w:lang w:val="en-US" w:eastAsia="zh-CN"/>
        </w:rPr>
        <w:t>。</w:t>
      </w:r>
      <w:bookmarkEnd w:id="612"/>
      <w:bookmarkEnd w:id="613"/>
      <w:bookmarkEnd w:id="614"/>
    </w:p>
    <w:p w14:paraId="2F9A6672">
      <w:pPr>
        <w:pStyle w:val="5"/>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电气设备引起的火灾危险性分析</w:t>
      </w:r>
    </w:p>
    <w:p w14:paraId="6B163754">
      <w:pPr>
        <w:bidi w:val="0"/>
        <w:rPr>
          <w:rFonts w:hint="eastAsia" w:ascii="宋体" w:hAnsi="宋体" w:eastAsia="宋体" w:cs="宋体"/>
        </w:rPr>
      </w:pPr>
      <w:r>
        <w:rPr>
          <w:rFonts w:hint="eastAsia" w:ascii="宋体" w:hAnsi="宋体" w:eastAsia="宋体" w:cs="宋体"/>
        </w:rPr>
        <w:t>本项目区域内布置有相当数量的电气设备，生产过程中漏电、短路、</w:t>
      </w:r>
      <w:r>
        <w:rPr>
          <w:rFonts w:hint="eastAsia" w:ascii="宋体" w:hAnsi="宋体" w:eastAsia="宋体" w:cs="宋体"/>
          <w:lang w:val="en-US" w:eastAsia="zh-CN"/>
        </w:rPr>
        <w:t>电火花、</w:t>
      </w:r>
      <w:r>
        <w:rPr>
          <w:rFonts w:hint="eastAsia" w:ascii="宋体" w:hAnsi="宋体" w:eastAsia="宋体" w:cs="宋体"/>
        </w:rPr>
        <w:t>雷击等，均有可能造成</w:t>
      </w:r>
      <w:r>
        <w:rPr>
          <w:rFonts w:hint="eastAsia" w:ascii="宋体" w:hAnsi="宋体" w:eastAsia="宋体" w:cs="宋体"/>
          <w:lang w:val="en-US" w:eastAsia="zh-CN"/>
        </w:rPr>
        <w:t>火灾</w:t>
      </w:r>
      <w:r>
        <w:rPr>
          <w:rFonts w:hint="eastAsia" w:ascii="宋体" w:hAnsi="宋体" w:eastAsia="宋体" w:cs="宋体"/>
        </w:rPr>
        <w:t>事故。</w:t>
      </w:r>
    </w:p>
    <w:p w14:paraId="0A454247">
      <w:pPr>
        <w:keepNext w:val="0"/>
        <w:keepLines w:val="0"/>
        <w:pageBreakBefore w:val="0"/>
        <w:widowControl w:val="0"/>
        <w:numPr>
          <w:ilvl w:val="0"/>
          <w:numId w:val="52"/>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变压器</w:t>
      </w:r>
      <w:r>
        <w:rPr>
          <w:rFonts w:hint="eastAsia" w:ascii="宋体" w:hAnsi="宋体" w:eastAsia="宋体" w:cs="宋体"/>
          <w:lang w:eastAsia="zh-CN"/>
        </w:rPr>
        <w:t>火灾危险性分析</w:t>
      </w:r>
    </w:p>
    <w:p w14:paraId="41ED8159">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8"/>
          <w:szCs w:val="28"/>
          <w:lang w:val="en-US" w:eastAsia="zh-CN" w:bidi="ar"/>
        </w:rPr>
        <w:t>变压器发生火灾时危险性特别大，如果发生爆炸会使火灾险情进一步扩大，因电力变压器若爆炸起火因其内部装有变压器油，并有许多易燃的零件，如线圈的绝缘材料、绝缘浸渍的漆、木件、楔子和其他可燃物质将引起火灾。尤其是燃烧的油大量向外流淌，使火势极易迅速蔓延扩大。如果主变压器布置距离过近，相互之间又没有设置防火隔墙，以及在变压器下面未设置事故贮油坑或封闭沟；电缆沟、管和穿墙的孔洞未予封闭时，一旦发生火灾，则火势必然会随着燃烧流淌的油及电缆蔓延扩大到其他部位，导致严重后果。</w:t>
      </w:r>
    </w:p>
    <w:p w14:paraId="4654EAA2">
      <w:pPr>
        <w:keepNext w:val="0"/>
        <w:keepLines w:val="0"/>
        <w:widowControl/>
        <w:suppressLineNumbers w:val="0"/>
        <w:jc w:val="left"/>
        <w:rPr>
          <w:rFonts w:hint="eastAsia" w:ascii="宋体" w:hAnsi="宋体" w:eastAsia="宋体" w:cs="宋体"/>
        </w:rPr>
      </w:pPr>
      <w:r>
        <w:rPr>
          <w:rFonts w:hint="eastAsia" w:ascii="宋体" w:hAnsi="宋体" w:eastAsia="宋体" w:cs="宋体"/>
          <w:color w:val="000000"/>
          <w:kern w:val="0"/>
          <w:sz w:val="28"/>
          <w:szCs w:val="28"/>
          <w:lang w:val="en-US" w:eastAsia="zh-CN" w:bidi="ar"/>
        </w:rPr>
        <w:t>变压器起火的原因如下：</w:t>
      </w:r>
    </w:p>
    <w:p w14:paraId="4DFEF874">
      <w:pPr>
        <w:keepNext w:val="0"/>
        <w:keepLines w:val="0"/>
        <w:pageBreakBefore w:val="0"/>
        <w:widowControl/>
        <w:numPr>
          <w:ilvl w:val="0"/>
          <w:numId w:val="53"/>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变压器制造质量欠佳，内部发生故障所引起。通常，线圈部分损坏，约占整个故障的70%；其次，绝缘套管损坏，绝缘油劣化也占有一定比例；再有导体连接处接触不良、铁芯故障、系统故障、雷击、小动物接近引起短路，或外界火源造成的影响。</w:t>
      </w:r>
    </w:p>
    <w:p w14:paraId="51D96790">
      <w:pPr>
        <w:keepNext w:val="0"/>
        <w:keepLines w:val="0"/>
        <w:pageBreakBefore w:val="0"/>
        <w:widowControl/>
        <w:numPr>
          <w:ilvl w:val="0"/>
          <w:numId w:val="53"/>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变压器发生突然短路故障，在变压器绕组内流过很大的短路电流时，可能使变压器损坏；当变压器、互感器进入空气或水后，将使变压器等设备绝缘性能变劣，耐电强度降低，从而导致绝缘击穿事故发生。</w:t>
      </w:r>
    </w:p>
    <w:p w14:paraId="67E19172">
      <w:pPr>
        <w:keepNext w:val="0"/>
        <w:keepLines w:val="0"/>
        <w:pageBreakBefore w:val="0"/>
        <w:widowControl w:val="0"/>
        <w:numPr>
          <w:ilvl w:val="0"/>
          <w:numId w:val="52"/>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电缆系统火灾危险性分析</w:t>
      </w:r>
    </w:p>
    <w:p w14:paraId="753E1DED">
      <w:pPr>
        <w:keepNext w:val="0"/>
        <w:keepLines w:val="0"/>
        <w:pageBreakBefore w:val="0"/>
        <w:widowControl/>
        <w:numPr>
          <w:ilvl w:val="0"/>
          <w:numId w:val="54"/>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电缆的相间距离小，主要靠绝缘材料绝缘。由于机械操作或酸碱、盐、水及其他腐蚀性气体或液体都可使其绝缘强度降低，绝缘层击穿产生电弧，将绝缘层和填料燃烧起火；</w:t>
      </w:r>
    </w:p>
    <w:p w14:paraId="13D22C55">
      <w:pPr>
        <w:keepNext w:val="0"/>
        <w:keepLines w:val="0"/>
        <w:pageBreakBefore w:val="0"/>
        <w:widowControl/>
        <w:numPr>
          <w:ilvl w:val="0"/>
          <w:numId w:val="54"/>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电缆终端头和中间接头是电缆绝缘的薄弱环节。电缆接头盒密封不良，水、潮气进入或灌注的绝缘剂不符合要求，内部留有气孔，均可使绝缘强度降低，导致绝缘击穿短路，产生电弧，引起电缆爆炸。此类约占电缆事故总数的70%左右；</w:t>
      </w:r>
    </w:p>
    <w:p w14:paraId="270B79E2">
      <w:pPr>
        <w:keepNext w:val="0"/>
        <w:keepLines w:val="0"/>
        <w:pageBreakBefore w:val="0"/>
        <w:widowControl/>
        <w:numPr>
          <w:ilvl w:val="0"/>
          <w:numId w:val="54"/>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电缆芯正常工作温度为50℃～80℃，在事故情况下，缆芯温度可达115℃～250℃。中间接头温度更高，在这样的温度下，绝缘老化，很容易发生击穿事故。接头容易氧化而发热，甚至闪弧引燃电缆；</w:t>
      </w:r>
    </w:p>
    <w:p w14:paraId="0C5FBE39">
      <w:pPr>
        <w:keepNext w:val="0"/>
        <w:keepLines w:val="0"/>
        <w:pageBreakBefore w:val="0"/>
        <w:widowControl/>
        <w:numPr>
          <w:ilvl w:val="0"/>
          <w:numId w:val="54"/>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电缆本身存在故障引燃起火，如电缆制造时存在隐患、电缆运行过负荷、过热等原因使电缆老化，绝缘强度降低等原因引起电缆相间或对地击穿短路；过电压使电缆击穿短路起火，安装不当，电缆敷设时曲率半径过小，致使绝缘损坏；</w:t>
      </w:r>
    </w:p>
    <w:p w14:paraId="54A851D7">
      <w:pPr>
        <w:keepNext w:val="0"/>
        <w:keepLines w:val="0"/>
        <w:pageBreakBefore w:val="0"/>
        <w:widowControl/>
        <w:numPr>
          <w:ilvl w:val="0"/>
          <w:numId w:val="54"/>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电缆遇外来火源、热源容易燃烧起火。</w:t>
      </w:r>
    </w:p>
    <w:p w14:paraId="17F7FE93">
      <w:pPr>
        <w:keepNext w:val="0"/>
        <w:keepLines w:val="0"/>
        <w:pageBreakBefore w:val="0"/>
        <w:widowControl w:val="0"/>
        <w:numPr>
          <w:ilvl w:val="0"/>
          <w:numId w:val="52"/>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szCs w:val="28"/>
        </w:rPr>
        <w:t>其他电气设备火灾危险性分析</w:t>
      </w:r>
    </w:p>
    <w:p w14:paraId="198781CF">
      <w:pPr>
        <w:keepNext w:val="0"/>
        <w:keepLines w:val="0"/>
        <w:pageBreakBefore w:val="0"/>
        <w:widowControl w:val="0"/>
        <w:kinsoku/>
        <w:wordWrap/>
        <w:topLinePunct/>
        <w:bidi w:val="0"/>
        <w:ind w:firstLine="560"/>
      </w:pPr>
      <w:r>
        <w:rPr>
          <w:rFonts w:hint="eastAsia" w:ascii="宋体" w:hAnsi="宋体" w:eastAsia="宋体" w:cs="宋体"/>
        </w:rPr>
        <w:t>其他电气设备包括断路器、照明灯具、插座等，也都是火灾危险性较大的电气设备。这些电气设备在发生故障时，可能会引燃</w:t>
      </w:r>
      <w:r>
        <w:rPr>
          <w:rFonts w:hint="eastAsia" w:ascii="宋体" w:hAnsi="宋体" w:eastAsia="宋体" w:cs="宋体"/>
          <w:lang w:val="en-US" w:eastAsia="zh-CN"/>
        </w:rPr>
        <w:t>非阻燃</w:t>
      </w:r>
      <w:r>
        <w:rPr>
          <w:rFonts w:hint="eastAsia" w:ascii="宋体" w:hAnsi="宋体" w:eastAsia="宋体" w:cs="宋体"/>
        </w:rPr>
        <w:t>绝缘材料</w:t>
      </w:r>
      <w:r>
        <w:rPr>
          <w:rFonts w:hint="eastAsia" w:ascii="宋体" w:hAnsi="宋体" w:eastAsia="宋体" w:cs="宋体"/>
          <w:lang w:eastAsia="zh-CN"/>
        </w:rPr>
        <w:t>或其他</w:t>
      </w:r>
      <w:r>
        <w:rPr>
          <w:rFonts w:hint="eastAsia" w:ascii="宋体" w:hAnsi="宋体" w:eastAsia="宋体" w:cs="宋体"/>
        </w:rPr>
        <w:t>可燃物质，引发火灾事故。</w:t>
      </w:r>
    </w:p>
    <w:p w14:paraId="6602775C">
      <w:pPr>
        <w:pStyle w:val="4"/>
        <w:keepNext w:val="0"/>
        <w:keepLines w:val="0"/>
        <w:pageBreakBefore w:val="0"/>
        <w:widowControl w:val="0"/>
        <w:kinsoku/>
        <w:bidi w:val="0"/>
        <w:rPr>
          <w:rFonts w:hint="eastAsia"/>
        </w:rPr>
      </w:pPr>
      <w:bookmarkStart w:id="615" w:name="_Toc22153"/>
      <w:bookmarkStart w:id="616" w:name="_Toc23214"/>
      <w:bookmarkStart w:id="617" w:name="_Toc31308"/>
      <w:bookmarkStart w:id="618" w:name="_Toc202575683"/>
      <w:bookmarkStart w:id="619" w:name="_Toc31760"/>
      <w:bookmarkStart w:id="620" w:name="_Toc19167"/>
      <w:bookmarkStart w:id="621" w:name="_Toc232567010"/>
      <w:bookmarkStart w:id="622" w:name="_Toc225827533"/>
      <w:bookmarkStart w:id="623" w:name="_Toc16481"/>
      <w:bookmarkStart w:id="624" w:name="_Toc21880"/>
      <w:bookmarkStart w:id="625" w:name="_Toc11838"/>
      <w:r>
        <w:rPr>
          <w:rFonts w:hint="eastAsia"/>
        </w:rPr>
        <w:t>高处坠落</w:t>
      </w:r>
      <w:bookmarkEnd w:id="615"/>
      <w:bookmarkEnd w:id="616"/>
      <w:bookmarkEnd w:id="617"/>
      <w:bookmarkEnd w:id="618"/>
      <w:bookmarkEnd w:id="619"/>
      <w:bookmarkEnd w:id="620"/>
    </w:p>
    <w:p w14:paraId="4F3BE9B8">
      <w:pPr>
        <w:keepNext w:val="0"/>
        <w:keepLines w:val="0"/>
        <w:pageBreakBefore w:val="0"/>
        <w:widowControl w:val="0"/>
        <w:tabs>
          <w:tab w:val="left" w:pos="6510"/>
        </w:tabs>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凡在距离基准面垂直距离为2m以上，有可能坠落的高处作业均称为高处作业。公司</w:t>
      </w:r>
      <w:r>
        <w:rPr>
          <w:rFonts w:hint="eastAsia" w:ascii="宋体" w:hAnsi="宋体" w:eastAsia="宋体" w:cs="宋体"/>
          <w:sz w:val="28"/>
          <w:szCs w:val="28"/>
          <w:lang w:val="en-US" w:eastAsia="zh-CN"/>
        </w:rPr>
        <w:t>电弧炉生产系统、配料系统、</w:t>
      </w:r>
      <w:r>
        <w:rPr>
          <w:rFonts w:hint="eastAsia" w:ascii="宋体" w:hAnsi="宋体" w:eastAsia="宋体" w:cs="宋体"/>
          <w:sz w:val="28"/>
          <w:szCs w:val="28"/>
        </w:rPr>
        <w:t>SiO</w:t>
      </w:r>
      <w:r>
        <w:rPr>
          <w:rFonts w:hint="eastAsia" w:ascii="宋体" w:hAnsi="宋体" w:eastAsia="宋体" w:cs="宋体"/>
          <w:sz w:val="28"/>
          <w:szCs w:val="28"/>
          <w:vertAlign w:val="subscript"/>
        </w:rPr>
        <w:t>2</w:t>
      </w:r>
      <w:r>
        <w:rPr>
          <w:rFonts w:hint="eastAsia" w:ascii="宋体" w:hAnsi="宋体" w:eastAsia="宋体" w:cs="宋体"/>
          <w:sz w:val="28"/>
          <w:szCs w:val="28"/>
        </w:rPr>
        <w:t>微粉回收装置</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除尘设施</w:t>
      </w:r>
      <w:r>
        <w:rPr>
          <w:rFonts w:hint="eastAsia" w:ascii="宋体" w:hAnsi="宋体" w:eastAsia="宋体" w:cs="宋体"/>
          <w:sz w:val="28"/>
          <w:szCs w:val="28"/>
        </w:rPr>
        <w:t>等</w:t>
      </w:r>
      <w:r>
        <w:rPr>
          <w:rFonts w:hint="eastAsia" w:ascii="宋体" w:hAnsi="宋体" w:eastAsia="宋体" w:cs="宋体"/>
          <w:sz w:val="28"/>
          <w:szCs w:val="28"/>
          <w:lang w:val="en-US" w:eastAsia="zh-CN"/>
        </w:rPr>
        <w:t>作业平台</w:t>
      </w:r>
      <w:r>
        <w:rPr>
          <w:rFonts w:hint="eastAsia" w:ascii="宋体" w:hAnsi="宋体" w:eastAsia="宋体" w:cs="宋体"/>
          <w:sz w:val="28"/>
          <w:szCs w:val="28"/>
        </w:rPr>
        <w:t>，如果在作业过程及设备检修过程中作业不慎或者缺少安全防护，则有可能造成高处坠落伤害。</w:t>
      </w:r>
    </w:p>
    <w:p w14:paraId="2FC316D1">
      <w:pPr>
        <w:keepNext w:val="0"/>
        <w:keepLines w:val="0"/>
        <w:pageBreakBefore w:val="0"/>
        <w:widowControl w:val="0"/>
        <w:tabs>
          <w:tab w:val="left" w:pos="6510"/>
        </w:tabs>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可能造成高处坠落事故的主要原因如下：</w:t>
      </w:r>
    </w:p>
    <w:p w14:paraId="0153E0E2">
      <w:pPr>
        <w:keepNext w:val="0"/>
        <w:keepLines w:val="0"/>
        <w:pageBreakBefore w:val="0"/>
        <w:widowControl w:val="0"/>
        <w:numPr>
          <w:ilvl w:val="0"/>
          <w:numId w:val="55"/>
        </w:numPr>
        <w:kinsoku/>
        <w:wordWrap/>
        <w:overflowPunct/>
        <w:topLinePunct/>
        <w:autoSpaceDE/>
        <w:autoSpaceDN/>
        <w:bidi w:val="0"/>
        <w:adjustRightInd w:val="0"/>
        <w:snapToGrid/>
        <w:ind w:left="0" w:leftChars="0" w:firstLine="560" w:firstLineChars="200"/>
        <w:jc w:val="left"/>
        <w:textAlignment w:val="auto"/>
        <w:rPr>
          <w:rFonts w:hint="eastAsia" w:ascii="宋体" w:hAnsi="宋体" w:eastAsia="宋体" w:cs="宋体"/>
        </w:rPr>
      </w:pPr>
      <w:r>
        <w:rPr>
          <w:rFonts w:hint="eastAsia" w:ascii="宋体" w:hAnsi="宋体" w:eastAsia="宋体" w:cs="宋体"/>
        </w:rPr>
        <w:t>无安全防护栏、坑（沟）盖板、安装孔洞盖板等防护设施。</w:t>
      </w:r>
    </w:p>
    <w:p w14:paraId="69816DCF">
      <w:pPr>
        <w:keepNext w:val="0"/>
        <w:keepLines w:val="0"/>
        <w:pageBreakBefore w:val="0"/>
        <w:widowControl w:val="0"/>
        <w:numPr>
          <w:ilvl w:val="0"/>
          <w:numId w:val="55"/>
        </w:numPr>
        <w:kinsoku/>
        <w:wordWrap/>
        <w:overflowPunct/>
        <w:topLinePunct/>
        <w:autoSpaceDE/>
        <w:autoSpaceDN/>
        <w:bidi w:val="0"/>
        <w:adjustRightInd w:val="0"/>
        <w:snapToGrid/>
        <w:ind w:left="0" w:leftChars="0" w:firstLine="560" w:firstLineChars="200"/>
        <w:jc w:val="left"/>
        <w:textAlignment w:val="auto"/>
        <w:rPr>
          <w:rFonts w:hint="eastAsia" w:ascii="宋体" w:hAnsi="宋体" w:eastAsia="宋体" w:cs="宋体"/>
        </w:rPr>
      </w:pPr>
      <w:r>
        <w:rPr>
          <w:rFonts w:hint="eastAsia" w:ascii="宋体" w:hAnsi="宋体" w:eastAsia="宋体" w:cs="宋体"/>
        </w:rPr>
        <w:t>安全防护设施安装高度、承载力等不符合要求。</w:t>
      </w:r>
    </w:p>
    <w:p w14:paraId="4C7BDA2C">
      <w:pPr>
        <w:keepNext w:val="0"/>
        <w:keepLines w:val="0"/>
        <w:pageBreakBefore w:val="0"/>
        <w:widowControl w:val="0"/>
        <w:numPr>
          <w:ilvl w:val="0"/>
          <w:numId w:val="55"/>
        </w:numPr>
        <w:kinsoku/>
        <w:wordWrap/>
        <w:overflowPunct/>
        <w:topLinePunct/>
        <w:autoSpaceDE/>
        <w:autoSpaceDN/>
        <w:bidi w:val="0"/>
        <w:adjustRightInd w:val="0"/>
        <w:snapToGrid/>
        <w:ind w:left="0" w:leftChars="0" w:firstLine="560" w:firstLineChars="200"/>
        <w:jc w:val="left"/>
        <w:textAlignment w:val="auto"/>
        <w:rPr>
          <w:rFonts w:hint="eastAsia" w:ascii="宋体" w:hAnsi="宋体" w:eastAsia="宋体" w:cs="宋体"/>
        </w:rPr>
      </w:pPr>
      <w:r>
        <w:rPr>
          <w:rFonts w:hint="eastAsia" w:ascii="宋体" w:hAnsi="宋体" w:eastAsia="宋体" w:cs="宋体"/>
        </w:rPr>
        <w:t>起重设备检修平台防坠措施不足。</w:t>
      </w:r>
    </w:p>
    <w:p w14:paraId="78FC3875">
      <w:pPr>
        <w:keepNext w:val="0"/>
        <w:keepLines w:val="0"/>
        <w:pageBreakBefore w:val="0"/>
        <w:widowControl w:val="0"/>
        <w:numPr>
          <w:ilvl w:val="0"/>
          <w:numId w:val="55"/>
        </w:numPr>
        <w:kinsoku/>
        <w:wordWrap/>
        <w:overflowPunct/>
        <w:topLinePunct/>
        <w:autoSpaceDE/>
        <w:autoSpaceDN/>
        <w:bidi w:val="0"/>
        <w:adjustRightInd w:val="0"/>
        <w:snapToGrid/>
        <w:ind w:left="0" w:leftChars="0" w:firstLine="560" w:firstLineChars="200"/>
        <w:jc w:val="left"/>
        <w:textAlignment w:val="auto"/>
        <w:rPr>
          <w:rFonts w:hint="eastAsia" w:ascii="宋体" w:hAnsi="宋体" w:eastAsia="宋体" w:cs="宋体"/>
        </w:rPr>
      </w:pPr>
      <w:r>
        <w:rPr>
          <w:rFonts w:hint="eastAsia" w:ascii="宋体" w:hAnsi="宋体" w:eastAsia="宋体" w:cs="宋体"/>
        </w:rPr>
        <w:t>安全防护设施因长期未进行防腐修护，导致强度下降或损坏。</w:t>
      </w:r>
    </w:p>
    <w:p w14:paraId="7B225E66">
      <w:pPr>
        <w:keepNext w:val="0"/>
        <w:keepLines w:val="0"/>
        <w:pageBreakBefore w:val="0"/>
        <w:widowControl w:val="0"/>
        <w:numPr>
          <w:ilvl w:val="0"/>
          <w:numId w:val="55"/>
        </w:numPr>
        <w:kinsoku/>
        <w:wordWrap/>
        <w:overflowPunct/>
        <w:topLinePunct/>
        <w:autoSpaceDE/>
        <w:autoSpaceDN/>
        <w:bidi w:val="0"/>
        <w:adjustRightInd w:val="0"/>
        <w:snapToGrid/>
        <w:ind w:left="0" w:leftChars="0" w:firstLine="560" w:firstLineChars="200"/>
        <w:jc w:val="left"/>
        <w:textAlignment w:val="auto"/>
        <w:rPr>
          <w:rFonts w:hint="eastAsia" w:ascii="宋体" w:hAnsi="宋体" w:eastAsia="宋体" w:cs="宋体"/>
        </w:rPr>
      </w:pPr>
      <w:r>
        <w:rPr>
          <w:rFonts w:hint="eastAsia" w:ascii="宋体" w:hAnsi="宋体" w:eastAsia="宋体" w:cs="宋体"/>
        </w:rPr>
        <w:t>高处作业时没有按要求佩戴安全带（绳）、安全帽或采取其他有效的安全保护措施。</w:t>
      </w:r>
    </w:p>
    <w:p w14:paraId="6348F33B">
      <w:pPr>
        <w:keepNext w:val="0"/>
        <w:keepLines w:val="0"/>
        <w:pageBreakBefore w:val="0"/>
        <w:widowControl w:val="0"/>
        <w:numPr>
          <w:ilvl w:val="0"/>
          <w:numId w:val="55"/>
        </w:numPr>
        <w:kinsoku/>
        <w:wordWrap/>
        <w:overflowPunct/>
        <w:topLinePunct/>
        <w:autoSpaceDE/>
        <w:autoSpaceDN/>
        <w:bidi w:val="0"/>
        <w:adjustRightInd w:val="0"/>
        <w:snapToGrid/>
        <w:ind w:left="0" w:leftChars="0" w:firstLine="560" w:firstLineChars="200"/>
        <w:jc w:val="left"/>
        <w:textAlignment w:val="auto"/>
        <w:rPr>
          <w:rFonts w:hint="eastAsia" w:ascii="宋体" w:hAnsi="宋体" w:eastAsia="宋体" w:cs="宋体"/>
        </w:rPr>
      </w:pPr>
      <w:r>
        <w:rPr>
          <w:rFonts w:hint="eastAsia" w:ascii="宋体" w:hAnsi="宋体" w:eastAsia="宋体" w:cs="宋体"/>
        </w:rPr>
        <w:t>高处作业时不按规定使用安全保护装置或安全防护装置有缺陷。</w:t>
      </w:r>
    </w:p>
    <w:p w14:paraId="76FA1022">
      <w:pPr>
        <w:keepNext w:val="0"/>
        <w:keepLines w:val="0"/>
        <w:pageBreakBefore w:val="0"/>
        <w:widowControl w:val="0"/>
        <w:numPr>
          <w:ilvl w:val="0"/>
          <w:numId w:val="55"/>
        </w:numPr>
        <w:kinsoku/>
        <w:wordWrap/>
        <w:overflowPunct/>
        <w:topLinePunct/>
        <w:autoSpaceDE/>
        <w:autoSpaceDN/>
        <w:bidi w:val="0"/>
        <w:adjustRightInd w:val="0"/>
        <w:snapToGrid/>
        <w:ind w:left="0" w:leftChars="0" w:firstLine="560" w:firstLineChars="200"/>
        <w:jc w:val="left"/>
        <w:textAlignment w:val="auto"/>
        <w:rPr>
          <w:rFonts w:hint="eastAsia" w:ascii="宋体" w:hAnsi="宋体" w:eastAsia="宋体" w:cs="宋体"/>
        </w:rPr>
      </w:pPr>
      <w:r>
        <w:rPr>
          <w:rFonts w:hint="eastAsia" w:ascii="宋体" w:hAnsi="宋体" w:eastAsia="宋体" w:cs="宋体"/>
        </w:rPr>
        <w:t>高处作业立足处不是平面或只有很小的平面，致使作业者无法维持正常姿势。</w:t>
      </w:r>
    </w:p>
    <w:p w14:paraId="51C52C48">
      <w:pPr>
        <w:keepNext w:val="0"/>
        <w:keepLines w:val="0"/>
        <w:pageBreakBefore w:val="0"/>
        <w:widowControl w:val="0"/>
        <w:numPr>
          <w:ilvl w:val="0"/>
          <w:numId w:val="55"/>
        </w:numPr>
        <w:kinsoku/>
        <w:wordWrap/>
        <w:overflowPunct/>
        <w:topLinePunct/>
        <w:autoSpaceDE/>
        <w:autoSpaceDN/>
        <w:bidi w:val="0"/>
        <w:adjustRightInd w:val="0"/>
        <w:snapToGrid/>
        <w:ind w:left="0" w:leftChars="0" w:firstLine="560" w:firstLineChars="200"/>
        <w:jc w:val="left"/>
        <w:textAlignment w:val="auto"/>
        <w:rPr>
          <w:rFonts w:hint="eastAsia" w:ascii="宋体" w:hAnsi="宋体" w:eastAsia="宋体" w:cs="宋体"/>
        </w:rPr>
      </w:pPr>
      <w:r>
        <w:rPr>
          <w:rFonts w:hint="eastAsia" w:ascii="宋体" w:hAnsi="宋体" w:eastAsia="宋体" w:cs="宋体"/>
        </w:rPr>
        <w:t>自然光线不足，能见度差。</w:t>
      </w:r>
    </w:p>
    <w:p w14:paraId="79217F33">
      <w:pPr>
        <w:keepNext w:val="0"/>
        <w:keepLines w:val="0"/>
        <w:pageBreakBefore w:val="0"/>
        <w:widowControl w:val="0"/>
        <w:numPr>
          <w:ilvl w:val="0"/>
          <w:numId w:val="55"/>
        </w:numPr>
        <w:kinsoku/>
        <w:wordWrap/>
        <w:overflowPunct/>
        <w:topLinePunct/>
        <w:autoSpaceDE/>
        <w:autoSpaceDN/>
        <w:bidi w:val="0"/>
        <w:adjustRightInd w:val="0"/>
        <w:snapToGrid/>
        <w:ind w:left="0" w:leftChars="0" w:firstLine="560" w:firstLineChars="200"/>
        <w:jc w:val="left"/>
        <w:textAlignment w:val="auto"/>
        <w:rPr>
          <w:rFonts w:hint="eastAsia" w:ascii="宋体" w:hAnsi="宋体" w:eastAsia="宋体" w:cs="宋体"/>
        </w:rPr>
      </w:pPr>
      <w:r>
        <w:rPr>
          <w:rFonts w:hint="eastAsia" w:ascii="宋体" w:hAnsi="宋体" w:eastAsia="宋体" w:cs="宋体"/>
        </w:rPr>
        <w:t>违章作业。</w:t>
      </w:r>
    </w:p>
    <w:p w14:paraId="3CADFC49">
      <w:pPr>
        <w:keepNext w:val="0"/>
        <w:keepLines w:val="0"/>
        <w:pageBreakBefore w:val="0"/>
        <w:widowControl w:val="0"/>
        <w:numPr>
          <w:ilvl w:val="0"/>
          <w:numId w:val="55"/>
        </w:numPr>
        <w:kinsoku/>
        <w:wordWrap/>
        <w:overflowPunct/>
        <w:topLinePunct/>
        <w:autoSpaceDE/>
        <w:autoSpaceDN/>
        <w:bidi w:val="0"/>
        <w:adjustRightInd w:val="0"/>
        <w:snapToGrid/>
        <w:ind w:left="0" w:leftChars="0" w:firstLine="560" w:firstLineChars="200"/>
        <w:jc w:val="left"/>
        <w:textAlignment w:val="auto"/>
        <w:rPr>
          <w:rFonts w:hint="eastAsia" w:ascii="宋体" w:hAnsi="宋体" w:eastAsia="宋体" w:cs="宋体"/>
        </w:rPr>
      </w:pPr>
      <w:r>
        <w:rPr>
          <w:rFonts w:hint="eastAsia" w:ascii="宋体" w:hAnsi="宋体" w:eastAsia="宋体" w:cs="宋体"/>
        </w:rPr>
        <w:t>疏忽大意，疲劳过度或酒后作业。</w:t>
      </w:r>
    </w:p>
    <w:p w14:paraId="2B54757F">
      <w:pPr>
        <w:keepNext w:val="0"/>
        <w:keepLines w:val="0"/>
        <w:pageBreakBefore w:val="0"/>
        <w:widowControl w:val="0"/>
        <w:numPr>
          <w:ilvl w:val="0"/>
          <w:numId w:val="55"/>
        </w:numPr>
        <w:kinsoku/>
        <w:wordWrap/>
        <w:overflowPunct/>
        <w:topLinePunct/>
        <w:autoSpaceDE/>
        <w:autoSpaceDN/>
        <w:bidi w:val="0"/>
        <w:adjustRightInd w:val="0"/>
        <w:snapToGrid/>
        <w:ind w:left="0" w:leftChars="0" w:firstLine="560" w:firstLineChars="200"/>
        <w:jc w:val="left"/>
        <w:textAlignment w:val="auto"/>
        <w:rPr>
          <w:rFonts w:hint="eastAsia" w:ascii="宋体" w:hAnsi="宋体" w:eastAsia="宋体" w:cs="宋体"/>
        </w:rPr>
      </w:pPr>
      <w:r>
        <w:rPr>
          <w:rFonts w:hint="eastAsia" w:ascii="宋体" w:hAnsi="宋体" w:eastAsia="宋体" w:cs="宋体"/>
        </w:rPr>
        <w:t>高处作业安全管理不到位，如未严格进行审批、未配备监护人员等。</w:t>
      </w:r>
    </w:p>
    <w:p w14:paraId="4C931202">
      <w:pPr>
        <w:keepNext w:val="0"/>
        <w:keepLines w:val="0"/>
        <w:pageBreakBefore w:val="0"/>
        <w:widowControl w:val="0"/>
        <w:numPr>
          <w:ilvl w:val="0"/>
          <w:numId w:val="55"/>
        </w:numPr>
        <w:kinsoku/>
        <w:wordWrap/>
        <w:overflowPunct/>
        <w:topLinePunct/>
        <w:autoSpaceDE/>
        <w:autoSpaceDN/>
        <w:bidi w:val="0"/>
        <w:adjustRightInd w:val="0"/>
        <w:snapToGrid/>
        <w:ind w:left="0" w:leftChars="0" w:firstLine="560" w:firstLineChars="200"/>
        <w:jc w:val="left"/>
        <w:textAlignment w:val="auto"/>
        <w:rPr>
          <w:rFonts w:hint="eastAsia" w:ascii="宋体" w:hAnsi="宋体" w:eastAsia="宋体" w:cs="宋体"/>
        </w:rPr>
      </w:pPr>
      <w:r>
        <w:rPr>
          <w:rFonts w:hint="eastAsia" w:ascii="宋体" w:hAnsi="宋体" w:eastAsia="宋体" w:cs="宋体"/>
        </w:rPr>
        <w:t>在雷暴雨、浓雾、六级以上大风等恶劣天气进行室外高处作业。</w:t>
      </w:r>
    </w:p>
    <w:p w14:paraId="27725F50">
      <w:pPr>
        <w:keepNext w:val="0"/>
        <w:keepLines w:val="0"/>
        <w:pageBreakBefore w:val="0"/>
        <w:widowControl w:val="0"/>
        <w:numPr>
          <w:ilvl w:val="0"/>
          <w:numId w:val="55"/>
        </w:numPr>
        <w:kinsoku/>
        <w:wordWrap/>
        <w:overflowPunct/>
        <w:topLinePunct/>
        <w:autoSpaceDE/>
        <w:autoSpaceDN/>
        <w:bidi w:val="0"/>
        <w:adjustRightInd w:val="0"/>
        <w:snapToGrid/>
        <w:ind w:left="0" w:leftChars="0" w:firstLine="560" w:firstLineChars="200"/>
        <w:jc w:val="left"/>
        <w:textAlignment w:val="auto"/>
        <w:rPr>
          <w:rFonts w:hint="eastAsia" w:ascii="宋体" w:hAnsi="宋体" w:eastAsia="宋体" w:cs="Times New Roman"/>
        </w:rPr>
      </w:pPr>
      <w:r>
        <w:rPr>
          <w:rFonts w:hint="eastAsia" w:ascii="宋体" w:hAnsi="宋体" w:eastAsia="宋体" w:cs="宋体"/>
        </w:rPr>
        <w:t>其他可能导致事故的原因。</w:t>
      </w:r>
    </w:p>
    <w:p w14:paraId="7E9202FC">
      <w:pPr>
        <w:pStyle w:val="4"/>
        <w:keepNext w:val="0"/>
        <w:keepLines w:val="0"/>
        <w:pageBreakBefore w:val="0"/>
        <w:widowControl w:val="0"/>
        <w:kinsoku/>
        <w:bidi w:val="0"/>
        <w:rPr>
          <w:rFonts w:hint="eastAsia"/>
        </w:rPr>
      </w:pPr>
      <w:bookmarkStart w:id="626" w:name="_Toc19589"/>
      <w:bookmarkStart w:id="627" w:name="_Toc9707"/>
      <w:bookmarkStart w:id="628" w:name="_Toc25737"/>
      <w:r>
        <w:rPr>
          <w:rFonts w:hint="eastAsia"/>
          <w:lang w:val="en-US" w:eastAsia="zh-CN"/>
        </w:rPr>
        <w:t>坍塌</w:t>
      </w:r>
      <w:bookmarkEnd w:id="626"/>
    </w:p>
    <w:p w14:paraId="407D5E62">
      <w:pPr>
        <w:keepNext w:val="0"/>
        <w:keepLines w:val="0"/>
        <w:pageBreakBefore w:val="0"/>
        <w:widowControl w:val="0"/>
        <w:numPr>
          <w:ilvl w:val="0"/>
          <w:numId w:val="56"/>
        </w:numPr>
        <w:kinsoku/>
        <w:wordWrap/>
        <w:overflowPunct/>
        <w:topLinePunct/>
        <w:autoSpaceDE/>
        <w:autoSpaceDN/>
        <w:bidi w:val="0"/>
        <w:adjustRightInd w:val="0"/>
        <w:snapToGrid/>
        <w:ind w:left="0" w:leftChars="0" w:firstLine="560" w:firstLineChars="200"/>
        <w:jc w:val="left"/>
        <w:textAlignment w:val="auto"/>
        <w:rPr>
          <w:rFonts w:ascii="宋体" w:hAnsi="宋体" w:eastAsia="宋体" w:cs="Times New Roman"/>
        </w:rPr>
      </w:pPr>
      <w:r>
        <w:rPr>
          <w:rFonts w:ascii="宋体" w:hAnsi="宋体" w:eastAsia="宋体" w:cs="Times New Roman"/>
        </w:rPr>
        <w:t>厂内的各物料堆场、仓库等处的物料若堆放不稳，发生物料坍塌，对设备及人员造成伤害；</w:t>
      </w:r>
    </w:p>
    <w:p w14:paraId="379403DD">
      <w:pPr>
        <w:keepNext w:val="0"/>
        <w:keepLines w:val="0"/>
        <w:pageBreakBefore w:val="0"/>
        <w:widowControl w:val="0"/>
        <w:numPr>
          <w:ilvl w:val="0"/>
          <w:numId w:val="56"/>
        </w:numPr>
        <w:kinsoku/>
        <w:wordWrap/>
        <w:overflowPunct/>
        <w:topLinePunct/>
        <w:autoSpaceDE/>
        <w:autoSpaceDN/>
        <w:bidi w:val="0"/>
        <w:adjustRightInd w:val="0"/>
        <w:snapToGrid/>
        <w:ind w:left="0" w:leftChars="0" w:firstLine="560" w:firstLineChars="200"/>
        <w:jc w:val="left"/>
        <w:textAlignment w:val="auto"/>
        <w:rPr>
          <w:rFonts w:ascii="宋体" w:hAnsi="宋体" w:eastAsia="宋体" w:cs="Times New Roman"/>
        </w:rPr>
      </w:pPr>
      <w:r>
        <w:rPr>
          <w:rFonts w:ascii="宋体" w:hAnsi="宋体" w:eastAsia="宋体" w:cs="Times New Roman"/>
        </w:rPr>
        <w:t>检维修过程需搭设脚手架时，若搭设人员不按规范要求搭设、使用和拆除，脚手架材质不符合要求，使用前未进行必要的检查等，有可能造成脚手架坍塌；</w:t>
      </w:r>
    </w:p>
    <w:p w14:paraId="605A2610">
      <w:pPr>
        <w:keepNext w:val="0"/>
        <w:keepLines w:val="0"/>
        <w:pageBreakBefore w:val="0"/>
        <w:widowControl w:val="0"/>
        <w:numPr>
          <w:ilvl w:val="0"/>
          <w:numId w:val="56"/>
        </w:numPr>
        <w:kinsoku/>
        <w:wordWrap/>
        <w:overflowPunct/>
        <w:topLinePunct/>
        <w:autoSpaceDE/>
        <w:autoSpaceDN/>
        <w:bidi w:val="0"/>
        <w:adjustRightInd w:val="0"/>
        <w:snapToGrid/>
        <w:ind w:left="0" w:leftChars="0" w:firstLine="560" w:firstLineChars="200"/>
        <w:jc w:val="left"/>
        <w:textAlignment w:val="auto"/>
        <w:rPr>
          <w:rFonts w:ascii="宋体" w:hAnsi="宋体" w:eastAsia="宋体" w:cs="Times New Roman"/>
        </w:rPr>
      </w:pPr>
      <w:r>
        <w:rPr>
          <w:rFonts w:ascii="宋体" w:hAnsi="宋体" w:eastAsia="宋体" w:cs="Times New Roman"/>
        </w:rPr>
        <w:t>高空作业平台防护栏未定期进行防腐保养；</w:t>
      </w:r>
    </w:p>
    <w:p w14:paraId="47AC9114">
      <w:pPr>
        <w:keepNext w:val="0"/>
        <w:keepLines w:val="0"/>
        <w:pageBreakBefore w:val="0"/>
        <w:widowControl w:val="0"/>
        <w:numPr>
          <w:ilvl w:val="0"/>
          <w:numId w:val="56"/>
        </w:numPr>
        <w:kinsoku/>
        <w:wordWrap/>
        <w:overflowPunct/>
        <w:topLinePunct/>
        <w:autoSpaceDE/>
        <w:autoSpaceDN/>
        <w:bidi w:val="0"/>
        <w:adjustRightInd w:val="0"/>
        <w:snapToGrid/>
        <w:ind w:left="0" w:leftChars="0" w:firstLine="560" w:firstLineChars="200"/>
        <w:jc w:val="left"/>
        <w:textAlignment w:val="auto"/>
        <w:rPr>
          <w:rFonts w:ascii="宋体" w:hAnsi="宋体" w:eastAsia="宋体" w:cs="Times New Roman"/>
        </w:rPr>
      </w:pPr>
      <w:r>
        <w:rPr>
          <w:rFonts w:ascii="宋体" w:hAnsi="宋体" w:eastAsia="宋体" w:cs="Times New Roman"/>
        </w:rPr>
        <w:t>各物料卸车、装车场所，如未设安全警示标识、停车限位器，未对厂区车辆进行限速标识，车辆过快可能撞击建筑物造成建筑物坍塌的事故；</w:t>
      </w:r>
    </w:p>
    <w:p w14:paraId="3EF12998">
      <w:pPr>
        <w:keepNext w:val="0"/>
        <w:keepLines w:val="0"/>
        <w:pageBreakBefore w:val="0"/>
        <w:widowControl w:val="0"/>
        <w:numPr>
          <w:ilvl w:val="0"/>
          <w:numId w:val="56"/>
        </w:numPr>
        <w:kinsoku/>
        <w:wordWrap/>
        <w:overflowPunct/>
        <w:topLinePunct/>
        <w:autoSpaceDE/>
        <w:autoSpaceDN/>
        <w:bidi w:val="0"/>
        <w:adjustRightInd w:val="0"/>
        <w:snapToGrid/>
        <w:ind w:left="0" w:leftChars="0" w:firstLine="560" w:firstLineChars="200"/>
        <w:jc w:val="left"/>
        <w:textAlignment w:val="auto"/>
        <w:rPr>
          <w:rFonts w:ascii="宋体" w:hAnsi="宋体" w:eastAsia="宋体" w:cs="Times New Roman"/>
        </w:rPr>
      </w:pPr>
      <w:r>
        <w:rPr>
          <w:rFonts w:ascii="宋体" w:hAnsi="宋体" w:eastAsia="宋体" w:cs="Times New Roman"/>
        </w:rPr>
        <w:t>建构筑物如使用到一定年限未进行安全性检测，年久失修，可能造成建构筑物坍塌。</w:t>
      </w:r>
    </w:p>
    <w:bookmarkEnd w:id="627"/>
    <w:bookmarkEnd w:id="628"/>
    <w:p w14:paraId="36354A71">
      <w:pPr>
        <w:pStyle w:val="4"/>
        <w:keepNext w:val="0"/>
        <w:keepLines w:val="0"/>
        <w:pageBreakBefore w:val="0"/>
        <w:widowControl w:val="0"/>
        <w:kinsoku/>
        <w:bidi w:val="0"/>
        <w:rPr>
          <w:rFonts w:hint="eastAsia"/>
        </w:rPr>
      </w:pPr>
      <w:bookmarkStart w:id="629" w:name="_Toc4547"/>
      <w:bookmarkStart w:id="630" w:name="_Toc28145"/>
      <w:r>
        <w:rPr>
          <w:rFonts w:hint="eastAsia"/>
        </w:rPr>
        <w:t>容器爆炸</w:t>
      </w:r>
      <w:bookmarkEnd w:id="621"/>
      <w:bookmarkEnd w:id="622"/>
      <w:bookmarkEnd w:id="623"/>
      <w:bookmarkEnd w:id="624"/>
      <w:bookmarkEnd w:id="625"/>
      <w:bookmarkEnd w:id="629"/>
      <w:bookmarkEnd w:id="630"/>
    </w:p>
    <w:p w14:paraId="2E603DD0">
      <w:pPr>
        <w:keepNext w:val="0"/>
        <w:keepLines w:val="0"/>
        <w:pageBreakBefore w:val="0"/>
        <w:widowControl w:val="0"/>
        <w:kinsoku/>
        <w:wordWrap/>
        <w:overflowPunct/>
        <w:topLinePunct w:val="0"/>
        <w:autoSpaceDE/>
        <w:autoSpaceDN/>
        <w:bidi w:val="0"/>
        <w:snapToGrid/>
        <w:textAlignment w:val="auto"/>
        <w:rPr>
          <w:rFonts w:hint="eastAsia" w:ascii="宋体" w:hAnsi="宋体" w:eastAsia="宋体" w:cs="宋体"/>
          <w:lang w:val="en-US" w:eastAsia="zh-CN"/>
        </w:rPr>
      </w:pPr>
      <w:r>
        <w:rPr>
          <w:rFonts w:hint="eastAsia" w:ascii="宋体" w:hAnsi="宋体" w:eastAsia="宋体" w:cs="宋体"/>
          <w:lang w:val="en-US" w:eastAsia="zh-CN"/>
        </w:rPr>
        <w:t>容器爆炸是压力容器破裂引起的气体爆炸，即物理性爆炸，包括容器内盛装的可燃性液化气在容器破裂后，立即蒸发，与周围的空气混合形成爆炸性气体混合物，遇到火源时产生的化学爆炸，也称容器的二次爆炸。压力容器在使用过程中，若超温、超压、安全装置失灵等可能发生容器爆炸事故。</w:t>
      </w:r>
    </w:p>
    <w:p w14:paraId="015E99A7">
      <w:pPr>
        <w:keepNext w:val="0"/>
        <w:keepLines w:val="0"/>
        <w:pageBreakBefore w:val="0"/>
        <w:widowControl w:val="0"/>
        <w:kinsoku/>
        <w:wordWrap/>
        <w:overflowPunct/>
        <w:topLinePunct w:val="0"/>
        <w:autoSpaceDE/>
        <w:autoSpaceDN/>
        <w:bidi w:val="0"/>
        <w:snapToGrid/>
        <w:textAlignment w:val="auto"/>
        <w:rPr>
          <w:rFonts w:hint="eastAsia" w:ascii="宋体" w:hAnsi="宋体" w:eastAsia="宋体" w:cs="宋体"/>
        </w:rPr>
      </w:pPr>
      <w:r>
        <w:rPr>
          <w:rFonts w:hint="eastAsia" w:ascii="宋体" w:hAnsi="宋体" w:eastAsia="宋体" w:cs="宋体"/>
          <w:lang w:val="en-GB"/>
        </w:rPr>
        <w:t>公司空压机储气罐</w:t>
      </w:r>
      <w:r>
        <w:rPr>
          <w:rFonts w:hint="eastAsia" w:ascii="宋体" w:hAnsi="宋体" w:eastAsia="宋体" w:cs="宋体"/>
          <w:lang w:val="en-GB" w:eastAsia="zh-CN"/>
        </w:rPr>
        <w:t>、</w:t>
      </w:r>
      <w:r>
        <w:rPr>
          <w:rFonts w:hint="eastAsia" w:ascii="宋体" w:hAnsi="宋体" w:eastAsia="宋体" w:cs="宋体"/>
          <w:lang w:val="en-GB"/>
        </w:rPr>
        <w:t>气流磨压缩空气储罐为压力容器，输送压缩空气的管道为压力管道，</w:t>
      </w:r>
      <w:r>
        <w:rPr>
          <w:rFonts w:hint="eastAsia" w:ascii="宋体" w:hAnsi="宋体" w:eastAsia="宋体" w:cs="宋体"/>
        </w:rPr>
        <w:t>检维修</w:t>
      </w:r>
      <w:r>
        <w:rPr>
          <w:rFonts w:hint="eastAsia" w:ascii="宋体" w:hAnsi="宋体" w:eastAsia="宋体" w:cs="宋体"/>
          <w:lang w:eastAsia="zh-CN"/>
        </w:rPr>
        <w:t>气焊（割）</w:t>
      </w:r>
      <w:r>
        <w:rPr>
          <w:rFonts w:hint="eastAsia" w:ascii="宋体" w:hAnsi="宋体" w:eastAsia="宋体" w:cs="宋体"/>
        </w:rPr>
        <w:t>用的</w:t>
      </w:r>
      <w:r>
        <w:rPr>
          <w:rFonts w:hint="eastAsia" w:ascii="宋体" w:hAnsi="宋体" w:eastAsia="宋体" w:cs="宋体"/>
          <w:lang w:eastAsia="zh-CN"/>
        </w:rPr>
        <w:t>溶解乙炔气瓶、氧气瓶属移动式压力容器</w:t>
      </w:r>
      <w:r>
        <w:rPr>
          <w:rFonts w:hint="eastAsia" w:ascii="宋体" w:hAnsi="宋体" w:eastAsia="宋体" w:cs="宋体"/>
          <w:lang w:val="en-US" w:eastAsia="zh-CN"/>
        </w:rPr>
        <w:t>。发生容器爆炸事故</w:t>
      </w:r>
      <w:r>
        <w:rPr>
          <w:rFonts w:hint="eastAsia" w:ascii="宋体" w:hAnsi="宋体" w:eastAsia="宋体" w:cs="宋体"/>
        </w:rPr>
        <w:t>的主要原因有：</w:t>
      </w:r>
    </w:p>
    <w:p w14:paraId="23B8D2D5">
      <w:pPr>
        <w:keepNext w:val="0"/>
        <w:keepLines w:val="0"/>
        <w:pageBreakBefore w:val="0"/>
        <w:widowControl w:val="0"/>
        <w:numPr>
          <w:ilvl w:val="0"/>
          <w:numId w:val="57"/>
        </w:numPr>
        <w:kinsoku/>
        <w:wordWrap/>
        <w:overflowPunct/>
        <w:topLinePunct w:val="0"/>
        <w:autoSpaceDE/>
        <w:autoSpaceDN/>
        <w:bidi w:val="0"/>
        <w:adjustRightInd/>
        <w:snapToGrid/>
        <w:ind w:left="0"/>
        <w:textAlignment w:val="auto"/>
        <w:rPr>
          <w:rFonts w:hint="eastAsia" w:ascii="宋体" w:hAnsi="宋体" w:eastAsia="宋体" w:cs="宋体"/>
          <w:lang w:eastAsia="zh-CN"/>
        </w:rPr>
      </w:pPr>
      <w:r>
        <w:rPr>
          <w:rFonts w:hint="eastAsia" w:ascii="宋体" w:hAnsi="宋体" w:eastAsia="宋体" w:cs="宋体"/>
          <w:lang w:val="en-GB"/>
        </w:rPr>
        <w:t>压力容器、压力管道未设置安全阀、压力表等安全附件，或安全阀、压力表出现故障，压力升高时，不能及时反映异常情况和及时泄压，压力过大造成压力容器破裂或爆炸。</w:t>
      </w:r>
    </w:p>
    <w:p w14:paraId="32D61A05">
      <w:pPr>
        <w:keepNext w:val="0"/>
        <w:keepLines w:val="0"/>
        <w:pageBreakBefore w:val="0"/>
        <w:widowControl w:val="0"/>
        <w:numPr>
          <w:ilvl w:val="0"/>
          <w:numId w:val="57"/>
        </w:numPr>
        <w:kinsoku/>
        <w:wordWrap/>
        <w:overflowPunct/>
        <w:topLinePunct w:val="0"/>
        <w:autoSpaceDE/>
        <w:autoSpaceDN/>
        <w:bidi w:val="0"/>
        <w:adjustRightInd/>
        <w:snapToGrid/>
        <w:ind w:left="0"/>
        <w:textAlignment w:val="auto"/>
        <w:rPr>
          <w:rFonts w:hint="eastAsia" w:ascii="宋体" w:hAnsi="宋体" w:eastAsia="宋体" w:cs="宋体"/>
          <w:lang w:eastAsia="zh-CN"/>
        </w:rPr>
      </w:pPr>
      <w:r>
        <w:rPr>
          <w:rFonts w:hint="eastAsia" w:ascii="宋体" w:hAnsi="宋体" w:eastAsia="宋体" w:cs="宋体"/>
        </w:rPr>
        <w:t>若储气罐设计结构不合理，用材不当，制造质量差，局部</w:t>
      </w:r>
      <w:r>
        <w:rPr>
          <w:rFonts w:hint="eastAsia" w:ascii="宋体" w:hAnsi="宋体" w:eastAsia="宋体" w:cs="宋体"/>
          <w:lang w:eastAsia="zh-CN"/>
        </w:rPr>
        <w:t>存在</w:t>
      </w:r>
      <w:r>
        <w:rPr>
          <w:rFonts w:hint="eastAsia" w:ascii="宋体" w:hAnsi="宋体" w:eastAsia="宋体" w:cs="宋体"/>
        </w:rPr>
        <w:t>壁厚不均匀，存在气孔、裂纹、严重锈蚀等缺陷，即使储气罐仍在额定压力下工作，因其局部强度不够仍然会发生爆炸</w:t>
      </w:r>
      <w:r>
        <w:rPr>
          <w:rFonts w:hint="eastAsia" w:ascii="宋体" w:hAnsi="宋体" w:eastAsia="宋体" w:cs="宋体"/>
          <w:lang w:eastAsia="zh-CN"/>
        </w:rPr>
        <w:t>。</w:t>
      </w:r>
    </w:p>
    <w:p w14:paraId="3ED2841F">
      <w:pPr>
        <w:keepNext w:val="0"/>
        <w:keepLines w:val="0"/>
        <w:pageBreakBefore w:val="0"/>
        <w:widowControl w:val="0"/>
        <w:numPr>
          <w:ilvl w:val="0"/>
          <w:numId w:val="57"/>
        </w:numPr>
        <w:kinsoku/>
        <w:wordWrap/>
        <w:overflowPunct/>
        <w:topLinePunct w:val="0"/>
        <w:autoSpaceDE/>
        <w:autoSpaceDN/>
        <w:bidi w:val="0"/>
        <w:adjustRightInd/>
        <w:snapToGrid/>
        <w:ind w:left="0"/>
        <w:textAlignment w:val="auto"/>
        <w:rPr>
          <w:rFonts w:hint="eastAsia" w:ascii="宋体" w:hAnsi="宋体" w:eastAsia="宋体" w:cs="宋体"/>
          <w:lang w:val="en-GB"/>
        </w:rPr>
      </w:pPr>
      <w:bookmarkStart w:id="631" w:name="_Toc2651"/>
      <w:r>
        <w:rPr>
          <w:rFonts w:hint="eastAsia" w:ascii="宋体" w:hAnsi="宋体" w:eastAsia="宋体" w:cs="宋体"/>
          <w:lang w:val="en-GB"/>
        </w:rPr>
        <w:t>压力容器、压力管道超压运行引起爆炸事故。</w:t>
      </w:r>
      <w:bookmarkEnd w:id="631"/>
      <w:r>
        <w:rPr>
          <w:rFonts w:hint="eastAsia" w:ascii="宋体" w:hAnsi="宋体" w:eastAsia="宋体" w:cs="宋体"/>
          <w:lang w:val="en-GB"/>
        </w:rPr>
        <w:t>压力容器、压力管道在使用中</w:t>
      </w:r>
      <w:r>
        <w:rPr>
          <w:rFonts w:hint="eastAsia" w:ascii="宋体" w:hAnsi="宋体" w:eastAsia="宋体" w:cs="宋体"/>
          <w:lang w:val="en-US" w:eastAsia="zh-CN"/>
        </w:rPr>
        <w:t>超压，导致</w:t>
      </w:r>
      <w:r>
        <w:rPr>
          <w:rFonts w:hint="eastAsia" w:ascii="宋体" w:hAnsi="宋体" w:eastAsia="宋体" w:cs="宋体"/>
          <w:lang w:val="en-GB"/>
        </w:rPr>
        <w:t>受压部件发生破坏，设备中介质蓄积的能量迅速释放，内压瞬间降至外界大气压力以及压力管道泄漏而引发爆炸事故。</w:t>
      </w:r>
    </w:p>
    <w:p w14:paraId="7B3CF8B6">
      <w:pPr>
        <w:keepNext w:val="0"/>
        <w:keepLines w:val="0"/>
        <w:pageBreakBefore w:val="0"/>
        <w:widowControl w:val="0"/>
        <w:numPr>
          <w:ilvl w:val="0"/>
          <w:numId w:val="57"/>
        </w:numPr>
        <w:kinsoku/>
        <w:wordWrap/>
        <w:overflowPunct/>
        <w:topLinePunct w:val="0"/>
        <w:autoSpaceDE/>
        <w:autoSpaceDN/>
        <w:bidi w:val="0"/>
        <w:adjustRightInd/>
        <w:snapToGrid/>
        <w:ind w:left="0"/>
        <w:textAlignment w:val="auto"/>
        <w:rPr>
          <w:rFonts w:hint="eastAsia" w:ascii="宋体" w:hAnsi="宋体" w:eastAsia="宋体" w:cs="宋体"/>
        </w:rPr>
      </w:pPr>
      <w:r>
        <w:rPr>
          <w:rFonts w:hint="eastAsia" w:ascii="宋体" w:hAnsi="宋体" w:eastAsia="宋体" w:cs="宋体"/>
        </w:rPr>
        <w:t>检修用的氧气瓶、乙炔瓶长时间在太阳下</w:t>
      </w:r>
      <w:r>
        <w:rPr>
          <w:rFonts w:hint="eastAsia" w:ascii="宋体" w:hAnsi="宋体" w:eastAsia="宋体" w:cs="宋体"/>
          <w:lang w:eastAsia="zh-CN"/>
        </w:rPr>
        <w:t>暴晒</w:t>
      </w:r>
      <w:r>
        <w:rPr>
          <w:rFonts w:hint="eastAsia" w:ascii="宋体" w:hAnsi="宋体" w:eastAsia="宋体" w:cs="宋体"/>
        </w:rPr>
        <w:t>或长时间在高温热源附近可能会发生爆炸</w:t>
      </w:r>
      <w:r>
        <w:rPr>
          <w:rFonts w:hint="eastAsia" w:ascii="宋体" w:hAnsi="宋体" w:eastAsia="宋体" w:cs="宋体"/>
          <w:lang w:eastAsia="zh-CN"/>
        </w:rPr>
        <w:t>。</w:t>
      </w:r>
    </w:p>
    <w:p w14:paraId="268DDAB8">
      <w:pPr>
        <w:keepNext w:val="0"/>
        <w:keepLines w:val="0"/>
        <w:pageBreakBefore w:val="0"/>
        <w:widowControl w:val="0"/>
        <w:numPr>
          <w:ilvl w:val="0"/>
          <w:numId w:val="57"/>
        </w:numPr>
        <w:kinsoku/>
        <w:wordWrap/>
        <w:overflowPunct/>
        <w:topLinePunct w:val="0"/>
        <w:autoSpaceDE/>
        <w:autoSpaceDN/>
        <w:bidi w:val="0"/>
        <w:adjustRightInd/>
        <w:snapToGrid/>
        <w:ind w:left="0"/>
        <w:textAlignment w:val="auto"/>
        <w:rPr>
          <w:rFonts w:hint="eastAsia" w:asciiTheme="minorEastAsia" w:hAnsiTheme="minorEastAsia" w:eastAsiaTheme="minorEastAsia" w:cstheme="minorEastAsia"/>
        </w:rPr>
      </w:pPr>
      <w:r>
        <w:rPr>
          <w:rFonts w:hint="eastAsia" w:ascii="宋体" w:hAnsi="宋体" w:eastAsia="宋体" w:cs="宋体"/>
        </w:rPr>
        <w:t>氧气</w:t>
      </w:r>
      <w:r>
        <w:rPr>
          <w:rFonts w:hint="eastAsia" w:ascii="宋体" w:hAnsi="宋体" w:eastAsia="宋体" w:cs="宋体"/>
          <w:lang w:val="en-US" w:eastAsia="zh-CN"/>
        </w:rPr>
        <w:t>瓶</w:t>
      </w:r>
      <w:r>
        <w:rPr>
          <w:rFonts w:hint="eastAsia" w:ascii="宋体" w:hAnsi="宋体" w:eastAsia="宋体" w:cs="宋体"/>
        </w:rPr>
        <w:t>、乙炔瓶在使用、装卸</w:t>
      </w:r>
      <w:r>
        <w:rPr>
          <w:rFonts w:hint="eastAsia" w:ascii="宋体" w:hAnsi="宋体" w:eastAsia="宋体" w:cs="宋体"/>
          <w:lang w:val="en-US" w:eastAsia="zh-CN"/>
        </w:rPr>
        <w:t>过程</w:t>
      </w:r>
      <w:r>
        <w:rPr>
          <w:rFonts w:hint="eastAsia" w:ascii="宋体" w:hAnsi="宋体" w:eastAsia="宋体" w:cs="宋体"/>
        </w:rPr>
        <w:t>中无防倾倒装置</w:t>
      </w:r>
      <w:r>
        <w:rPr>
          <w:rFonts w:hint="eastAsia" w:ascii="宋体" w:hAnsi="宋体" w:eastAsia="宋体" w:cs="宋体"/>
          <w:lang w:val="en-US" w:eastAsia="zh-CN"/>
        </w:rPr>
        <w:t>时气瓶</w:t>
      </w:r>
      <w:r>
        <w:rPr>
          <w:rFonts w:hint="eastAsia" w:ascii="宋体" w:hAnsi="宋体" w:eastAsia="宋体" w:cs="宋体"/>
        </w:rPr>
        <w:t>可能</w:t>
      </w:r>
      <w:r>
        <w:rPr>
          <w:rFonts w:hint="eastAsia" w:ascii="宋体" w:hAnsi="宋体" w:eastAsia="宋体" w:cs="宋体"/>
          <w:lang w:val="en-US" w:eastAsia="zh-CN"/>
        </w:rPr>
        <w:t>倾倒碰撞</w:t>
      </w:r>
      <w:r>
        <w:rPr>
          <w:rFonts w:hint="eastAsia" w:ascii="宋体" w:hAnsi="宋体" w:eastAsia="宋体" w:cs="宋体"/>
        </w:rPr>
        <w:t>发生爆炸事故</w:t>
      </w:r>
      <w:r>
        <w:rPr>
          <w:rFonts w:hint="eastAsia" w:ascii="宋体" w:hAnsi="宋体" w:eastAsia="宋体" w:cs="宋体"/>
          <w:lang w:eastAsia="zh-CN"/>
        </w:rPr>
        <w:t>。</w:t>
      </w:r>
      <w:bookmarkStart w:id="632" w:name="_Toc8232"/>
      <w:bookmarkStart w:id="633" w:name="_Toc23328"/>
      <w:bookmarkStart w:id="634" w:name="_Toc18275"/>
    </w:p>
    <w:bookmarkEnd w:id="632"/>
    <w:bookmarkEnd w:id="633"/>
    <w:bookmarkEnd w:id="634"/>
    <w:p w14:paraId="5ED816A7">
      <w:pPr>
        <w:pStyle w:val="4"/>
        <w:keepNext w:val="0"/>
        <w:keepLines w:val="0"/>
        <w:pageBreakBefore w:val="0"/>
        <w:widowControl w:val="0"/>
        <w:kinsoku/>
        <w:bidi w:val="0"/>
      </w:pPr>
      <w:bookmarkStart w:id="635" w:name="_Toc4417"/>
      <w:bookmarkStart w:id="636" w:name="_Toc3131"/>
      <w:bookmarkStart w:id="637" w:name="_Toc8334"/>
      <w:bookmarkStart w:id="638" w:name="_Toc4455"/>
      <w:bookmarkStart w:id="639" w:name="_Toc20559"/>
      <w:r>
        <w:rPr>
          <w:rFonts w:hint="eastAsia"/>
          <w:lang w:val="en-US" w:eastAsia="zh-CN"/>
        </w:rPr>
        <w:t>其他爆炸</w:t>
      </w:r>
      <w:bookmarkEnd w:id="635"/>
    </w:p>
    <w:p w14:paraId="73CFBAFD">
      <w:pPr>
        <w:keepNext w:val="0"/>
        <w:keepLines w:val="0"/>
        <w:pageBreakBefore w:val="0"/>
        <w:widowControl w:val="0"/>
        <w:numPr>
          <w:ilvl w:val="0"/>
          <w:numId w:val="58"/>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eastAsia="zh-CN"/>
        </w:rPr>
      </w:pPr>
      <w:r>
        <w:rPr>
          <w:rFonts w:hint="eastAsia" w:ascii="宋体" w:hAnsi="宋体" w:eastAsia="宋体" w:cs="宋体"/>
          <w:lang w:val="en-US" w:eastAsia="zh-CN"/>
        </w:rPr>
        <w:t>电弧炉爆炸</w:t>
      </w:r>
      <w:r>
        <w:rPr>
          <w:rFonts w:hint="eastAsia" w:ascii="宋体" w:hAnsi="宋体" w:eastAsia="宋体" w:cs="宋体"/>
          <w:lang w:eastAsia="zh-CN"/>
        </w:rPr>
        <w:t>危险性分析</w:t>
      </w:r>
    </w:p>
    <w:p w14:paraId="24E66663">
      <w:pPr>
        <w:keepNext w:val="0"/>
        <w:keepLines w:val="0"/>
        <w:pageBreakBefore w:val="0"/>
        <w:widowControl w:val="0"/>
        <w:numPr>
          <w:ilvl w:val="0"/>
          <w:numId w:val="59"/>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电弧炉的冷却系统若出现故障，如冷却水管破裂、冷却水流量不足或循环不畅，会导致炉体过热；当发生炉盖大量漏水，冷却水遇到炉内高温</w:t>
      </w:r>
      <w:r>
        <w:rPr>
          <w:rFonts w:hint="eastAsia" w:ascii="宋体" w:hAnsi="宋体" w:eastAsia="宋体" w:cs="宋体"/>
        </w:rPr>
        <w:t>熔融氧化锆</w:t>
      </w:r>
      <w:r>
        <w:rPr>
          <w:rFonts w:hint="eastAsia" w:ascii="宋体" w:hAnsi="宋体" w:eastAsia="宋体" w:cs="宋体"/>
          <w:color w:val="000000"/>
          <w:kern w:val="0"/>
          <w:sz w:val="28"/>
          <w:szCs w:val="28"/>
          <w:lang w:val="en-US" w:eastAsia="zh-CN" w:bidi="ar"/>
        </w:rPr>
        <w:t>，或者冷却水在炉内受高温形成蒸汽，造成炉内压力升高，严重时将造成炉体的爆炸。</w:t>
      </w:r>
    </w:p>
    <w:p w14:paraId="7F77049B">
      <w:pPr>
        <w:keepNext w:val="0"/>
        <w:keepLines w:val="0"/>
        <w:pageBreakBefore w:val="0"/>
        <w:widowControl w:val="0"/>
        <w:numPr>
          <w:ilvl w:val="0"/>
          <w:numId w:val="59"/>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电极是电弧炉的关键部件，若电极管理不善，如电极松动、接触不良或磨损严重，会导致电弧不稳定，增加火灾爆炸的风险。</w:t>
      </w:r>
    </w:p>
    <w:p w14:paraId="3F5DE557">
      <w:pPr>
        <w:keepNext w:val="0"/>
        <w:keepLines w:val="0"/>
        <w:pageBreakBefore w:val="0"/>
        <w:widowControl w:val="0"/>
        <w:numPr>
          <w:ilvl w:val="0"/>
          <w:numId w:val="59"/>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操作人员在熔炼过程中若未按照操作规程进行，如加料过快、温度控制不当、炉体倾斜角度过大等，都可能引发火灾爆炸事故。</w:t>
      </w:r>
    </w:p>
    <w:p w14:paraId="097EFAC8">
      <w:pPr>
        <w:keepNext w:val="0"/>
        <w:keepLines w:val="0"/>
        <w:pageBreakBefore w:val="0"/>
        <w:widowControl w:val="0"/>
        <w:numPr>
          <w:ilvl w:val="0"/>
          <w:numId w:val="59"/>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跑炉时，高温</w:t>
      </w:r>
      <w:r>
        <w:rPr>
          <w:rFonts w:hint="eastAsia" w:ascii="宋体" w:hAnsi="宋体" w:eastAsia="宋体" w:cs="宋体"/>
        </w:rPr>
        <w:t>氧化锆</w:t>
      </w:r>
      <w:r>
        <w:rPr>
          <w:rFonts w:hint="eastAsia" w:ascii="宋体" w:hAnsi="宋体" w:eastAsia="宋体" w:cs="宋体"/>
          <w:color w:val="000000"/>
          <w:kern w:val="0"/>
          <w:sz w:val="28"/>
          <w:szCs w:val="28"/>
          <w:lang w:val="en-US" w:eastAsia="zh-CN" w:bidi="ar"/>
        </w:rPr>
        <w:t>熔体大量流出，遇潮湿或水也有发生爆炸的危险。</w:t>
      </w:r>
    </w:p>
    <w:p w14:paraId="092BD445">
      <w:pPr>
        <w:keepNext w:val="0"/>
        <w:keepLines w:val="0"/>
        <w:pageBreakBefore w:val="0"/>
        <w:widowControl w:val="0"/>
        <w:numPr>
          <w:ilvl w:val="0"/>
          <w:numId w:val="59"/>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lang w:val="en-US" w:eastAsia="zh-CN"/>
        </w:rPr>
      </w:pPr>
      <w:r>
        <w:rPr>
          <w:rFonts w:hint="eastAsia" w:ascii="宋体" w:hAnsi="宋体" w:eastAsia="宋体" w:cs="宋体"/>
          <w:lang w:val="en-US" w:eastAsia="zh-CN"/>
        </w:rPr>
        <w:t>电</w:t>
      </w:r>
      <w:r>
        <w:rPr>
          <w:rFonts w:hint="eastAsia" w:ascii="宋体" w:hAnsi="宋体" w:eastAsia="宋体" w:cs="宋体"/>
        </w:rPr>
        <w:t>炉料锆英砂水分超标，透气性差，粉料、水分和焦粒混合，造成炉膛预热区炉料不完全烧结形成锅盖，在出炉过程中，电极随着电流下降而下插，不完全烧结突然</w:t>
      </w:r>
      <w:r>
        <w:rPr>
          <w:rFonts w:hint="eastAsia" w:ascii="宋体" w:hAnsi="宋体" w:eastAsia="宋体" w:cs="宋体"/>
          <w:lang w:val="en-US" w:eastAsia="zh-CN"/>
        </w:rPr>
        <w:t>下塌</w:t>
      </w:r>
      <w:r>
        <w:rPr>
          <w:rFonts w:hint="eastAsia" w:ascii="宋体" w:hAnsi="宋体" w:eastAsia="宋体" w:cs="宋体"/>
        </w:rPr>
        <w:t>，导致预热区含水分粉料落入高温区而产生爆炸；炉料水分过大，入炉瞬时产生大量蒸汽，发生爆炸。</w:t>
      </w:r>
    </w:p>
    <w:p w14:paraId="635DD48A">
      <w:pPr>
        <w:keepNext w:val="0"/>
        <w:keepLines w:val="0"/>
        <w:pageBreakBefore w:val="0"/>
        <w:widowControl w:val="0"/>
        <w:numPr>
          <w:ilvl w:val="0"/>
          <w:numId w:val="59"/>
        </w:numPr>
        <w:suppressLineNumbers w:val="0"/>
        <w:kinsoku/>
        <w:wordWrap/>
        <w:overflowPunct/>
        <w:topLinePunct w:val="0"/>
        <w:autoSpaceDE/>
        <w:autoSpaceDN/>
        <w:bidi w:val="0"/>
        <w:adjustRightInd/>
        <w:snapToGrid/>
        <w:ind w:left="0" w:leftChars="0" w:firstLine="560" w:firstLineChars="200"/>
        <w:jc w:val="left"/>
        <w:textAlignment w:val="auto"/>
        <w:rPr>
          <w:rFonts w:hint="eastAsia" w:ascii="宋体" w:hAnsi="宋体" w:eastAsia="宋体" w:cs="宋体"/>
          <w:lang w:val="en-US" w:eastAsia="zh-CN"/>
        </w:rPr>
      </w:pPr>
      <w:r>
        <w:rPr>
          <w:rFonts w:hint="eastAsia" w:ascii="宋体" w:hAnsi="宋体" w:eastAsia="宋体" w:cs="宋体"/>
        </w:rPr>
        <w:t>电弧炉</w:t>
      </w:r>
      <w:r>
        <w:rPr>
          <w:rFonts w:hint="eastAsia" w:ascii="宋体" w:hAnsi="宋体" w:eastAsia="宋体" w:cs="宋体"/>
          <w:lang w:val="en-US" w:eastAsia="zh-CN"/>
        </w:rPr>
        <w:t>氧化锆</w:t>
      </w:r>
      <w:r>
        <w:rPr>
          <w:rFonts w:hint="eastAsia" w:ascii="宋体" w:hAnsi="宋体" w:eastAsia="宋体" w:cs="宋体"/>
        </w:rPr>
        <w:t>熔炼时产生的有害气体若未能及时排出，会在</w:t>
      </w:r>
      <w:r>
        <w:rPr>
          <w:rFonts w:hint="eastAsia" w:ascii="宋体" w:hAnsi="宋体" w:eastAsia="宋体" w:cs="宋体"/>
          <w:lang w:val="en-US" w:eastAsia="zh-CN"/>
        </w:rPr>
        <w:t>炉</w:t>
      </w:r>
      <w:r>
        <w:rPr>
          <w:rFonts w:hint="eastAsia" w:ascii="宋体" w:hAnsi="宋体" w:eastAsia="宋体" w:cs="宋体"/>
        </w:rPr>
        <w:t>内积聚，增加火灾爆炸的风险。</w:t>
      </w:r>
    </w:p>
    <w:p w14:paraId="18E83554">
      <w:pPr>
        <w:keepNext w:val="0"/>
        <w:keepLines w:val="0"/>
        <w:pageBreakBefore w:val="0"/>
        <w:widowControl w:val="0"/>
        <w:numPr>
          <w:ilvl w:val="0"/>
          <w:numId w:val="58"/>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eastAsia="zh-CN"/>
        </w:rPr>
      </w:pPr>
      <w:r>
        <w:rPr>
          <w:rFonts w:hint="eastAsia" w:ascii="宋体" w:hAnsi="宋体" w:eastAsia="宋体" w:cs="宋体"/>
          <w:lang w:val="en-US" w:eastAsia="zh-CN"/>
        </w:rPr>
        <w:t>乙炔爆炸</w:t>
      </w:r>
      <w:r>
        <w:rPr>
          <w:rFonts w:hint="eastAsia" w:ascii="宋体" w:hAnsi="宋体" w:eastAsia="宋体" w:cs="宋体"/>
          <w:lang w:eastAsia="zh-CN"/>
        </w:rPr>
        <w:t>危险性分析</w:t>
      </w:r>
    </w:p>
    <w:p w14:paraId="00B71303">
      <w:pPr>
        <w:keepNext w:val="0"/>
        <w:keepLines w:val="0"/>
        <w:pageBreakBefore w:val="0"/>
        <w:widowControl w:val="0"/>
        <w:kinsoku/>
        <w:wordWrap/>
        <w:overflowPunct/>
        <w:topLinePunct w:val="0"/>
        <w:autoSpaceDE/>
        <w:autoSpaceDN/>
        <w:bidi w:val="0"/>
        <w:snapToGrid/>
        <w:textAlignment w:val="auto"/>
        <w:rPr>
          <w:rFonts w:hint="eastAsia"/>
          <w:lang w:val="en-US" w:eastAsia="zh-CN"/>
        </w:rPr>
      </w:pPr>
      <w:r>
        <w:rPr>
          <w:rFonts w:hint="eastAsia" w:ascii="宋体" w:hAnsi="宋体" w:eastAsia="宋体" w:cs="宋体"/>
        </w:rPr>
        <w:t>在进行焊接作业时，使用的乙炔是易燃易爆气体</w:t>
      </w:r>
      <w:r>
        <w:rPr>
          <w:rFonts w:hint="eastAsia" w:ascii="宋体" w:hAnsi="宋体" w:eastAsia="宋体" w:cs="宋体"/>
          <w:lang w:eastAsia="zh-CN"/>
        </w:rPr>
        <w:t>，</w:t>
      </w:r>
      <w:r>
        <w:rPr>
          <w:rFonts w:hint="eastAsia" w:ascii="宋体" w:hAnsi="宋体" w:eastAsia="宋体" w:cs="宋体"/>
          <w:lang w:val="en-US" w:eastAsia="zh-CN"/>
        </w:rPr>
        <w:t>如不按规范要求使用乙炔气瓶，如胶管老化不及时更换导致泄漏、气瓶减压阀泄漏、回火均可能会火灾、爆炸事故。</w:t>
      </w:r>
    </w:p>
    <w:p w14:paraId="5D9B9C88">
      <w:pPr>
        <w:pStyle w:val="4"/>
        <w:keepNext w:val="0"/>
        <w:keepLines w:val="0"/>
        <w:pageBreakBefore w:val="0"/>
        <w:widowControl w:val="0"/>
        <w:kinsoku/>
        <w:bidi w:val="0"/>
        <w:rPr>
          <w:rFonts w:hint="eastAsia"/>
        </w:rPr>
      </w:pPr>
      <w:bookmarkStart w:id="640" w:name="_Toc24713"/>
      <w:r>
        <w:rPr>
          <w:rFonts w:hint="eastAsia"/>
        </w:rPr>
        <w:t>中毒</w:t>
      </w:r>
      <w:r>
        <w:rPr>
          <w:rFonts w:hint="eastAsia"/>
          <w:lang w:val="en-US" w:eastAsia="zh-CN"/>
        </w:rPr>
        <w:t>和</w:t>
      </w:r>
      <w:r>
        <w:rPr>
          <w:rFonts w:hint="eastAsia"/>
        </w:rPr>
        <w:t>窒息</w:t>
      </w:r>
      <w:bookmarkEnd w:id="636"/>
      <w:bookmarkEnd w:id="637"/>
      <w:bookmarkEnd w:id="638"/>
      <w:bookmarkEnd w:id="639"/>
      <w:bookmarkEnd w:id="640"/>
    </w:p>
    <w:p w14:paraId="710DE53D">
      <w:pPr>
        <w:keepNext w:val="0"/>
        <w:keepLines w:val="0"/>
        <w:pageBreakBefore w:val="0"/>
        <w:widowControl w:val="0"/>
        <w:kinsoku/>
        <w:wordWrap/>
        <w:overflowPunct/>
        <w:topLinePunct w:val="0"/>
        <w:autoSpaceDE/>
        <w:autoSpaceDN/>
        <w:bidi w:val="0"/>
        <w:snapToGrid/>
        <w:textAlignment w:val="auto"/>
        <w:rPr>
          <w:rFonts w:hint="eastAsia" w:ascii="宋体" w:hAnsi="宋体" w:eastAsia="宋体" w:cs="Times New Roman"/>
          <w:lang w:val="en-US" w:eastAsia="zh-CN"/>
        </w:rPr>
      </w:pPr>
      <w:r>
        <w:rPr>
          <w:rFonts w:ascii="宋体" w:hAnsi="宋体" w:eastAsia="宋体" w:cs="Times New Roman"/>
        </w:rPr>
        <w:t>中毒和窒息是指机体过量、大量接触化学毒物，引发组织结构和功能损害、代谢障碍而发生疾病、死亡或因外界氧气不足或其他气体过多或者呼吸系统发生障碍而呼吸困难甚至停止呼吸。</w:t>
      </w:r>
    </w:p>
    <w:p w14:paraId="7DF8DD85">
      <w:pPr>
        <w:keepNext w:val="0"/>
        <w:keepLines w:val="0"/>
        <w:pageBreakBefore w:val="0"/>
        <w:widowControl w:val="0"/>
        <w:kinsoku/>
        <w:wordWrap/>
        <w:overflowPunct/>
        <w:topLinePunct w:val="0"/>
        <w:autoSpaceDE/>
        <w:autoSpaceDN/>
        <w:bidi w:val="0"/>
        <w:snapToGrid/>
        <w:textAlignment w:val="auto"/>
        <w:rPr>
          <w:rFonts w:hint="eastAsia" w:ascii="宋体" w:hAnsi="宋体" w:eastAsia="宋体" w:cs="Times New Roman"/>
        </w:rPr>
      </w:pPr>
      <w:r>
        <w:rPr>
          <w:rFonts w:ascii="宋体" w:hAnsi="宋体" w:eastAsia="宋体" w:cs="Times New Roman"/>
        </w:rPr>
        <w:t>本项目电弧炉</w:t>
      </w:r>
      <w:r>
        <w:rPr>
          <w:rFonts w:hint="eastAsia" w:ascii="宋体" w:hAnsi="宋体" w:eastAsia="宋体" w:cs="Times New Roman"/>
          <w:lang w:eastAsia="zh-CN"/>
        </w:rPr>
        <w:t>、</w:t>
      </w:r>
      <w:r>
        <w:rPr>
          <w:rFonts w:hint="eastAsia" w:ascii="宋体" w:hAnsi="宋体" w:eastAsia="宋体" w:cs="Times New Roman"/>
          <w:lang w:val="en-US" w:eastAsia="zh-CN"/>
        </w:rPr>
        <w:t>除尘器、混料仓、冷却塔、循环水池</w:t>
      </w:r>
      <w:r>
        <w:rPr>
          <w:rFonts w:hint="eastAsia" w:cs="Times New Roman"/>
          <w:lang w:val="en-US" w:eastAsia="zh-CN"/>
        </w:rPr>
        <w:t>等设备设施内部</w:t>
      </w:r>
      <w:r>
        <w:rPr>
          <w:rFonts w:hint="eastAsia"/>
          <w:sz w:val="28"/>
          <w:szCs w:val="28"/>
        </w:rPr>
        <w:t>属有限空间，检修过程经常需要进入上述有限空间进行作业，若进入有限空间未对作业危险性进行充分分析，未严格落实有限空间作业审批手续，未严格遵守“先通风，后检测、再作业”原则，作业环境通风不良，有限空间作业内有毒、有害气体浓度超标，易发生中毒和窒息事故</w:t>
      </w:r>
      <w:r>
        <w:rPr>
          <w:rFonts w:ascii="宋体" w:hAnsi="宋体" w:eastAsia="宋体" w:cs="Times New Roman"/>
        </w:rPr>
        <w:t>。</w:t>
      </w:r>
    </w:p>
    <w:p w14:paraId="18398FBB">
      <w:pPr>
        <w:keepNext w:val="0"/>
        <w:keepLines w:val="0"/>
        <w:pageBreakBefore w:val="0"/>
        <w:widowControl w:val="0"/>
        <w:numPr>
          <w:ilvl w:val="0"/>
          <w:numId w:val="60"/>
        </w:numPr>
        <w:shd w:val="clear"/>
        <w:kinsoku/>
        <w:wordWrap/>
        <w:overflowPunct/>
        <w:topLinePunct w:val="0"/>
        <w:autoSpaceDE/>
        <w:autoSpaceDN/>
        <w:bidi w:val="0"/>
        <w:adjustRightInd/>
        <w:snapToGrid/>
        <w:ind w:left="0" w:leftChars="0" w:firstLine="560" w:firstLineChars="200"/>
        <w:textAlignment w:val="auto"/>
        <w:rPr>
          <w:rFonts w:hint="eastAsia" w:asciiTheme="minorEastAsia" w:hAnsiTheme="minorEastAsia" w:eastAsiaTheme="minorEastAsia" w:cstheme="minorEastAsia"/>
          <w:color w:val="auto"/>
          <w:lang w:val="en-US" w:eastAsia="zh-CN"/>
        </w:rPr>
      </w:pPr>
      <w:r>
        <w:rPr>
          <w:rFonts w:hint="eastAsia" w:ascii="宋体" w:hAnsi="宋体" w:eastAsia="宋体" w:cs="宋体"/>
          <w:sz w:val="28"/>
          <w:szCs w:val="28"/>
        </w:rPr>
        <w:t>装置检修过程中设备、管道、阀门内等有毒物料未彻底清洗干净，如置换、通风不良、安全防范措施不完善、监护人员不到位，没有进行分析或分析不合格，作业人员接触有毒物料或限制性空间内氧含量不足，存在发生中毒和窒息的危险。</w:t>
      </w:r>
    </w:p>
    <w:p w14:paraId="6AA02617">
      <w:pPr>
        <w:keepNext w:val="0"/>
        <w:keepLines w:val="0"/>
        <w:pageBreakBefore w:val="0"/>
        <w:widowControl w:val="0"/>
        <w:numPr>
          <w:ilvl w:val="0"/>
          <w:numId w:val="60"/>
        </w:numPr>
        <w:shd w:val="clear"/>
        <w:kinsoku/>
        <w:wordWrap/>
        <w:overflowPunct/>
        <w:topLinePunct w:val="0"/>
        <w:autoSpaceDE/>
        <w:autoSpaceDN/>
        <w:bidi w:val="0"/>
        <w:adjustRightInd/>
        <w:snapToGrid/>
        <w:ind w:left="0" w:leftChars="0" w:firstLine="560" w:firstLineChars="200"/>
        <w:textAlignment w:val="auto"/>
        <w:rPr>
          <w:rFonts w:hint="eastAsia" w:asciiTheme="minorEastAsia" w:hAnsiTheme="minorEastAsia" w:eastAsiaTheme="minorEastAsia" w:cstheme="minorEastAsia"/>
          <w:color w:val="auto"/>
          <w:lang w:val="en-US" w:eastAsia="zh-CN"/>
        </w:rPr>
      </w:pPr>
      <w:r>
        <w:rPr>
          <w:rFonts w:hint="eastAsia" w:ascii="宋体" w:hAnsi="宋体" w:eastAsia="宋体" w:cs="宋体"/>
          <w:sz w:val="28"/>
          <w:szCs w:val="28"/>
          <w:lang w:val="en-US" w:eastAsia="zh-CN"/>
        </w:rPr>
        <w:t>混</w:t>
      </w:r>
      <w:r>
        <w:rPr>
          <w:rFonts w:hint="eastAsia" w:ascii="宋体" w:hAnsi="宋体" w:eastAsia="宋体" w:cs="宋体"/>
          <w:sz w:val="28"/>
          <w:szCs w:val="28"/>
        </w:rPr>
        <w:t>料仓内的细碎散料堆放，若未采取安全措施，作业人员在散料库进行作业时，滑落或陷入散料内被散料覆盖而导致作业人员窒息。</w:t>
      </w:r>
    </w:p>
    <w:p w14:paraId="492E7D1E">
      <w:pPr>
        <w:keepNext w:val="0"/>
        <w:keepLines w:val="0"/>
        <w:pageBreakBefore w:val="0"/>
        <w:widowControl w:val="0"/>
        <w:numPr>
          <w:ilvl w:val="0"/>
          <w:numId w:val="60"/>
        </w:numPr>
        <w:shd w:val="clear"/>
        <w:kinsoku/>
        <w:wordWrap/>
        <w:overflowPunct/>
        <w:topLinePunct w:val="0"/>
        <w:autoSpaceDE/>
        <w:autoSpaceDN/>
        <w:bidi w:val="0"/>
        <w:adjustRightInd/>
        <w:snapToGrid/>
        <w:ind w:left="0" w:leftChars="0" w:firstLine="560" w:firstLineChars="200"/>
        <w:textAlignment w:val="auto"/>
        <w:rPr>
          <w:rFonts w:hint="default"/>
          <w:lang w:val="en-US" w:eastAsia="zh-CN"/>
        </w:rPr>
      </w:pPr>
      <w:r>
        <w:rPr>
          <w:rFonts w:hint="eastAsia"/>
        </w:rPr>
        <w:t>若</w:t>
      </w:r>
      <w:r>
        <w:rPr>
          <w:rFonts w:hint="eastAsia"/>
          <w:lang w:val="en-US" w:eastAsia="zh-CN"/>
        </w:rPr>
        <w:t>电炉引风机故障</w:t>
      </w:r>
      <w:r>
        <w:rPr>
          <w:rFonts w:hint="eastAsia"/>
        </w:rPr>
        <w:t>，</w:t>
      </w:r>
      <w:r>
        <w:rPr>
          <w:rFonts w:hint="eastAsia"/>
          <w:lang w:val="en-US" w:eastAsia="zh-CN"/>
        </w:rPr>
        <w:t>生产</w:t>
      </w:r>
      <w:r>
        <w:rPr>
          <w:rFonts w:hint="eastAsia"/>
        </w:rPr>
        <w:t>车间内通风不良，可能发生</w:t>
      </w:r>
      <w:r>
        <w:rPr>
          <w:rFonts w:ascii="宋体" w:hAnsi="宋体" w:eastAsia="宋体" w:cs="Times New Roman"/>
        </w:rPr>
        <w:t>一氧化碳、二氧化碳</w:t>
      </w:r>
      <w:r>
        <w:rPr>
          <w:rFonts w:hint="eastAsia" w:ascii="宋体" w:hAnsi="宋体" w:eastAsia="宋体" w:cs="Times New Roman"/>
          <w:lang w:val="en-US" w:eastAsia="zh-CN"/>
        </w:rPr>
        <w:t>溢出，造成周边人员或电炉控制室操控人员发生中毒和</w:t>
      </w:r>
      <w:r>
        <w:rPr>
          <w:rFonts w:hint="eastAsia"/>
        </w:rPr>
        <w:t>窒息事故。</w:t>
      </w:r>
    </w:p>
    <w:p w14:paraId="24C44697">
      <w:pPr>
        <w:keepNext w:val="0"/>
        <w:keepLines w:val="0"/>
        <w:pageBreakBefore w:val="0"/>
        <w:widowControl w:val="0"/>
        <w:numPr>
          <w:ilvl w:val="0"/>
          <w:numId w:val="60"/>
        </w:numPr>
        <w:shd w:val="clear"/>
        <w:kinsoku/>
        <w:wordWrap/>
        <w:overflowPunct/>
        <w:topLinePunct w:val="0"/>
        <w:autoSpaceDE/>
        <w:autoSpaceDN/>
        <w:bidi w:val="0"/>
        <w:adjustRightInd/>
        <w:snapToGrid/>
        <w:ind w:left="0" w:leftChars="0" w:firstLine="560" w:firstLineChars="200"/>
        <w:textAlignment w:val="auto"/>
        <w:rPr>
          <w:rFonts w:hint="default"/>
          <w:lang w:val="en-US" w:eastAsia="zh-CN"/>
        </w:rPr>
      </w:pPr>
      <w:r>
        <w:rPr>
          <w:rFonts w:hint="eastAsia" w:ascii="宋体" w:hAnsi="宋体" w:eastAsia="宋体" w:cs="宋体"/>
          <w:sz w:val="28"/>
          <w:szCs w:val="28"/>
        </w:rPr>
        <w:t>有限空间作业时，若未</w:t>
      </w:r>
      <w:r>
        <w:rPr>
          <w:rFonts w:hint="eastAsia" w:cs="宋体"/>
          <w:sz w:val="28"/>
          <w:szCs w:val="28"/>
          <w:lang w:eastAsia="zh-CN"/>
        </w:rPr>
        <w:t>严格执行</w:t>
      </w:r>
      <w:r>
        <w:rPr>
          <w:rFonts w:hint="eastAsia" w:ascii="宋体" w:hAnsi="宋体" w:eastAsia="宋体" w:cs="宋体"/>
          <w:sz w:val="28"/>
          <w:szCs w:val="28"/>
        </w:rPr>
        <w:t>有限空间作业安全规程，可能导致检修人员窒息。</w:t>
      </w:r>
    </w:p>
    <w:bookmarkEnd w:id="563"/>
    <w:p w14:paraId="06683FDD">
      <w:pPr>
        <w:pStyle w:val="4"/>
        <w:keepNext w:val="0"/>
        <w:keepLines w:val="0"/>
        <w:pageBreakBefore w:val="0"/>
        <w:widowControl w:val="0"/>
        <w:kinsoku/>
        <w:bidi w:val="0"/>
        <w:rPr>
          <w:rFonts w:hint="eastAsia"/>
        </w:rPr>
      </w:pPr>
      <w:bookmarkStart w:id="641" w:name="_Toc398646970"/>
      <w:bookmarkEnd w:id="641"/>
      <w:bookmarkStart w:id="642" w:name="_Toc398646564"/>
      <w:bookmarkEnd w:id="642"/>
      <w:bookmarkStart w:id="643" w:name="_Toc5949"/>
      <w:r>
        <w:rPr>
          <w:rFonts w:hint="eastAsia"/>
          <w:lang w:val="en-US" w:eastAsia="zh-CN"/>
        </w:rPr>
        <w:t>其他伤害</w:t>
      </w:r>
      <w:bookmarkEnd w:id="643"/>
    </w:p>
    <w:p w14:paraId="1DA3ADC2">
      <w:pPr>
        <w:pStyle w:val="5"/>
        <w:bidi w:val="0"/>
        <w:rPr>
          <w:rFonts w:hint="eastAsia"/>
        </w:rPr>
      </w:pPr>
      <w:r>
        <w:rPr>
          <w:rFonts w:hint="eastAsia"/>
        </w:rPr>
        <w:t>噪声</w:t>
      </w:r>
    </w:p>
    <w:p w14:paraId="381B8605">
      <w:pPr>
        <w:bidi w:val="0"/>
        <w:rPr>
          <w:rFonts w:hint="default"/>
        </w:rPr>
      </w:pPr>
      <w:r>
        <w:rPr>
          <w:rFonts w:hint="eastAsia"/>
          <w:lang w:val="en-US" w:eastAsia="zh-CN"/>
        </w:rPr>
        <w:t>在</w:t>
      </w:r>
      <w:r>
        <w:rPr>
          <w:rFonts w:hint="eastAsia"/>
        </w:rPr>
        <w:t>生产过程中使用到的</w:t>
      </w:r>
      <w:r>
        <w:rPr>
          <w:rFonts w:hint="eastAsia"/>
          <w:lang w:val="en-US" w:eastAsia="zh-CN"/>
        </w:rPr>
        <w:t>电弧炉、空压机、除尘器、气流磨、水泵等设备和气动阀门，以及场（厂）内专用机动车辆</w:t>
      </w:r>
      <w:r>
        <w:rPr>
          <w:rFonts w:hint="eastAsia"/>
        </w:rPr>
        <w:t>在运行过程中</w:t>
      </w:r>
      <w:r>
        <w:rPr>
          <w:rFonts w:hint="eastAsia"/>
          <w:lang w:val="en-US" w:eastAsia="zh-CN"/>
        </w:rPr>
        <w:t>都</w:t>
      </w:r>
      <w:r>
        <w:rPr>
          <w:rFonts w:hint="eastAsia"/>
        </w:rPr>
        <w:t>会产生噪声</w:t>
      </w:r>
      <w:r>
        <w:rPr>
          <w:rFonts w:hint="eastAsia"/>
          <w:lang w:val="en-US" w:eastAsia="zh-CN"/>
        </w:rPr>
        <w:t>。</w:t>
      </w:r>
      <w:r>
        <w:rPr>
          <w:rFonts w:hint="eastAsia"/>
        </w:rPr>
        <w:t>噪声会对现场操作人员带来健康危害，长时期在高强度噪声环境中作业会对人的听觉系统造成损伤，如损伤耳膜、听力下降，严重时引起耳聋。甚至导致不可逆性噪声耳聋。此外，噪声对人的心血管系统、消化系统等均有一定的负面影响。</w:t>
      </w:r>
    </w:p>
    <w:p w14:paraId="6C27635D">
      <w:pPr>
        <w:pStyle w:val="5"/>
        <w:bidi w:val="0"/>
        <w:rPr>
          <w:rFonts w:hint="eastAsia"/>
        </w:rPr>
      </w:pPr>
      <w:r>
        <w:rPr>
          <w:rFonts w:hint="eastAsia"/>
        </w:rPr>
        <w:t>振动</w:t>
      </w:r>
    </w:p>
    <w:p w14:paraId="42AA2BDD">
      <w:pPr>
        <w:keepNext w:val="0"/>
        <w:keepLines w:val="0"/>
        <w:pageBreakBefore w:val="0"/>
        <w:widowControl w:val="0"/>
        <w:kinsoku/>
        <w:bidi w:val="0"/>
        <w:rPr>
          <w:rFonts w:hint="eastAsia"/>
          <w:lang w:val="en-US" w:eastAsia="zh-CN"/>
        </w:rPr>
      </w:pPr>
      <w:r>
        <w:rPr>
          <w:rFonts w:hint="eastAsia"/>
          <w:lang w:val="en-US" w:eastAsia="zh-CN"/>
        </w:rPr>
        <w:t>振动伤害可分为全身振动和局部振动两类：全身振动可导致工效降低，辨别能力和短时记忆能力减低，视力恶化和视野改变，对血压升高，脊柱病变，女性生殖功能有一定影响；局部振动可导致外周循环机能障碍，表现为振动性白指病，还能引起中枢神经、外周神经、自主神经功能紊乱。本项目电弧炉等机械设备在运行过程中会产生振动，若作业人员长期在振动的工作条件下工作，会对人体造成慢性伤害。</w:t>
      </w:r>
    </w:p>
    <w:p w14:paraId="4E7F9DAD">
      <w:pPr>
        <w:pStyle w:val="5"/>
        <w:bidi w:val="0"/>
        <w:rPr>
          <w:rFonts w:hint="eastAsia"/>
          <w:lang w:val="en-US" w:eastAsia="zh-CN"/>
        </w:rPr>
      </w:pPr>
      <w:r>
        <w:rPr>
          <w:rFonts w:hint="eastAsia"/>
          <w:lang w:val="en-US" w:eastAsia="zh-CN"/>
        </w:rPr>
        <w:t>粉尘</w:t>
      </w:r>
    </w:p>
    <w:p w14:paraId="49B96904">
      <w:pPr>
        <w:bidi w:val="0"/>
        <w:rPr>
          <w:rFonts w:hint="eastAsia" w:ascii="宋体" w:hAnsi="宋体" w:eastAsia="宋体" w:cs="宋体"/>
          <w:lang w:val="en-US" w:eastAsia="zh-CN"/>
        </w:rPr>
      </w:pPr>
      <w:r>
        <w:rPr>
          <w:rFonts w:hint="eastAsia" w:ascii="宋体" w:hAnsi="宋体" w:eastAsia="宋体" w:cs="宋体"/>
          <w:lang w:val="en-US" w:eastAsia="zh-CN"/>
        </w:rPr>
        <w:t>粉尘的种类和性质不同，对人体的危害也不同；一般引起的危害与疾病有尘肺、中毒、呼吸道慢性炎症、皮肤病、眼疾患、变态反应及致癌等。</w:t>
      </w:r>
      <w:r>
        <w:rPr>
          <w:rFonts w:hint="eastAsia" w:cs="宋体"/>
          <w:lang w:val="en-US" w:eastAsia="zh-CN"/>
        </w:rPr>
        <w:t>本</w:t>
      </w:r>
      <w:r>
        <w:rPr>
          <w:rFonts w:hint="eastAsia" w:ascii="宋体" w:hAnsi="宋体" w:eastAsia="宋体" w:cs="宋体"/>
          <w:lang w:val="en-US" w:eastAsia="zh-CN"/>
        </w:rPr>
        <w:t>项目涉及的粉尘主要是</w:t>
      </w:r>
      <w:r>
        <w:rPr>
          <w:rFonts w:hint="eastAsia" w:cs="Times New Roman"/>
        </w:rPr>
        <w:t>SiO</w:t>
      </w:r>
      <w:r>
        <w:rPr>
          <w:rFonts w:hint="eastAsia" w:cs="Times New Roman"/>
          <w:vertAlign w:val="subscript"/>
        </w:rPr>
        <w:t>2</w:t>
      </w:r>
      <w:r>
        <w:rPr>
          <w:rFonts w:hint="eastAsia" w:cs="Times New Roman"/>
        </w:rPr>
        <w:t>微粉</w:t>
      </w:r>
      <w:r>
        <w:rPr>
          <w:rFonts w:hint="eastAsia" w:cs="Times New Roman"/>
          <w:lang w:val="en-US" w:eastAsia="zh-CN"/>
        </w:rPr>
        <w:t>和氧化锆粉尘</w:t>
      </w:r>
      <w:r>
        <w:rPr>
          <w:rFonts w:hint="eastAsia" w:ascii="宋体" w:hAnsi="宋体" w:eastAsia="宋体" w:cs="宋体"/>
          <w:lang w:val="en-US" w:eastAsia="zh-CN"/>
        </w:rPr>
        <w:t>。</w:t>
      </w:r>
    </w:p>
    <w:p w14:paraId="738F7D4F">
      <w:pPr>
        <w:pStyle w:val="5"/>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rPr>
        <w:t>电磁辐射</w:t>
      </w:r>
    </w:p>
    <w:p w14:paraId="61484175">
      <w:pPr>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t>电弧炉在工作时，石墨电极与炉料之间产生电弧放电，这一过程中会伴随着电磁场的产生和变化，从而产生电磁辐射。</w:t>
      </w:r>
      <w:r>
        <w:rPr>
          <w:rFonts w:hint="eastAsia"/>
          <w:lang w:val="en-US" w:eastAsia="zh-CN"/>
        </w:rPr>
        <w:t>由于</w:t>
      </w:r>
      <w:r>
        <w:rPr>
          <w:rFonts w:hint="eastAsia"/>
        </w:rPr>
        <w:t>电弧炉供电的二次短网系统是大电流设备，电弧炉在运行过程中对外会产生很强的工频电磁辐射，其次在电弧炉</w:t>
      </w:r>
      <w:r>
        <w:rPr>
          <w:rFonts w:hint="eastAsia"/>
          <w:lang w:val="en-US" w:eastAsia="zh-CN"/>
        </w:rPr>
        <w:t>熔炼</w:t>
      </w:r>
      <w:r>
        <w:rPr>
          <w:rFonts w:hint="eastAsia"/>
        </w:rPr>
        <w:t>的熔化期，经常会由于塌料引起电弧炉短网系统上的电流波动，在强工频电磁辐射之中会夹杂着很多高频电磁辐射分量，致使电弧炉</w:t>
      </w:r>
      <w:r>
        <w:rPr>
          <w:rFonts w:hint="eastAsia"/>
          <w:lang w:val="en-US" w:eastAsia="zh-CN"/>
        </w:rPr>
        <w:t>生产车间</w:t>
      </w:r>
      <w:r>
        <w:rPr>
          <w:rFonts w:hint="eastAsia"/>
        </w:rPr>
        <w:t>的电磁环境变得十分复杂</w:t>
      </w:r>
      <w:r>
        <w:rPr>
          <w:rFonts w:hint="eastAsia"/>
          <w:lang w:eastAsia="zh-CN"/>
        </w:rPr>
        <w:t>。</w:t>
      </w:r>
    </w:p>
    <w:p w14:paraId="76174D13">
      <w:pPr>
        <w:pStyle w:val="14"/>
        <w:keepNext w:val="0"/>
        <w:keepLines w:val="0"/>
        <w:pageBreakBefore w:val="0"/>
        <w:widowControl w:val="0"/>
        <w:kinsoku/>
        <w:wordWrap/>
        <w:overflowPunct/>
        <w:topLinePunct w:val="0"/>
        <w:autoSpaceDE/>
        <w:autoSpaceDN/>
        <w:bidi w:val="0"/>
        <w:adjustRightInd/>
        <w:snapToGrid/>
        <w:textAlignment w:val="auto"/>
        <w:rPr>
          <w:rFonts w:hint="eastAsia" w:cs="Times New Roman"/>
          <w:lang w:eastAsia="zh-CN"/>
        </w:rPr>
      </w:pPr>
      <w:r>
        <w:rPr>
          <w:rFonts w:hint="eastAsia" w:cs="Times New Roman"/>
        </w:rPr>
        <w:t>电磁辐射可以造成广泛的生物损伤效应，主要表现在对心理和行为健康的危害、心血管系统的危害、视觉系统的危害、生殖系统的危害以及癌症发生率等五大方面的影响</w:t>
      </w:r>
      <w:r>
        <w:rPr>
          <w:rFonts w:hint="eastAsia" w:cs="Times New Roman"/>
          <w:lang w:eastAsia="zh-CN"/>
        </w:rPr>
        <w:t>。</w:t>
      </w:r>
    </w:p>
    <w:p w14:paraId="5E193477">
      <w:pPr>
        <w:pStyle w:val="14"/>
        <w:keepNext w:val="0"/>
        <w:keepLines w:val="0"/>
        <w:pageBreakBefore w:val="0"/>
        <w:widowControl w:val="0"/>
        <w:kinsoku/>
        <w:wordWrap/>
        <w:overflowPunct/>
        <w:topLinePunct w:val="0"/>
        <w:autoSpaceDE/>
        <w:autoSpaceDN/>
        <w:bidi w:val="0"/>
        <w:snapToGrid/>
        <w:textAlignment w:val="auto"/>
        <w:rPr>
          <w:rFonts w:hint="eastAsia"/>
          <w:lang w:val="en-US" w:eastAsia="zh-CN"/>
        </w:rPr>
      </w:pPr>
      <w:r>
        <w:rPr>
          <w:rFonts w:hint="eastAsia"/>
          <w:lang w:val="en-US" w:eastAsia="zh-CN"/>
        </w:rPr>
        <w:t>电弧炉电磁辐射对人体的危害是指人体长时间在电弧炉周边高强度的电磁环境下工作，电磁波会对人体的生物组织产生生物效应，导致人体的病变。电弧炉磁辐射对人体的作用，表现为热效应和非热效应两大方面。热效应会引起中枢神经和植物精神系统的功能障碍，主要表现为头晕、失眠、健忘等亚健康表现。非热效应会出现头晕、疲乏无力、记忆力衰退、食欲减退等。</w:t>
      </w:r>
    </w:p>
    <w:p w14:paraId="6D4A9973">
      <w:pPr>
        <w:keepNext w:val="0"/>
        <w:keepLines w:val="0"/>
        <w:pageBreakBefore w:val="0"/>
        <w:widowControl w:val="0"/>
        <w:kinsoku/>
        <w:wordWrap/>
        <w:overflowPunct/>
        <w:topLinePunct w:val="0"/>
        <w:autoSpaceDE/>
        <w:autoSpaceDN/>
        <w:bidi w:val="0"/>
        <w:snapToGrid/>
        <w:ind w:firstLine="560" w:firstLineChars="200"/>
        <w:textAlignment w:val="auto"/>
        <w:rPr>
          <w:rFonts w:hint="eastAsia" w:cs="Times New Roman"/>
          <w:lang w:eastAsia="zh-CN"/>
        </w:rPr>
      </w:pPr>
      <w:r>
        <w:rPr>
          <w:rFonts w:hint="eastAsia" w:cs="Times New Roman"/>
          <w:lang w:eastAsia="zh-CN"/>
        </w:rPr>
        <w:t>在电弧炉生产环境下，电弧炉短网系统的电流特别大，在周围空间有很强的电场与磁场。空间里的强电磁辐射容易在自动控制设备的信号线上感应出电流，导致控制信号发生畸变，对自动控制设备产生严重的电磁干扰，严重时甚至可能造成设备模块的损毁。</w:t>
      </w:r>
    </w:p>
    <w:p w14:paraId="4584237F">
      <w:pPr>
        <w:pStyle w:val="3"/>
        <w:keepNext w:val="0"/>
        <w:keepLines w:val="0"/>
        <w:pageBreakBefore w:val="0"/>
        <w:widowControl w:val="0"/>
        <w:kinsoku/>
        <w:bidi w:val="0"/>
        <w:ind w:left="575" w:leftChars="0" w:hanging="575" w:firstLineChars="0"/>
        <w:rPr>
          <w:rFonts w:hint="eastAsia" w:ascii="黑体" w:hAnsi="黑体" w:eastAsia="黑体" w:cs="Times New Roman"/>
          <w:bCs/>
          <w:kern w:val="2"/>
          <w:sz w:val="32"/>
          <w:szCs w:val="36"/>
          <w:lang w:val="en-US" w:eastAsia="zh-CN" w:bidi="ar-SA"/>
        </w:rPr>
      </w:pPr>
      <w:bookmarkStart w:id="644" w:name="_Toc21736"/>
      <w:r>
        <w:rPr>
          <w:rFonts w:hint="eastAsia"/>
        </w:rPr>
        <w:t>生产工艺系统、设备设施危险有害因素辨识与分析</w:t>
      </w:r>
      <w:bookmarkEnd w:id="644"/>
    </w:p>
    <w:p w14:paraId="42D45CDB">
      <w:pPr>
        <w:keepNext w:val="0"/>
        <w:keepLines w:val="0"/>
        <w:pageBreakBefore w:val="0"/>
        <w:widowControl w:val="0"/>
        <w:kinsoku/>
        <w:bidi w:val="0"/>
        <w:rPr>
          <w:rFonts w:hint="eastAsia"/>
        </w:rPr>
      </w:pPr>
      <w:r>
        <w:rPr>
          <w:rFonts w:hint="eastAsia"/>
        </w:rPr>
        <w:t>本项目</w:t>
      </w:r>
      <w:r>
        <w:rPr>
          <w:rFonts w:hint="eastAsia" w:cs="Times New Roman"/>
        </w:rPr>
        <w:t>单斜电熔氧化锆生产</w:t>
      </w:r>
      <w:r>
        <w:rPr>
          <w:rFonts w:hint="eastAsia" w:cs="Times New Roman"/>
          <w:lang w:val="en-US" w:eastAsia="zh-CN"/>
        </w:rPr>
        <w:t>工艺</w:t>
      </w:r>
      <w:r>
        <w:rPr>
          <w:rFonts w:hint="eastAsia"/>
        </w:rPr>
        <w:t>主要包括</w:t>
      </w:r>
      <w:r>
        <w:rPr>
          <w:rFonts w:hint="eastAsia" w:cs="Times New Roman"/>
        </w:rPr>
        <w:t>备料</w:t>
      </w:r>
      <w:r>
        <w:rPr>
          <w:rFonts w:hint="eastAsia" w:cs="Times New Roman"/>
          <w:lang w:val="en-US" w:eastAsia="zh-CN"/>
        </w:rPr>
        <w:t>和</w:t>
      </w:r>
      <w:r>
        <w:rPr>
          <w:rFonts w:hint="eastAsia" w:cs="Times New Roman"/>
        </w:rPr>
        <w:t>电弧炉熔炼</w:t>
      </w:r>
      <w:r>
        <w:rPr>
          <w:rFonts w:hint="eastAsia" w:cs="Times New Roman"/>
          <w:lang w:val="en-US" w:eastAsia="zh-CN"/>
        </w:rPr>
        <w:t>的</w:t>
      </w:r>
      <w:r>
        <w:rPr>
          <w:rFonts w:hint="eastAsia" w:cs="Times New Roman"/>
        </w:rPr>
        <w:t>脱硅</w:t>
      </w:r>
      <w:r>
        <w:rPr>
          <w:rFonts w:hint="eastAsia" w:cs="Times New Roman"/>
          <w:lang w:eastAsia="zh-CN"/>
        </w:rPr>
        <w:t>、</w:t>
      </w:r>
      <w:r>
        <w:rPr>
          <w:rFonts w:hint="eastAsia" w:cs="Times New Roman"/>
        </w:rPr>
        <w:t>吹球冷却</w:t>
      </w:r>
      <w:r>
        <w:rPr>
          <w:rFonts w:hint="eastAsia" w:cs="Times New Roman"/>
          <w:lang w:eastAsia="zh-CN"/>
        </w:rPr>
        <w:t>、</w:t>
      </w:r>
      <w:r>
        <w:rPr>
          <w:rFonts w:hint="eastAsia" w:cs="Times New Roman"/>
        </w:rPr>
        <w:t>制粉</w:t>
      </w:r>
      <w:r>
        <w:rPr>
          <w:rFonts w:hint="eastAsia" w:cs="Times New Roman"/>
          <w:lang w:eastAsia="zh-CN"/>
        </w:rPr>
        <w:t>、</w:t>
      </w:r>
      <w:r>
        <w:rPr>
          <w:rFonts w:hint="eastAsia" w:cs="Times New Roman"/>
        </w:rPr>
        <w:t>SiO</w:t>
      </w:r>
      <w:r>
        <w:rPr>
          <w:rFonts w:hint="eastAsia" w:cs="Times New Roman"/>
          <w:vertAlign w:val="subscript"/>
        </w:rPr>
        <w:t>2</w:t>
      </w:r>
      <w:r>
        <w:rPr>
          <w:rFonts w:hint="eastAsia" w:cs="Times New Roman"/>
        </w:rPr>
        <w:t>微粉回收</w:t>
      </w:r>
      <w:r>
        <w:rPr>
          <w:rFonts w:hint="eastAsia" w:cs="Times New Roman"/>
          <w:lang w:eastAsia="zh-CN"/>
        </w:rPr>
        <w:t>、</w:t>
      </w:r>
      <w:r>
        <w:rPr>
          <w:rFonts w:hint="eastAsia" w:cs="Times New Roman"/>
        </w:rPr>
        <w:t>产品检验、包装</w:t>
      </w:r>
      <w:r>
        <w:rPr>
          <w:rFonts w:hint="eastAsia"/>
        </w:rPr>
        <w:t>等工序。</w:t>
      </w:r>
      <w:r>
        <w:rPr>
          <w:rFonts w:hint="eastAsia"/>
          <w:lang w:val="en-US" w:eastAsia="zh-CN"/>
        </w:rPr>
        <w:t>各工序</w:t>
      </w:r>
      <w:r>
        <w:rPr>
          <w:rFonts w:hint="eastAsia"/>
        </w:rPr>
        <w:t>生产过程中的主要危险有害因素有：物体打击、车辆伤害、机械伤害、</w:t>
      </w:r>
      <w:r>
        <w:rPr>
          <w:rFonts w:hint="eastAsia"/>
          <w:lang w:val="en-US" w:eastAsia="zh-CN"/>
        </w:rPr>
        <w:t>起重伤害、</w:t>
      </w:r>
      <w:r>
        <w:rPr>
          <w:rFonts w:hint="eastAsia"/>
        </w:rPr>
        <w:t>触电、</w:t>
      </w:r>
      <w:r>
        <w:rPr>
          <w:rFonts w:hint="eastAsia"/>
          <w:lang w:val="en-US" w:eastAsia="zh-CN"/>
        </w:rPr>
        <w:t>灼烫、</w:t>
      </w:r>
      <w:r>
        <w:rPr>
          <w:rFonts w:hint="eastAsia"/>
        </w:rPr>
        <w:t>火灾、</w:t>
      </w:r>
      <w:r>
        <w:rPr>
          <w:rFonts w:hint="eastAsia"/>
          <w:lang w:val="en-US" w:eastAsia="zh-CN"/>
        </w:rPr>
        <w:t>高处坠落、坍塌、容器爆炸、其他爆炸、中毒和</w:t>
      </w:r>
      <w:r>
        <w:rPr>
          <w:rFonts w:hint="eastAsia"/>
        </w:rPr>
        <w:t>窒息</w:t>
      </w:r>
      <w:r>
        <w:rPr>
          <w:rFonts w:hint="eastAsia"/>
          <w:lang w:val="en-US" w:eastAsia="zh-CN"/>
        </w:rPr>
        <w:t>和其他伤害</w:t>
      </w:r>
      <w:r>
        <w:rPr>
          <w:rFonts w:hint="eastAsia"/>
        </w:rPr>
        <w:t>等。</w:t>
      </w:r>
    </w:p>
    <w:p w14:paraId="5ACB7319">
      <w:pPr>
        <w:pStyle w:val="4"/>
        <w:bidi w:val="0"/>
        <w:rPr>
          <w:rFonts w:hint="eastAsia"/>
          <w:lang w:val="en-US" w:eastAsia="zh-CN"/>
        </w:rPr>
      </w:pPr>
      <w:bookmarkStart w:id="645" w:name="_Toc18494"/>
      <w:r>
        <w:rPr>
          <w:rFonts w:hint="eastAsia"/>
        </w:rPr>
        <w:t>备料</w:t>
      </w:r>
      <w:r>
        <w:rPr>
          <w:rFonts w:hint="eastAsia"/>
          <w:lang w:val="en-US" w:eastAsia="zh-CN"/>
        </w:rPr>
        <w:t>工序</w:t>
      </w:r>
      <w:r>
        <w:rPr>
          <w:rFonts w:hint="eastAsia"/>
        </w:rPr>
        <w:t>危险性分析</w:t>
      </w:r>
      <w:bookmarkEnd w:id="645"/>
    </w:p>
    <w:p w14:paraId="6D3CA4AD">
      <w:pPr>
        <w:keepNext w:val="0"/>
        <w:keepLines w:val="0"/>
        <w:pageBreakBefore w:val="0"/>
        <w:widowControl w:val="0"/>
        <w:kinsoku/>
        <w:wordWrap/>
        <w:overflowPunct/>
        <w:topLinePunct w:val="0"/>
        <w:autoSpaceDE/>
        <w:autoSpaceDN/>
        <w:bidi w:val="0"/>
        <w:adjustRightInd/>
        <w:snapToGrid/>
        <w:textAlignment w:val="auto"/>
      </w:pPr>
      <w:r>
        <w:rPr>
          <w:rFonts w:hint="eastAsia"/>
        </w:rPr>
        <w:t>备料</w:t>
      </w:r>
      <w:r>
        <w:rPr>
          <w:rFonts w:hint="eastAsia"/>
          <w:lang w:val="en-US" w:eastAsia="zh-CN"/>
        </w:rPr>
        <w:t>主</w:t>
      </w:r>
      <w:r>
        <w:rPr>
          <w:rFonts w:hint="eastAsia"/>
        </w:rPr>
        <w:t>要是将原料锆英砂和石油焦按比例投入混料机，进行均匀混合后入料斗</w:t>
      </w:r>
      <w:r>
        <w:rPr>
          <w:rFonts w:hint="eastAsia"/>
          <w:lang w:eastAsia="zh-CN"/>
        </w:rPr>
        <w:t>，</w:t>
      </w:r>
      <w:r>
        <w:rPr>
          <w:rFonts w:hint="eastAsia"/>
        </w:rPr>
        <w:t>由</w:t>
      </w:r>
      <w:r>
        <w:rPr>
          <w:rFonts w:hint="eastAsia"/>
          <w:lang w:val="en-US" w:eastAsia="zh-CN"/>
        </w:rPr>
        <w:t>起重机</w:t>
      </w:r>
      <w:r>
        <w:rPr>
          <w:rFonts w:hint="eastAsia"/>
        </w:rPr>
        <w:t>运至电弧炉进料口分批</w:t>
      </w:r>
      <w:r>
        <w:rPr>
          <w:rFonts w:hint="eastAsia"/>
          <w:lang w:val="en-US" w:eastAsia="zh-CN"/>
        </w:rPr>
        <w:t>投料的过程。</w:t>
      </w:r>
      <w:r>
        <w:rPr>
          <w:rFonts w:hint="eastAsia"/>
        </w:rPr>
        <w:t>主要设备为</w:t>
      </w:r>
      <w:r>
        <w:rPr>
          <w:rFonts w:hint="eastAsia"/>
          <w:lang w:val="en-US" w:eastAsia="zh-CN"/>
        </w:rPr>
        <w:t>自动</w:t>
      </w:r>
      <w:r>
        <w:rPr>
          <w:rFonts w:hint="eastAsia"/>
        </w:rPr>
        <w:t>配料系统</w:t>
      </w:r>
      <w:r>
        <w:rPr>
          <w:rFonts w:hint="eastAsia"/>
          <w:lang w:eastAsia="zh-CN"/>
        </w:rPr>
        <w:t>、</w:t>
      </w:r>
      <w:r>
        <w:t>单梁起重机</w:t>
      </w:r>
      <w:r>
        <w:rPr>
          <w:rFonts w:hint="eastAsia"/>
          <w:lang w:eastAsia="zh-CN"/>
        </w:rPr>
        <w:t>、</w:t>
      </w:r>
      <w:r>
        <w:rPr>
          <w:rFonts w:hint="eastAsia"/>
          <w:lang w:val="en-US" w:eastAsia="zh-CN"/>
        </w:rPr>
        <w:t>混料机等。本</w:t>
      </w:r>
      <w:r>
        <w:t>工序主要存在</w:t>
      </w:r>
      <w:r>
        <w:rPr>
          <w:rFonts w:hint="eastAsia"/>
        </w:rPr>
        <w:t>物体打击</w:t>
      </w:r>
      <w:r>
        <w:rPr>
          <w:rFonts w:hint="eastAsia"/>
          <w:lang w:eastAsia="zh-CN"/>
        </w:rPr>
        <w:t>、</w:t>
      </w:r>
      <w:r>
        <w:rPr>
          <w:rFonts w:hint="eastAsia"/>
        </w:rPr>
        <w:t>机械伤害、</w:t>
      </w:r>
      <w:r>
        <w:rPr>
          <w:rFonts w:hint="eastAsia"/>
          <w:lang w:val="en-US" w:eastAsia="zh-CN"/>
        </w:rPr>
        <w:t>起重伤害、</w:t>
      </w:r>
      <w:r>
        <w:rPr>
          <w:rFonts w:hint="eastAsia"/>
        </w:rPr>
        <w:t>触电、噪声</w:t>
      </w:r>
      <w:r>
        <w:t>等危险，其主要引发原因分析如下：</w:t>
      </w:r>
    </w:p>
    <w:p w14:paraId="0D05E7D5">
      <w:pPr>
        <w:keepNext w:val="0"/>
        <w:keepLines w:val="0"/>
        <w:pageBreakBefore w:val="0"/>
        <w:widowControl w:val="0"/>
        <w:numPr>
          <w:ilvl w:val="0"/>
          <w:numId w:val="61"/>
        </w:numPr>
        <w:kinsoku/>
        <w:wordWrap/>
        <w:overflowPunct/>
        <w:topLinePunct/>
        <w:autoSpaceDE/>
        <w:autoSpaceDN/>
        <w:bidi w:val="0"/>
        <w:adjustRightInd/>
        <w:snapToGrid/>
        <w:ind w:left="0" w:leftChars="0" w:firstLine="560" w:firstLineChars="200"/>
        <w:textAlignment w:val="auto"/>
        <w:rPr>
          <w:rFonts w:hint="default" w:ascii="宋体" w:hAnsi="宋体" w:eastAsia="宋体" w:cs="宋体"/>
          <w:szCs w:val="28"/>
          <w:lang w:val="en-US" w:eastAsia="zh-CN"/>
        </w:rPr>
      </w:pPr>
      <w:r>
        <w:rPr>
          <w:rFonts w:hint="eastAsia" w:ascii="宋体" w:hAnsi="宋体" w:cs="宋体"/>
          <w:szCs w:val="28"/>
        </w:rPr>
        <w:t>物体打击</w:t>
      </w:r>
      <w:r>
        <w:rPr>
          <w:rFonts w:hint="eastAsia" w:ascii="宋体" w:hAnsi="宋体" w:cs="宋体"/>
          <w:szCs w:val="28"/>
          <w:lang w:eastAsia="zh-CN"/>
        </w:rPr>
        <w:t>：</w:t>
      </w:r>
      <w:r>
        <w:rPr>
          <w:rFonts w:hint="eastAsia" w:cs="宋体"/>
          <w:szCs w:val="28"/>
          <w:lang w:val="en-US" w:eastAsia="zh-CN"/>
        </w:rPr>
        <w:t>原</w:t>
      </w:r>
      <w:r>
        <w:rPr>
          <w:rFonts w:hint="eastAsia" w:ascii="宋体" w:hAnsi="宋体" w:eastAsia="宋体" w:cs="宋体"/>
          <w:szCs w:val="28"/>
          <w:lang w:val="en-US" w:eastAsia="zh-CN"/>
        </w:rPr>
        <w:t>辅料混料配料及转运过程中，如操作人员操作不慎，未规范佩戴安全帽，可能由于物料掉落打击造成伤害。</w:t>
      </w:r>
    </w:p>
    <w:p w14:paraId="3BB8EA4A">
      <w:pPr>
        <w:keepNext w:val="0"/>
        <w:keepLines w:val="0"/>
        <w:pageBreakBefore w:val="0"/>
        <w:widowControl w:val="0"/>
        <w:numPr>
          <w:ilvl w:val="0"/>
          <w:numId w:val="61"/>
        </w:numPr>
        <w:kinsoku/>
        <w:wordWrap/>
        <w:overflowPunct/>
        <w:topLinePunct/>
        <w:autoSpaceDE/>
        <w:autoSpaceDN/>
        <w:bidi w:val="0"/>
        <w:adjustRightInd/>
        <w:snapToGrid/>
        <w:ind w:left="0" w:leftChars="0" w:firstLine="560" w:firstLineChars="200"/>
        <w:textAlignment w:val="auto"/>
        <w:rPr>
          <w:rFonts w:hint="default" w:ascii="宋体" w:hAnsi="宋体" w:cs="宋体"/>
          <w:szCs w:val="28"/>
          <w:lang w:val="en-US" w:eastAsia="zh-CN"/>
        </w:rPr>
      </w:pPr>
      <w:r>
        <w:rPr>
          <w:rFonts w:hint="eastAsia"/>
        </w:rPr>
        <w:t>机</w:t>
      </w:r>
      <w:r>
        <w:rPr>
          <w:rFonts w:hint="eastAsia"/>
          <w:color w:val="auto"/>
        </w:rPr>
        <w:t>械伤害</w:t>
      </w:r>
      <w:r>
        <w:rPr>
          <w:rFonts w:hint="eastAsia"/>
          <w:color w:val="auto"/>
          <w:lang w:eastAsia="zh-CN"/>
        </w:rPr>
        <w:t>：</w:t>
      </w:r>
      <w:r>
        <w:rPr>
          <w:rFonts w:hint="eastAsia" w:cs="Times New Roman"/>
          <w:color w:val="auto"/>
        </w:rPr>
        <w:t>在混料配料工序过程中使用了混料机等机械设备，</w:t>
      </w:r>
      <w:r>
        <w:rPr>
          <w:rFonts w:hint="eastAsia" w:ascii="宋体" w:hAnsi="宋体" w:cs="宋体"/>
          <w:color w:val="auto"/>
          <w:szCs w:val="28"/>
        </w:rPr>
        <w:t>如果没有可靠的安全防护装置、</w:t>
      </w:r>
      <w:r>
        <w:rPr>
          <w:rFonts w:hint="eastAsia" w:ascii="宋体" w:hAnsi="宋体" w:cs="宋体"/>
          <w:color w:val="auto"/>
          <w:szCs w:val="28"/>
          <w:lang w:eastAsia="zh-CN"/>
        </w:rPr>
        <w:t>安全联锁装置</w:t>
      </w:r>
      <w:r>
        <w:rPr>
          <w:rFonts w:hint="eastAsia" w:ascii="宋体" w:hAnsi="宋体" w:cs="宋体"/>
          <w:color w:val="auto"/>
          <w:szCs w:val="28"/>
        </w:rPr>
        <w:t>及急停装置，或设备有缺陷，违章作业等，易发生作业人员被切、绞、轧、挤、压、撞击等事故；</w:t>
      </w:r>
    </w:p>
    <w:p w14:paraId="0F39064F">
      <w:pPr>
        <w:keepNext w:val="0"/>
        <w:keepLines w:val="0"/>
        <w:pageBreakBefore w:val="0"/>
        <w:widowControl w:val="0"/>
        <w:numPr>
          <w:ilvl w:val="0"/>
          <w:numId w:val="61"/>
        </w:numPr>
        <w:kinsoku/>
        <w:wordWrap/>
        <w:overflowPunct/>
        <w:topLinePunct/>
        <w:autoSpaceDE/>
        <w:autoSpaceDN/>
        <w:bidi w:val="0"/>
        <w:adjustRightInd/>
        <w:snapToGrid/>
        <w:ind w:left="0" w:leftChars="0" w:firstLine="560" w:firstLineChars="200"/>
        <w:textAlignment w:val="auto"/>
        <w:rPr>
          <w:rFonts w:hint="default" w:ascii="宋体" w:hAnsi="宋体" w:eastAsia="宋体" w:cs="Times New Roman"/>
          <w:lang w:val="en-US" w:eastAsia="zh-CN"/>
        </w:rPr>
      </w:pPr>
      <w:r>
        <w:rPr>
          <w:rFonts w:hint="eastAsia" w:ascii="宋体" w:hAnsi="宋体" w:eastAsia="宋体" w:cs="Times New Roman"/>
          <w:lang w:val="en-US" w:eastAsia="zh-CN"/>
        </w:rPr>
        <w:t>起重伤害：</w:t>
      </w:r>
      <w:r>
        <w:rPr>
          <w:rFonts w:hint="eastAsia" w:ascii="宋体" w:hAnsi="宋体" w:eastAsia="宋体" w:cs="Times New Roman"/>
        </w:rPr>
        <w:t>混料配料中吊运物料需要使用行车作业，在吊运过程中钢绳突然断裂坠落、物料断裂坠落、设备缺陷、违章操作、作业人员未经培训取证、起重设备未按规定定期进行检验</w:t>
      </w:r>
      <w:r>
        <w:rPr>
          <w:rFonts w:hint="eastAsia" w:ascii="宋体" w:hAnsi="宋体" w:eastAsia="宋体" w:cs="Times New Roman"/>
          <w:lang w:eastAsia="zh-CN"/>
        </w:rPr>
        <w:t>、</w:t>
      </w:r>
      <w:r>
        <w:rPr>
          <w:rFonts w:hint="eastAsia" w:ascii="宋体" w:hAnsi="宋体" w:eastAsia="宋体" w:cs="Times New Roman"/>
        </w:rPr>
        <w:t>作业现场</w:t>
      </w:r>
      <w:r>
        <w:rPr>
          <w:rFonts w:hint="eastAsia" w:ascii="宋体" w:hAnsi="宋体" w:eastAsia="宋体" w:cs="Times New Roman"/>
          <w:lang w:val="en-US" w:eastAsia="zh-CN"/>
        </w:rPr>
        <w:t>没有指定专人</w:t>
      </w:r>
      <w:r>
        <w:rPr>
          <w:rFonts w:hint="eastAsia" w:ascii="宋体" w:hAnsi="宋体" w:eastAsia="宋体" w:cs="Times New Roman"/>
        </w:rPr>
        <w:t>统一指挥等。</w:t>
      </w:r>
    </w:p>
    <w:p w14:paraId="2BCB438E">
      <w:pPr>
        <w:keepNext w:val="0"/>
        <w:keepLines w:val="0"/>
        <w:pageBreakBefore w:val="0"/>
        <w:widowControl w:val="0"/>
        <w:kinsoku/>
        <w:wordWrap/>
        <w:overflowPunct/>
        <w:autoSpaceDE/>
        <w:autoSpaceDN/>
        <w:bidi w:val="0"/>
        <w:snapToGrid/>
        <w:textAlignment w:val="auto"/>
        <w:rPr>
          <w:rFonts w:hint="default"/>
          <w:lang w:val="en-US" w:eastAsia="zh-CN"/>
        </w:rPr>
      </w:pPr>
      <w:r>
        <w:rPr>
          <w:rFonts w:hint="eastAsia"/>
          <w:lang w:val="en-US" w:eastAsia="zh-CN"/>
        </w:rPr>
        <w:t>起重机</w:t>
      </w:r>
      <w:r>
        <w:rPr>
          <w:rFonts w:hint="eastAsia"/>
        </w:rPr>
        <w:t>未设置报警式过载限制器、防撞装置、轨道极限安全保护装置等安全装置而导致起重伤害事故。</w:t>
      </w:r>
    </w:p>
    <w:p w14:paraId="0E36970D">
      <w:pPr>
        <w:keepNext w:val="0"/>
        <w:keepLines w:val="0"/>
        <w:pageBreakBefore w:val="0"/>
        <w:widowControl w:val="0"/>
        <w:numPr>
          <w:ilvl w:val="0"/>
          <w:numId w:val="61"/>
        </w:numPr>
        <w:kinsoku/>
        <w:wordWrap/>
        <w:overflowPunct/>
        <w:topLinePunct/>
        <w:autoSpaceDE/>
        <w:autoSpaceDN/>
        <w:bidi w:val="0"/>
        <w:adjustRightInd/>
        <w:snapToGrid/>
        <w:ind w:left="0" w:leftChars="0" w:firstLine="560" w:firstLineChars="200"/>
        <w:textAlignment w:val="auto"/>
        <w:rPr>
          <w:rFonts w:hint="default" w:ascii="宋体" w:hAnsi="宋体" w:cs="宋体"/>
          <w:szCs w:val="28"/>
          <w:lang w:val="en-US" w:eastAsia="zh-CN"/>
        </w:rPr>
      </w:pPr>
      <w:r>
        <w:rPr>
          <w:rFonts w:hint="eastAsia"/>
        </w:rPr>
        <w:t>触电</w:t>
      </w:r>
      <w:r>
        <w:rPr>
          <w:rFonts w:hint="eastAsia"/>
          <w:lang w:eastAsia="zh-CN"/>
        </w:rPr>
        <w:t>：</w:t>
      </w:r>
      <w:r>
        <w:rPr>
          <w:rFonts w:hint="eastAsia" w:ascii="宋体" w:hAnsi="宋体" w:cs="宋体"/>
          <w:szCs w:val="28"/>
        </w:rPr>
        <w:t>项目生产过程中所使用的电</w:t>
      </w:r>
      <w:r>
        <w:rPr>
          <w:rFonts w:hint="eastAsia" w:cs="宋体"/>
          <w:szCs w:val="28"/>
          <w:lang w:val="en-US" w:eastAsia="zh-CN"/>
        </w:rPr>
        <w:t>气</w:t>
      </w:r>
      <w:r>
        <w:rPr>
          <w:rFonts w:hint="eastAsia" w:ascii="宋体" w:hAnsi="宋体" w:cs="宋体"/>
          <w:szCs w:val="28"/>
        </w:rPr>
        <w:t>设备，在操作设备，启闭开关过程</w:t>
      </w:r>
      <w:r>
        <w:rPr>
          <w:rFonts w:hint="eastAsia" w:cs="宋体"/>
          <w:szCs w:val="28"/>
          <w:lang w:val="en-US" w:eastAsia="zh-CN"/>
        </w:rPr>
        <w:t>均</w:t>
      </w:r>
      <w:r>
        <w:rPr>
          <w:rFonts w:hint="eastAsia" w:ascii="宋体" w:hAnsi="宋体" w:cs="宋体"/>
          <w:szCs w:val="28"/>
        </w:rPr>
        <w:t>有发生触电的危险</w:t>
      </w:r>
      <w:r>
        <w:rPr>
          <w:rFonts w:hint="eastAsia" w:cs="宋体"/>
          <w:szCs w:val="28"/>
          <w:lang w:eastAsia="zh-CN"/>
        </w:rPr>
        <w:t>；</w:t>
      </w:r>
    </w:p>
    <w:p w14:paraId="2F1BC9B3">
      <w:pPr>
        <w:keepNext w:val="0"/>
        <w:keepLines w:val="0"/>
        <w:pageBreakBefore w:val="0"/>
        <w:widowControl w:val="0"/>
        <w:numPr>
          <w:ilvl w:val="0"/>
          <w:numId w:val="61"/>
        </w:numPr>
        <w:kinsoku/>
        <w:wordWrap/>
        <w:overflowPunct/>
        <w:topLinePunct/>
        <w:autoSpaceDE/>
        <w:autoSpaceDN/>
        <w:bidi w:val="0"/>
        <w:adjustRightInd/>
        <w:snapToGrid/>
        <w:ind w:left="0" w:leftChars="0" w:firstLine="560" w:firstLineChars="200"/>
        <w:textAlignment w:val="auto"/>
        <w:rPr>
          <w:rFonts w:hint="default" w:ascii="宋体" w:hAnsi="宋体" w:cs="宋体"/>
          <w:szCs w:val="28"/>
          <w:lang w:val="en-US" w:eastAsia="zh-CN"/>
        </w:rPr>
      </w:pPr>
      <w:r>
        <w:rPr>
          <w:rFonts w:hint="eastAsia"/>
        </w:rPr>
        <w:t>噪声</w:t>
      </w:r>
      <w:r>
        <w:rPr>
          <w:rFonts w:hint="eastAsia"/>
          <w:lang w:eastAsia="zh-CN"/>
        </w:rPr>
        <w:t>：</w:t>
      </w:r>
      <w:r>
        <w:rPr>
          <w:rFonts w:hint="eastAsia" w:ascii="宋体" w:hAnsi="宋体" w:cs="宋体"/>
          <w:szCs w:val="28"/>
        </w:rPr>
        <w:t>在生产过程中设备会产生噪声，人员如未佩戴耳塞等劳动保护用品，则可能受噪声伤害</w:t>
      </w:r>
      <w:r>
        <w:rPr>
          <w:szCs w:val="28"/>
        </w:rPr>
        <w:t>。</w:t>
      </w:r>
    </w:p>
    <w:p w14:paraId="2B88B84B">
      <w:pPr>
        <w:pStyle w:val="4"/>
        <w:bidi w:val="0"/>
        <w:rPr>
          <w:rFonts w:hint="eastAsia"/>
          <w:lang w:val="en-US" w:eastAsia="zh-CN"/>
        </w:rPr>
      </w:pPr>
      <w:bookmarkStart w:id="646" w:name="_Toc13355"/>
      <w:r>
        <w:rPr>
          <w:rFonts w:hint="eastAsia"/>
        </w:rPr>
        <w:t>电弧炉熔炼</w:t>
      </w:r>
      <w:r>
        <w:rPr>
          <w:rFonts w:hint="eastAsia"/>
          <w:lang w:val="en-US" w:eastAsia="zh-CN"/>
        </w:rPr>
        <w:t>危险性分析</w:t>
      </w:r>
      <w:bookmarkEnd w:id="646"/>
    </w:p>
    <w:p w14:paraId="0FEF2CC0">
      <w:pPr>
        <w:keepNext w:val="0"/>
        <w:keepLines w:val="0"/>
        <w:pageBreakBefore w:val="0"/>
        <w:widowControl w:val="0"/>
        <w:kinsoku/>
        <w:wordWrap/>
        <w:overflowPunct/>
        <w:topLinePunct w:val="0"/>
        <w:autoSpaceDE/>
        <w:autoSpaceDN/>
        <w:bidi w:val="0"/>
        <w:adjustRightInd/>
        <w:snapToGrid/>
        <w:textAlignment w:val="auto"/>
      </w:pPr>
      <w:r>
        <w:rPr>
          <w:rFonts w:hint="eastAsia" w:cs="Times New Roman"/>
        </w:rPr>
        <w:t>在</w:t>
      </w:r>
      <w:r>
        <w:rPr>
          <w:rFonts w:hint="eastAsia" w:cs="Times New Roman"/>
          <w:lang w:val="en-US" w:eastAsia="zh-CN"/>
        </w:rPr>
        <w:t>电弧炉熔炼</w:t>
      </w:r>
      <w:r>
        <w:rPr>
          <w:rFonts w:hint="eastAsia" w:cs="Times New Roman"/>
        </w:rPr>
        <w:t>生产过程中存在的危险源主要有：熔体和熔渣喷溅与爆炸；炉体、炉底烧穿、冷却水泄漏等危害；出料场积水危害；</w:t>
      </w:r>
      <w:r>
        <w:rPr>
          <w:rFonts w:hint="eastAsia" w:cs="Times New Roman"/>
          <w:lang w:val="en-US" w:eastAsia="zh-CN"/>
        </w:rPr>
        <w:t>触电危害、</w:t>
      </w:r>
      <w:r>
        <w:rPr>
          <w:rFonts w:hint="eastAsia" w:cs="Times New Roman"/>
        </w:rPr>
        <w:t>粉尘危害，有毒、有害气体，机械伤害，高温辐射灼烫；高处作业危险及起重伤害。导致事故发生的主要原因包括：技术与工艺缺陷；地质灾害，设备设施设计不合理，设备与设施缺陷，安全防护装置缺陷，违规作业等。</w:t>
      </w:r>
      <w:r>
        <w:rPr>
          <w:rFonts w:hint="eastAsia"/>
          <w:lang w:val="en-US" w:eastAsia="zh-CN"/>
        </w:rPr>
        <w:t>具体</w:t>
      </w:r>
      <w:r>
        <w:t>分析如下：</w:t>
      </w:r>
    </w:p>
    <w:p w14:paraId="6438F7BD">
      <w:pPr>
        <w:keepNext w:val="0"/>
        <w:keepLines w:val="0"/>
        <w:pageBreakBefore w:val="0"/>
        <w:widowControl w:val="0"/>
        <w:numPr>
          <w:ilvl w:val="0"/>
          <w:numId w:val="62"/>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开停炉</w:t>
      </w:r>
      <w:r>
        <w:rPr>
          <w:rFonts w:hint="eastAsia" w:ascii="宋体" w:hAnsi="宋体" w:eastAsia="宋体" w:cs="Times New Roman"/>
          <w:lang w:val="en-US" w:eastAsia="zh-CN"/>
        </w:rPr>
        <w:t>作业，未</w:t>
      </w:r>
      <w:r>
        <w:rPr>
          <w:rFonts w:hint="eastAsia" w:ascii="宋体" w:hAnsi="宋体" w:eastAsia="宋体" w:cs="Times New Roman"/>
        </w:rPr>
        <w:t>严格按照开停炉程序操作，渣、</w:t>
      </w:r>
      <w:r>
        <w:rPr>
          <w:rFonts w:hint="eastAsia" w:ascii="宋体" w:hAnsi="宋体" w:eastAsia="宋体" w:cs="Times New Roman"/>
          <w:lang w:val="en-US" w:eastAsia="zh-CN"/>
        </w:rPr>
        <w:t>炉</w:t>
      </w:r>
      <w:r>
        <w:rPr>
          <w:rFonts w:hint="eastAsia" w:ascii="宋体" w:hAnsi="宋体" w:eastAsia="宋体" w:cs="Times New Roman"/>
        </w:rPr>
        <w:t>口</w:t>
      </w:r>
      <w:r>
        <w:rPr>
          <w:rFonts w:hint="eastAsia" w:ascii="宋体" w:hAnsi="宋体" w:eastAsia="宋体" w:cs="Times New Roman"/>
          <w:lang w:val="en-US" w:eastAsia="zh-CN"/>
        </w:rPr>
        <w:t>未</w:t>
      </w:r>
      <w:r>
        <w:rPr>
          <w:rFonts w:hint="eastAsia" w:ascii="宋体" w:hAnsi="宋体" w:eastAsia="宋体" w:cs="Times New Roman"/>
        </w:rPr>
        <w:t>堵好</w:t>
      </w:r>
      <w:r>
        <w:rPr>
          <w:rFonts w:hint="eastAsia" w:ascii="宋体" w:hAnsi="宋体" w:eastAsia="宋体" w:cs="Times New Roman"/>
          <w:lang w:eastAsia="zh-CN"/>
        </w:rPr>
        <w:t>，</w:t>
      </w:r>
      <w:r>
        <w:rPr>
          <w:rFonts w:hint="eastAsia" w:ascii="宋体" w:hAnsi="宋体" w:eastAsia="宋体" w:cs="Times New Roman"/>
        </w:rPr>
        <w:t>渣、</w:t>
      </w:r>
      <w:r>
        <w:rPr>
          <w:rFonts w:hint="eastAsia" w:ascii="宋体" w:hAnsi="宋体" w:eastAsia="宋体" w:cs="Times New Roman"/>
          <w:lang w:val="en-US" w:eastAsia="zh-CN"/>
        </w:rPr>
        <w:t>炉</w:t>
      </w:r>
      <w:r>
        <w:rPr>
          <w:rFonts w:hint="eastAsia" w:ascii="宋体" w:hAnsi="宋体" w:eastAsia="宋体" w:cs="Times New Roman"/>
        </w:rPr>
        <w:t>口有渣流、</w:t>
      </w:r>
      <w:r>
        <w:rPr>
          <w:rFonts w:hint="eastAsia" w:ascii="宋体" w:hAnsi="宋体" w:eastAsia="宋体" w:cs="Times New Roman"/>
          <w:lang w:val="en-US" w:eastAsia="zh-CN"/>
        </w:rPr>
        <w:t>高温熔体</w:t>
      </w:r>
      <w:r>
        <w:rPr>
          <w:rFonts w:hint="eastAsia" w:ascii="宋体" w:hAnsi="宋体" w:eastAsia="宋体" w:cs="Times New Roman"/>
        </w:rPr>
        <w:t>渗漏、</w:t>
      </w:r>
      <w:r>
        <w:rPr>
          <w:rFonts w:hint="eastAsia" w:ascii="宋体" w:hAnsi="宋体" w:eastAsia="宋体" w:cs="Times New Roman"/>
          <w:lang w:eastAsia="zh-CN"/>
        </w:rPr>
        <w:t>泄漏，</w:t>
      </w:r>
      <w:r>
        <w:rPr>
          <w:rFonts w:hint="eastAsia" w:ascii="宋体" w:hAnsi="宋体" w:eastAsia="宋体" w:cs="Times New Roman"/>
          <w:lang w:val="en-US" w:eastAsia="zh-CN"/>
        </w:rPr>
        <w:t>可能发生</w:t>
      </w:r>
      <w:r>
        <w:rPr>
          <w:rFonts w:hint="eastAsia" w:ascii="宋体" w:hAnsi="宋体" w:eastAsia="宋体" w:cs="Times New Roman"/>
        </w:rPr>
        <w:t>火灾</w:t>
      </w:r>
      <w:r>
        <w:rPr>
          <w:rFonts w:hint="eastAsia" w:ascii="宋体" w:hAnsi="宋体" w:eastAsia="宋体" w:cs="Times New Roman"/>
          <w:lang w:eastAsia="zh-CN"/>
        </w:rPr>
        <w:t>、</w:t>
      </w:r>
      <w:r>
        <w:rPr>
          <w:rFonts w:hint="eastAsia" w:ascii="宋体" w:hAnsi="宋体" w:eastAsia="宋体" w:cs="Times New Roman"/>
        </w:rPr>
        <w:t>灼烫</w:t>
      </w:r>
      <w:r>
        <w:rPr>
          <w:rFonts w:hint="eastAsia" w:ascii="宋体" w:hAnsi="宋体" w:eastAsia="宋体" w:cs="Times New Roman"/>
          <w:lang w:eastAsia="zh-CN"/>
        </w:rPr>
        <w:t>、</w:t>
      </w:r>
      <w:r>
        <w:rPr>
          <w:rFonts w:hint="eastAsia" w:ascii="宋体" w:hAnsi="宋体" w:eastAsia="宋体" w:cs="Times New Roman"/>
        </w:rPr>
        <w:t>其他爆炸</w:t>
      </w:r>
      <w:r>
        <w:rPr>
          <w:rFonts w:hint="eastAsia" w:ascii="宋体" w:hAnsi="宋体" w:eastAsia="宋体" w:cs="Times New Roman"/>
          <w:lang w:val="en-US" w:eastAsia="zh-CN"/>
        </w:rPr>
        <w:t>等事故</w:t>
      </w:r>
      <w:r>
        <w:rPr>
          <w:rFonts w:hint="eastAsia" w:ascii="宋体" w:hAnsi="宋体" w:eastAsia="宋体" w:cs="Times New Roman"/>
        </w:rPr>
        <w:t>。</w:t>
      </w:r>
    </w:p>
    <w:p w14:paraId="1A845528">
      <w:pPr>
        <w:keepNext w:val="0"/>
        <w:keepLines w:val="0"/>
        <w:pageBreakBefore w:val="0"/>
        <w:widowControl w:val="0"/>
        <w:numPr>
          <w:ilvl w:val="0"/>
          <w:numId w:val="62"/>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炉前作业未正确穿戴齐全劳动保护品，没有对人体起到相应的保护，造成物理机械伤害、引发尘肺病。</w:t>
      </w:r>
    </w:p>
    <w:p w14:paraId="15F5D56C">
      <w:pPr>
        <w:keepNext w:val="0"/>
        <w:keepLines w:val="0"/>
        <w:pageBreakBefore w:val="0"/>
        <w:widowControl w:val="0"/>
        <w:numPr>
          <w:ilvl w:val="0"/>
          <w:numId w:val="62"/>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长时间处于高温环境，对人体体温调节、水盐代谢等生理功能产生影响的同时，还可导致中暑。</w:t>
      </w:r>
    </w:p>
    <w:p w14:paraId="13594024">
      <w:pPr>
        <w:keepNext w:val="0"/>
        <w:keepLines w:val="0"/>
        <w:pageBreakBefore w:val="0"/>
        <w:widowControl w:val="0"/>
        <w:numPr>
          <w:ilvl w:val="0"/>
          <w:numId w:val="62"/>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rPr>
        <w:t>给料</w:t>
      </w:r>
      <w:r>
        <w:rPr>
          <w:rFonts w:hint="eastAsia" w:ascii="宋体" w:hAnsi="宋体" w:eastAsia="宋体" w:cs="Times New Roman"/>
          <w:lang w:val="en-US" w:eastAsia="zh-CN"/>
        </w:rPr>
        <w:t>作业</w:t>
      </w:r>
      <w:r>
        <w:rPr>
          <w:rFonts w:hint="eastAsia" w:ascii="宋体" w:hAnsi="宋体" w:eastAsia="宋体" w:cs="Times New Roman"/>
        </w:rPr>
        <w:t>正对加料口查看炉内情况</w:t>
      </w:r>
      <w:r>
        <w:rPr>
          <w:rFonts w:hint="eastAsia" w:ascii="宋体" w:hAnsi="宋体" w:eastAsia="宋体" w:cs="Times New Roman"/>
          <w:lang w:eastAsia="zh-CN"/>
        </w:rPr>
        <w:t>，</w:t>
      </w:r>
      <w:r>
        <w:rPr>
          <w:rFonts w:hint="eastAsia" w:ascii="宋体" w:hAnsi="宋体" w:eastAsia="宋体" w:cs="Times New Roman"/>
        </w:rPr>
        <w:t>处理加料口内壁粘渣</w:t>
      </w:r>
      <w:r>
        <w:rPr>
          <w:rFonts w:hint="eastAsia" w:ascii="宋体" w:hAnsi="宋体" w:eastAsia="宋体" w:cs="Times New Roman"/>
          <w:lang w:eastAsia="zh-CN"/>
        </w:rPr>
        <w:t>，</w:t>
      </w:r>
      <w:r>
        <w:rPr>
          <w:rFonts w:hint="eastAsia" w:ascii="宋体" w:hAnsi="宋体" w:eastAsia="宋体" w:cs="Times New Roman"/>
          <w:lang w:val="en-US" w:eastAsia="zh-CN"/>
        </w:rPr>
        <w:t>站位不当，</w:t>
      </w:r>
      <w:r>
        <w:rPr>
          <w:rFonts w:hint="eastAsia" w:ascii="宋体" w:hAnsi="宋体" w:eastAsia="宋体" w:cs="Times New Roman"/>
        </w:rPr>
        <w:t>用力过猛，钢钎或圆钢</w:t>
      </w:r>
      <w:r>
        <w:rPr>
          <w:rFonts w:hint="eastAsia" w:ascii="宋体" w:hAnsi="宋体" w:eastAsia="宋体" w:cs="Times New Roman"/>
          <w:lang w:val="en-US" w:eastAsia="zh-CN"/>
        </w:rPr>
        <w:t>未</w:t>
      </w:r>
      <w:r>
        <w:rPr>
          <w:rFonts w:hint="eastAsia" w:ascii="宋体" w:hAnsi="宋体" w:eastAsia="宋体" w:cs="Times New Roman"/>
        </w:rPr>
        <w:t>对准凝结渣块，直接打在加料口壁上</w:t>
      </w:r>
      <w:r>
        <w:rPr>
          <w:rFonts w:hint="eastAsia" w:ascii="宋体" w:hAnsi="宋体" w:eastAsia="宋体" w:cs="Times New Roman"/>
          <w:lang w:eastAsia="zh-CN"/>
        </w:rPr>
        <w:t>，</w:t>
      </w:r>
      <w:r>
        <w:rPr>
          <w:rFonts w:hint="eastAsia" w:ascii="宋体" w:hAnsi="宋体" w:eastAsia="宋体" w:cs="Times New Roman"/>
          <w:lang w:val="en-US" w:eastAsia="zh-CN"/>
        </w:rPr>
        <w:t>会造成物体打击和灼烫伤害。</w:t>
      </w:r>
    </w:p>
    <w:p w14:paraId="1BD22660">
      <w:pPr>
        <w:keepNext w:val="0"/>
        <w:keepLines w:val="0"/>
        <w:pageBreakBefore w:val="0"/>
        <w:widowControl w:val="0"/>
        <w:numPr>
          <w:ilvl w:val="0"/>
          <w:numId w:val="62"/>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cs="Times New Roman"/>
        </w:rPr>
        <w:t>ZrO</w:t>
      </w:r>
      <w:r>
        <w:rPr>
          <w:rFonts w:hint="eastAsia" w:cs="Times New Roman"/>
          <w:vertAlign w:val="subscript"/>
        </w:rPr>
        <w:t>2</w:t>
      </w:r>
      <w:r>
        <w:rPr>
          <w:rFonts w:hint="eastAsia" w:cs="Times New Roman"/>
        </w:rPr>
        <w:t>熔体</w:t>
      </w:r>
      <w:r>
        <w:rPr>
          <w:rFonts w:hint="eastAsia" w:cs="Times New Roman"/>
          <w:lang w:val="en-US" w:eastAsia="zh-CN"/>
        </w:rPr>
        <w:t>倾动出炉</w:t>
      </w:r>
      <w:r>
        <w:rPr>
          <w:rFonts w:hint="eastAsia" w:ascii="宋体" w:hAnsi="宋体" w:eastAsia="宋体" w:cs="Times New Roman"/>
          <w:lang w:val="en-US" w:eastAsia="zh-CN"/>
        </w:rPr>
        <w:t>作业，水冷件</w:t>
      </w:r>
      <w:r>
        <w:rPr>
          <w:rFonts w:hint="eastAsia" w:cs="Times New Roman"/>
          <w:lang w:val="en-US" w:eastAsia="zh-CN"/>
        </w:rPr>
        <w:t>（炉盖）</w:t>
      </w:r>
      <w:r>
        <w:rPr>
          <w:rFonts w:hint="eastAsia" w:ascii="宋体" w:hAnsi="宋体" w:eastAsia="宋体" w:cs="Times New Roman"/>
          <w:lang w:val="en-US" w:eastAsia="zh-CN"/>
        </w:rPr>
        <w:t>漏水会引发容器爆炸。与熔体接触的容器和工具有积水或潮湿，会发生其他爆炸事故。</w:t>
      </w:r>
    </w:p>
    <w:p w14:paraId="558AC201">
      <w:pPr>
        <w:keepNext w:val="0"/>
        <w:keepLines w:val="0"/>
        <w:pageBreakBefore w:val="0"/>
        <w:widowControl w:val="0"/>
        <w:numPr>
          <w:ilvl w:val="0"/>
          <w:numId w:val="62"/>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炉眼堵不紧或炉眼</w:t>
      </w:r>
      <w:r>
        <w:rPr>
          <w:rFonts w:hint="eastAsia" w:cs="Times New Roman"/>
          <w:lang w:val="en-US" w:eastAsia="zh-CN"/>
        </w:rPr>
        <w:t>闭锁装置失效</w:t>
      </w:r>
      <w:r>
        <w:rPr>
          <w:rFonts w:hint="eastAsia" w:ascii="宋体" w:hAnsi="宋体" w:eastAsia="宋体" w:cs="Times New Roman"/>
        </w:rPr>
        <w:t>等因素致使炉眼漏</w:t>
      </w:r>
      <w:r>
        <w:rPr>
          <w:rFonts w:hint="eastAsia" w:ascii="宋体" w:hAnsi="宋体" w:eastAsia="宋体" w:cs="Times New Roman"/>
          <w:lang w:val="en-US" w:eastAsia="zh-CN"/>
        </w:rPr>
        <w:t>液</w:t>
      </w:r>
      <w:r>
        <w:rPr>
          <w:rFonts w:hint="eastAsia" w:ascii="宋体" w:hAnsi="宋体" w:eastAsia="宋体" w:cs="Times New Roman"/>
        </w:rPr>
        <w:t>，</w:t>
      </w:r>
      <w:r>
        <w:rPr>
          <w:rFonts w:hint="eastAsia" w:ascii="宋体" w:hAnsi="宋体" w:eastAsia="宋体" w:cs="Times New Roman"/>
          <w:lang w:val="en-US" w:eastAsia="zh-CN"/>
        </w:rPr>
        <w:t>高温熔</w:t>
      </w:r>
      <w:r>
        <w:rPr>
          <w:rFonts w:hint="eastAsia" w:ascii="宋体" w:hAnsi="宋体" w:eastAsia="宋体" w:cs="Times New Roman"/>
        </w:rPr>
        <w:t>液流到地面，与水汽接触发生爆炸或与其他易燃物质接触起火。会导致人员伤残、设备损坏。</w:t>
      </w:r>
    </w:p>
    <w:p w14:paraId="186BD91C">
      <w:pPr>
        <w:keepNext w:val="0"/>
        <w:keepLines w:val="0"/>
        <w:pageBreakBefore w:val="0"/>
        <w:widowControl w:val="0"/>
        <w:numPr>
          <w:ilvl w:val="0"/>
          <w:numId w:val="62"/>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从变压器输送的低电压高电流，经短网传到电极，如人员碰到短网或电极等带电设备，将导致伤亡。</w:t>
      </w:r>
    </w:p>
    <w:p w14:paraId="7C74B5D9">
      <w:pPr>
        <w:keepNext w:val="0"/>
        <w:keepLines w:val="0"/>
        <w:pageBreakBefore w:val="0"/>
        <w:widowControl w:val="0"/>
        <w:numPr>
          <w:ilvl w:val="0"/>
          <w:numId w:val="62"/>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电通过电极导入炉内，而电极是易耗物，消耗到一定程度后需要接上新电极。接</w:t>
      </w:r>
      <w:r>
        <w:rPr>
          <w:rFonts w:hint="eastAsia" w:ascii="宋体" w:hAnsi="宋体" w:eastAsia="宋体" w:cs="Times New Roman"/>
          <w:lang w:val="en-US" w:eastAsia="zh-CN"/>
        </w:rPr>
        <w:t>新</w:t>
      </w:r>
      <w:r>
        <w:rPr>
          <w:rFonts w:hint="eastAsia" w:ascii="宋体" w:hAnsi="宋体" w:eastAsia="宋体" w:cs="Times New Roman"/>
        </w:rPr>
        <w:t>电极时若未停电操作</w:t>
      </w:r>
      <w:r>
        <w:rPr>
          <w:rFonts w:hint="eastAsia" w:ascii="宋体" w:hAnsi="宋体" w:eastAsia="宋体" w:cs="Times New Roman"/>
          <w:lang w:eastAsia="zh-CN"/>
        </w:rPr>
        <w:t>，</w:t>
      </w:r>
      <w:r>
        <w:rPr>
          <w:rFonts w:hint="eastAsia" w:ascii="宋体" w:hAnsi="宋体" w:eastAsia="宋体" w:cs="Times New Roman"/>
        </w:rPr>
        <w:t>或操作平台未加绝缘垫板</w:t>
      </w:r>
      <w:r>
        <w:rPr>
          <w:rFonts w:hint="eastAsia" w:ascii="宋体" w:hAnsi="宋体" w:eastAsia="宋体" w:cs="Times New Roman"/>
          <w:lang w:eastAsia="zh-CN"/>
        </w:rPr>
        <w:t>，</w:t>
      </w:r>
      <w:r>
        <w:rPr>
          <w:rFonts w:hint="eastAsia" w:ascii="宋体" w:hAnsi="宋体" w:eastAsia="宋体" w:cs="Times New Roman"/>
        </w:rPr>
        <w:t>或未采用绝缘吊钩等，均可能造成人员触电伤亡。</w:t>
      </w:r>
    </w:p>
    <w:p w14:paraId="676D5351">
      <w:pPr>
        <w:keepNext w:val="0"/>
        <w:keepLines w:val="0"/>
        <w:pageBreakBefore w:val="0"/>
        <w:widowControl w:val="0"/>
        <w:numPr>
          <w:ilvl w:val="0"/>
          <w:numId w:val="62"/>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项目厂房为钢屋架厂房，其上安装的</w:t>
      </w:r>
      <w:r>
        <w:rPr>
          <w:rFonts w:hint="eastAsia" w:ascii="宋体" w:hAnsi="宋体" w:eastAsia="宋体" w:cs="Times New Roman"/>
          <w:lang w:eastAsia="zh-CN"/>
        </w:rPr>
        <w:t>电气设备</w:t>
      </w:r>
      <w:r>
        <w:rPr>
          <w:rFonts w:hint="eastAsia" w:ascii="宋体" w:hAnsi="宋体" w:eastAsia="宋体" w:cs="Times New Roman"/>
        </w:rPr>
        <w:t>若未与钢屋架</w:t>
      </w:r>
      <w:r>
        <w:rPr>
          <w:rFonts w:hint="eastAsia" w:cs="Times New Roman"/>
        </w:rPr>
        <w:t>实行绝缘设置，也可能发生漏电触电事故。</w:t>
      </w:r>
    </w:p>
    <w:p w14:paraId="5C405B93">
      <w:pPr>
        <w:keepNext w:val="0"/>
        <w:keepLines w:val="0"/>
        <w:pageBreakBefore w:val="0"/>
        <w:widowControl w:val="0"/>
        <w:numPr>
          <w:ilvl w:val="0"/>
          <w:numId w:val="62"/>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更换布袋或检修</w:t>
      </w:r>
      <w:r>
        <w:rPr>
          <w:rFonts w:hint="eastAsia" w:ascii="宋体" w:hAnsi="宋体" w:eastAsia="宋体" w:cs="Times New Roman"/>
          <w:lang w:val="en-US" w:eastAsia="zh-CN"/>
        </w:rPr>
        <w:t>旋风</w:t>
      </w:r>
      <w:r>
        <w:rPr>
          <w:rFonts w:hint="eastAsia" w:ascii="宋体" w:hAnsi="宋体" w:eastAsia="宋体" w:cs="Times New Roman"/>
        </w:rPr>
        <w:t>除尘器内仓作业，未执行有限空间作业“先通风、后检测、再作业”规定和检维修前未进行毒害介质有效隔离、吹扫、置换，未实行停电、挂牌，会造成人员</w:t>
      </w:r>
      <w:r>
        <w:rPr>
          <w:rFonts w:hint="eastAsia" w:ascii="宋体" w:hAnsi="宋体" w:eastAsia="宋体" w:cs="Times New Roman"/>
          <w:lang w:val="en-US" w:eastAsia="zh-CN"/>
        </w:rPr>
        <w:t>中毒和窒息或伤亡事故。</w:t>
      </w:r>
    </w:p>
    <w:p w14:paraId="46E58A79">
      <w:pPr>
        <w:keepNext w:val="0"/>
        <w:keepLines w:val="0"/>
        <w:pageBreakBefore w:val="0"/>
        <w:widowControl w:val="0"/>
        <w:numPr>
          <w:ilvl w:val="0"/>
          <w:numId w:val="62"/>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lang w:eastAsia="zh-CN"/>
        </w:rPr>
      </w:pPr>
      <w:r>
        <w:rPr>
          <w:rFonts w:hint="eastAsia" w:ascii="宋体" w:hAnsi="宋体" w:eastAsia="宋体" w:cs="Times New Roman"/>
        </w:rPr>
        <w:t>压缩空气储罐等压力容器超压使用或安全装置缺失失效，会发生容器爆炸</w:t>
      </w:r>
      <w:r>
        <w:rPr>
          <w:rFonts w:hint="eastAsia" w:ascii="宋体" w:hAnsi="宋体" w:eastAsia="宋体" w:cs="Times New Roman"/>
          <w:lang w:eastAsia="zh-CN"/>
        </w:rPr>
        <w:t>。</w:t>
      </w:r>
    </w:p>
    <w:p w14:paraId="5D4DCD3D">
      <w:pPr>
        <w:keepNext w:val="0"/>
        <w:keepLines w:val="0"/>
        <w:pageBreakBefore w:val="0"/>
        <w:widowControl w:val="0"/>
        <w:numPr>
          <w:ilvl w:val="0"/>
          <w:numId w:val="62"/>
        </w:numPr>
        <w:kinsoku/>
        <w:wordWrap/>
        <w:overflowPunct/>
        <w:topLinePunct/>
        <w:autoSpaceDE/>
        <w:autoSpaceDN/>
        <w:bidi w:val="0"/>
        <w:adjustRightInd/>
        <w:snapToGrid/>
        <w:ind w:left="0" w:leftChars="0" w:firstLine="560" w:firstLineChars="200"/>
        <w:textAlignment w:val="auto"/>
        <w:rPr>
          <w:rFonts w:hint="default" w:ascii="宋体" w:hAnsi="宋体" w:eastAsia="宋体" w:cs="Times New Roman"/>
          <w:lang w:val="en-US" w:eastAsia="zh-CN"/>
        </w:rPr>
      </w:pPr>
      <w:r>
        <w:rPr>
          <w:rFonts w:hint="eastAsia" w:ascii="宋体" w:hAnsi="宋体" w:eastAsia="宋体" w:cs="Times New Roman"/>
          <w:lang w:val="en-US" w:eastAsia="zh-CN"/>
        </w:rPr>
        <w:t>起重机吊运和更换石墨电极时，指挥作业人员站位不当，可能会发生起重伤害事故。</w:t>
      </w:r>
    </w:p>
    <w:p w14:paraId="5846474B">
      <w:pPr>
        <w:keepNext w:val="0"/>
        <w:keepLines w:val="0"/>
        <w:pageBreakBefore w:val="0"/>
        <w:widowControl w:val="0"/>
        <w:numPr>
          <w:ilvl w:val="0"/>
          <w:numId w:val="62"/>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lang w:val="en-US" w:eastAsia="zh-CN"/>
        </w:rPr>
        <w:t>电弧炉熔炼</w:t>
      </w:r>
      <w:r>
        <w:rPr>
          <w:rFonts w:hint="eastAsia" w:ascii="宋体" w:hAnsi="宋体" w:eastAsia="宋体" w:cs="Times New Roman"/>
        </w:rPr>
        <w:t>过程会</w:t>
      </w:r>
      <w:r>
        <w:rPr>
          <w:rFonts w:hint="eastAsia" w:ascii="宋体" w:hAnsi="宋体" w:eastAsia="宋体" w:cs="Times New Roman"/>
          <w:lang w:eastAsia="zh-CN"/>
        </w:rPr>
        <w:t>产生</w:t>
      </w:r>
      <w:r>
        <w:rPr>
          <w:rFonts w:hint="eastAsia" w:ascii="宋体" w:hAnsi="宋体" w:eastAsia="宋体" w:cs="Times New Roman"/>
        </w:rPr>
        <w:t>大量有毒有害气体</w:t>
      </w:r>
      <w:r>
        <w:rPr>
          <w:rFonts w:hint="eastAsia" w:ascii="宋体" w:hAnsi="宋体" w:eastAsia="宋体" w:cs="Times New Roman"/>
          <w:lang w:eastAsia="zh-CN"/>
        </w:rPr>
        <w:t>，</w:t>
      </w:r>
      <w:r>
        <w:rPr>
          <w:rFonts w:hint="eastAsia" w:ascii="宋体" w:hAnsi="宋体" w:eastAsia="宋体" w:cs="Times New Roman"/>
        </w:rPr>
        <w:t>如</w:t>
      </w:r>
      <w:r>
        <w:rPr>
          <w:rFonts w:hint="eastAsia" w:ascii="宋体" w:hAnsi="宋体" w:eastAsia="宋体" w:cs="Times New Roman"/>
          <w:lang w:val="en-US" w:eastAsia="zh-CN"/>
        </w:rPr>
        <w:t>一氧化碳</w:t>
      </w:r>
      <w:r>
        <w:rPr>
          <w:rFonts w:hint="eastAsia" w:ascii="宋体" w:hAnsi="宋体" w:eastAsia="宋体" w:cs="Times New Roman"/>
        </w:rPr>
        <w:t>和</w:t>
      </w:r>
      <w:r>
        <w:rPr>
          <w:rFonts w:hint="eastAsia" w:ascii="宋体" w:hAnsi="宋体" w:eastAsia="宋体" w:cs="Times New Roman"/>
          <w:lang w:val="en-US" w:eastAsia="zh-CN"/>
        </w:rPr>
        <w:t>二氧化碳</w:t>
      </w:r>
      <w:r>
        <w:rPr>
          <w:rFonts w:hint="eastAsia" w:ascii="宋体" w:hAnsi="宋体" w:eastAsia="宋体" w:cs="Times New Roman"/>
        </w:rPr>
        <w:t>等</w:t>
      </w:r>
      <w:r>
        <w:rPr>
          <w:rFonts w:hint="eastAsia" w:ascii="宋体" w:hAnsi="宋体" w:eastAsia="宋体" w:cs="Times New Roman"/>
          <w:lang w:eastAsia="zh-CN"/>
        </w:rPr>
        <w:t>，</w:t>
      </w:r>
      <w:r>
        <w:rPr>
          <w:rFonts w:hint="eastAsia" w:ascii="宋体" w:hAnsi="宋体" w:eastAsia="宋体" w:cs="Times New Roman"/>
          <w:lang w:val="en-US" w:eastAsia="zh-CN"/>
        </w:rPr>
        <w:t>如果未进行密闭熔炼，或出渣口吸气罩失效，</w:t>
      </w:r>
      <w:r>
        <w:rPr>
          <w:rFonts w:hint="eastAsia" w:ascii="宋体" w:hAnsi="宋体" w:eastAsia="宋体" w:cs="Times New Roman"/>
        </w:rPr>
        <w:t>可能导致有毒有害气体</w:t>
      </w:r>
      <w:r>
        <w:rPr>
          <w:rFonts w:hint="eastAsia" w:ascii="宋体" w:hAnsi="宋体" w:eastAsia="宋体" w:cs="Times New Roman"/>
          <w:lang w:val="en-US" w:eastAsia="zh-CN"/>
        </w:rPr>
        <w:t>逸散造成</w:t>
      </w:r>
      <w:r>
        <w:rPr>
          <w:rFonts w:hint="eastAsia" w:ascii="宋体" w:hAnsi="宋体" w:eastAsia="宋体" w:cs="Times New Roman"/>
        </w:rPr>
        <w:t>职业病和中毒。</w:t>
      </w:r>
    </w:p>
    <w:p w14:paraId="08E1DB79">
      <w:pPr>
        <w:keepNext w:val="0"/>
        <w:keepLines w:val="0"/>
        <w:pageBreakBefore w:val="0"/>
        <w:widowControl w:val="0"/>
        <w:numPr>
          <w:ilvl w:val="0"/>
          <w:numId w:val="62"/>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设备运行和生产工艺本身会产生较高的噪声，如空压机、</w:t>
      </w:r>
      <w:r>
        <w:rPr>
          <w:rFonts w:hint="eastAsia" w:cs="Times New Roman"/>
          <w:lang w:val="en-US" w:eastAsia="zh-CN"/>
        </w:rPr>
        <w:t>引</w:t>
      </w:r>
      <w:r>
        <w:rPr>
          <w:rFonts w:hint="eastAsia" w:ascii="宋体" w:hAnsi="宋体" w:eastAsia="宋体" w:cs="Times New Roman"/>
          <w:lang w:val="en-US" w:eastAsia="zh-CN"/>
        </w:rPr>
        <w:t>风机和收尘器等产生的噪声，对听力有损害。</w:t>
      </w:r>
    </w:p>
    <w:p w14:paraId="2822282A">
      <w:pPr>
        <w:pStyle w:val="5"/>
        <w:bidi w:val="0"/>
        <w:rPr>
          <w:rFonts w:hint="eastAsia"/>
          <w:lang w:val="en-US" w:eastAsia="zh-CN"/>
        </w:rPr>
      </w:pPr>
      <w:r>
        <w:rPr>
          <w:rFonts w:hint="eastAsia"/>
        </w:rPr>
        <w:t>脱硅</w:t>
      </w:r>
      <w:r>
        <w:rPr>
          <w:rFonts w:hint="eastAsia"/>
          <w:lang w:val="en-US" w:eastAsia="zh-CN"/>
        </w:rPr>
        <w:t>工序危险性分析</w:t>
      </w:r>
    </w:p>
    <w:p w14:paraId="7D14BC0C">
      <w:r>
        <w:rPr>
          <w:rFonts w:hint="eastAsia"/>
        </w:rPr>
        <w:t>脱硅</w:t>
      </w:r>
      <w:r>
        <w:rPr>
          <w:rFonts w:hint="eastAsia"/>
          <w:lang w:val="en-US" w:eastAsia="zh-CN"/>
        </w:rPr>
        <w:t>工序主</w:t>
      </w:r>
      <w:r>
        <w:rPr>
          <w:rFonts w:hint="eastAsia"/>
        </w:rPr>
        <w:t>要是</w:t>
      </w:r>
      <w:r>
        <w:rPr>
          <w:rFonts w:hint="eastAsia" w:cs="Times New Roman"/>
        </w:rPr>
        <w:t>炉内</w:t>
      </w:r>
      <w:r>
        <w:rPr>
          <w:rFonts w:hint="eastAsia" w:cs="Times New Roman"/>
          <w:lang w:val="en-US" w:eastAsia="zh-CN"/>
        </w:rPr>
        <w:t>发生主反应，生成的</w:t>
      </w:r>
      <w:r>
        <w:rPr>
          <w:rFonts w:hint="eastAsia" w:cs="Times New Roman"/>
        </w:rPr>
        <w:t>SiO</w:t>
      </w:r>
      <w:r>
        <w:rPr>
          <w:rFonts w:hint="eastAsia" w:cs="Times New Roman"/>
          <w:vertAlign w:val="subscript"/>
        </w:rPr>
        <w:t>2</w:t>
      </w:r>
      <w:r>
        <w:rPr>
          <w:rFonts w:hint="eastAsia" w:cs="Times New Roman"/>
        </w:rPr>
        <w:t>在系统引风机产生负压</w:t>
      </w:r>
      <w:r>
        <w:rPr>
          <w:rFonts w:hint="eastAsia" w:cs="Times New Roman"/>
          <w:lang w:val="en-US" w:eastAsia="zh-CN"/>
        </w:rPr>
        <w:t>的</w:t>
      </w:r>
      <w:r>
        <w:rPr>
          <w:rFonts w:hint="eastAsia" w:cs="Times New Roman"/>
        </w:rPr>
        <w:t>作用下流向集料室</w:t>
      </w:r>
      <w:r>
        <w:rPr>
          <w:rFonts w:hint="eastAsia"/>
          <w:lang w:val="en-US" w:eastAsia="zh-CN"/>
        </w:rPr>
        <w:t>的过程。</w:t>
      </w:r>
      <w:r>
        <w:rPr>
          <w:rFonts w:hint="eastAsia"/>
        </w:rPr>
        <w:t>主要</w:t>
      </w:r>
      <w:r>
        <w:rPr>
          <w:rFonts w:hint="eastAsia"/>
          <w:lang w:val="en-US" w:eastAsia="zh-CN"/>
        </w:rPr>
        <w:t>涉及的</w:t>
      </w:r>
      <w:r>
        <w:rPr>
          <w:rFonts w:hint="eastAsia"/>
        </w:rPr>
        <w:t>设备为</w:t>
      </w:r>
      <w:r>
        <w:rPr>
          <w:rFonts w:hint="eastAsia" w:cs="Times New Roman"/>
        </w:rPr>
        <w:t>主烟道、旋风除尘器、脉冲袋式除尘器、主风机、气动系统、电气控制柜等</w:t>
      </w:r>
      <w:r>
        <w:rPr>
          <w:rFonts w:hint="eastAsia"/>
          <w:lang w:val="en-US" w:eastAsia="zh-CN"/>
        </w:rPr>
        <w:t>。本</w:t>
      </w:r>
      <w:r>
        <w:t>工序主要存在</w:t>
      </w:r>
      <w:r>
        <w:rPr>
          <w:rFonts w:hint="eastAsia"/>
        </w:rPr>
        <w:t>机械伤害</w:t>
      </w:r>
      <w:r>
        <w:rPr>
          <w:rFonts w:hint="eastAsia"/>
          <w:lang w:val="en-US" w:eastAsia="zh-CN"/>
        </w:rPr>
        <w:t>、</w:t>
      </w:r>
      <w:r>
        <w:rPr>
          <w:rFonts w:hint="eastAsia"/>
        </w:rPr>
        <w:t>触电、</w:t>
      </w:r>
      <w:r>
        <w:rPr>
          <w:rFonts w:hint="eastAsia"/>
          <w:lang w:val="en-US" w:eastAsia="zh-CN"/>
        </w:rPr>
        <w:t>高处坠落、</w:t>
      </w:r>
      <w:r>
        <w:rPr>
          <w:rFonts w:hint="eastAsia"/>
        </w:rPr>
        <w:t>噪声</w:t>
      </w:r>
      <w:r>
        <w:rPr>
          <w:rFonts w:hint="eastAsia"/>
          <w:lang w:eastAsia="zh-CN"/>
        </w:rPr>
        <w:t>、</w:t>
      </w:r>
      <w:r>
        <w:rPr>
          <w:rFonts w:hint="eastAsia"/>
          <w:lang w:val="en-US" w:eastAsia="zh-CN"/>
        </w:rPr>
        <w:t>粉尘</w:t>
      </w:r>
      <w:r>
        <w:t>等危险，其主要引发原因分析如下：</w:t>
      </w:r>
    </w:p>
    <w:p w14:paraId="5E07DCDD">
      <w:pPr>
        <w:keepNext w:val="0"/>
        <w:keepLines w:val="0"/>
        <w:pageBreakBefore w:val="0"/>
        <w:widowControl w:val="0"/>
        <w:numPr>
          <w:ilvl w:val="0"/>
          <w:numId w:val="63"/>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主风机、旋风除尘器等转动设备传动处若无防护罩或防护设施缺失可能导致作业人员衣角等卷入导致机械伤害。</w:t>
      </w:r>
    </w:p>
    <w:p w14:paraId="2ECFA83A">
      <w:pPr>
        <w:keepNext w:val="0"/>
        <w:keepLines w:val="0"/>
        <w:pageBreakBefore w:val="0"/>
        <w:widowControl w:val="0"/>
        <w:numPr>
          <w:ilvl w:val="0"/>
          <w:numId w:val="63"/>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除尘设备设置于高处，作业人员巡查或检修时可能发生高处坠落风险。</w:t>
      </w:r>
    </w:p>
    <w:p w14:paraId="30AD3922">
      <w:pPr>
        <w:keepNext w:val="0"/>
        <w:keepLines w:val="0"/>
        <w:pageBreakBefore w:val="0"/>
        <w:widowControl w:val="0"/>
        <w:numPr>
          <w:ilvl w:val="0"/>
          <w:numId w:val="63"/>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rPr>
        <w:t>岗位使用的各种电气设备若安装不当、绝缘不良、线头裸露、无保护接地等，可能造成人员触电事故。</w:t>
      </w:r>
    </w:p>
    <w:p w14:paraId="58D8EF50">
      <w:pPr>
        <w:keepNext w:val="0"/>
        <w:keepLines w:val="0"/>
        <w:pageBreakBefore w:val="0"/>
        <w:widowControl w:val="0"/>
        <w:numPr>
          <w:ilvl w:val="0"/>
          <w:numId w:val="63"/>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引风机</w:t>
      </w:r>
      <w:r>
        <w:rPr>
          <w:rFonts w:hint="eastAsia" w:ascii="宋体" w:hAnsi="宋体" w:eastAsia="宋体" w:cs="Times New Roman"/>
          <w:lang w:eastAsia="zh-CN"/>
        </w:rPr>
        <w:t>、</w:t>
      </w:r>
      <w:r>
        <w:rPr>
          <w:rFonts w:hint="eastAsia" w:ascii="宋体" w:hAnsi="宋体" w:eastAsia="宋体" w:cs="Times New Roman"/>
          <w:lang w:val="en-US" w:eastAsia="zh-CN"/>
        </w:rPr>
        <w:t>气动系统</w:t>
      </w:r>
      <w:r>
        <w:rPr>
          <w:rFonts w:hint="eastAsia" w:ascii="宋体" w:hAnsi="宋体" w:eastAsia="宋体" w:cs="Times New Roman"/>
        </w:rPr>
        <w:t>等噪声较大，若操作人员长期无防护在噪声环境中作业，会导致人耳鸣、耳背、头痛头晕、易疲劳、心慌乱、记忆力减退、失眠多梦、神经衰弱、并可引起暂性听闻位移，永久性听闻位移直至噪声性耳聋等症状。</w:t>
      </w:r>
    </w:p>
    <w:p w14:paraId="1F387856">
      <w:pPr>
        <w:keepNext w:val="0"/>
        <w:keepLines w:val="0"/>
        <w:pageBreakBefore w:val="0"/>
        <w:widowControl w:val="0"/>
        <w:numPr>
          <w:ilvl w:val="0"/>
          <w:numId w:val="63"/>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rPr>
        <w:t>在脱硅过程中，会产生大量的硅微粉和其他粉尘。这些粉尘如果长时间暴露或被吸入，可能对操作人员的呼吸系统造成损害</w:t>
      </w:r>
      <w:r>
        <w:rPr>
          <w:rFonts w:hint="eastAsia" w:ascii="宋体" w:hAnsi="宋体" w:eastAsia="宋体" w:cs="Times New Roman"/>
          <w:lang w:eastAsia="zh-CN"/>
        </w:rPr>
        <w:t>。</w:t>
      </w:r>
    </w:p>
    <w:p w14:paraId="5B690632">
      <w:pPr>
        <w:pStyle w:val="5"/>
        <w:bidi w:val="0"/>
        <w:rPr>
          <w:rFonts w:hint="eastAsia"/>
        </w:rPr>
      </w:pPr>
      <w:r>
        <w:rPr>
          <w:rFonts w:hint="eastAsia"/>
        </w:rPr>
        <w:t>吹球冷却</w:t>
      </w:r>
      <w:r>
        <w:rPr>
          <w:rFonts w:hint="eastAsia"/>
          <w:lang w:val="en-US" w:eastAsia="zh-CN"/>
        </w:rPr>
        <w:t>工序危险性分析</w:t>
      </w:r>
    </w:p>
    <w:p w14:paraId="5A945D4F">
      <w:r>
        <w:rPr>
          <w:rFonts w:hint="eastAsia"/>
        </w:rPr>
        <w:t>吹球冷却</w:t>
      </w:r>
      <w:r>
        <w:rPr>
          <w:rFonts w:hint="eastAsia"/>
          <w:lang w:val="en-US" w:eastAsia="zh-CN"/>
        </w:rPr>
        <w:t>工序主</w:t>
      </w:r>
      <w:r>
        <w:rPr>
          <w:rFonts w:hint="eastAsia"/>
        </w:rPr>
        <w:t>要是</w:t>
      </w:r>
      <w:r>
        <w:rPr>
          <w:rFonts w:hint="eastAsia"/>
          <w:lang w:val="en-US" w:eastAsia="zh-CN"/>
        </w:rPr>
        <w:t>将熔炼结束的电弧炉倾动，采用压缩空气</w:t>
      </w:r>
      <w:r>
        <w:rPr>
          <w:rFonts w:hint="eastAsia"/>
        </w:rPr>
        <w:t>将</w:t>
      </w:r>
      <w:r>
        <w:rPr>
          <w:rFonts w:hint="eastAsia"/>
          <w:lang w:val="en-US" w:eastAsia="zh-CN"/>
        </w:rPr>
        <w:t>熔炼出的</w:t>
      </w:r>
      <w:r>
        <w:rPr>
          <w:rFonts w:hint="eastAsia" w:cs="Times New Roman"/>
        </w:rPr>
        <w:t>ZrO</w:t>
      </w:r>
      <w:r>
        <w:rPr>
          <w:rFonts w:hint="eastAsia" w:cs="Times New Roman"/>
          <w:vertAlign w:val="subscript"/>
        </w:rPr>
        <w:t>2</w:t>
      </w:r>
      <w:r>
        <w:rPr>
          <w:rFonts w:hint="eastAsia" w:cs="Times New Roman"/>
        </w:rPr>
        <w:t>熔体直接吹向集球室</w:t>
      </w:r>
      <w:r>
        <w:rPr>
          <w:rFonts w:hint="eastAsia" w:cs="Times New Roman"/>
          <w:lang w:eastAsia="zh-CN"/>
        </w:rPr>
        <w:t>，</w:t>
      </w:r>
      <w:r>
        <w:rPr>
          <w:rFonts w:hint="eastAsia" w:cs="Times New Roman"/>
        </w:rPr>
        <w:t>熔体从高温急冷形成ZrO</w:t>
      </w:r>
      <w:r>
        <w:rPr>
          <w:rFonts w:hint="eastAsia" w:cs="Times New Roman"/>
          <w:vertAlign w:val="subscript"/>
        </w:rPr>
        <w:t>2</w:t>
      </w:r>
      <w:r>
        <w:rPr>
          <w:rFonts w:hint="eastAsia"/>
          <w:lang w:val="en-US" w:eastAsia="zh-CN"/>
        </w:rPr>
        <w:t>的过程。</w:t>
      </w:r>
      <w:r>
        <w:rPr>
          <w:rFonts w:hint="eastAsia"/>
        </w:rPr>
        <w:t>主要设备为</w:t>
      </w:r>
      <w:r>
        <w:rPr>
          <w:rFonts w:hint="eastAsia" w:cs="Times New Roman"/>
        </w:rPr>
        <w:t>空压机</w:t>
      </w:r>
      <w:r>
        <w:rPr>
          <w:rFonts w:hint="eastAsia" w:cs="Times New Roman"/>
          <w:lang w:val="en-US" w:eastAsia="zh-CN"/>
        </w:rPr>
        <w:t>和储气罐</w:t>
      </w:r>
      <w:r>
        <w:rPr>
          <w:rFonts w:hint="eastAsia"/>
          <w:lang w:val="en-US" w:eastAsia="zh-CN"/>
        </w:rPr>
        <w:t>。本</w:t>
      </w:r>
      <w:r>
        <w:t>工序主要存在</w:t>
      </w:r>
      <w:r>
        <w:rPr>
          <w:rFonts w:hint="eastAsia"/>
        </w:rPr>
        <w:t>机械伤害、触电、</w:t>
      </w:r>
      <w:r>
        <w:rPr>
          <w:rFonts w:hint="eastAsia"/>
          <w:lang w:val="en-US" w:eastAsia="zh-CN"/>
        </w:rPr>
        <w:t>容器爆炸、</w:t>
      </w:r>
      <w:r>
        <w:rPr>
          <w:rFonts w:hint="eastAsia"/>
        </w:rPr>
        <w:t>噪声</w:t>
      </w:r>
      <w:r>
        <w:t>等危险，其主要引发原因分析如下：</w:t>
      </w:r>
    </w:p>
    <w:p w14:paraId="7268A59F">
      <w:pPr>
        <w:keepNext w:val="0"/>
        <w:keepLines w:val="0"/>
        <w:pageBreakBefore w:val="0"/>
        <w:widowControl w:val="0"/>
        <w:numPr>
          <w:ilvl w:val="0"/>
          <w:numId w:val="64"/>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lang w:eastAsia="zh-CN"/>
        </w:rPr>
      </w:pPr>
      <w:r>
        <w:rPr>
          <w:rFonts w:hint="eastAsia" w:ascii="宋体" w:hAnsi="宋体" w:eastAsia="宋体" w:cs="宋体"/>
          <w:szCs w:val="28"/>
        </w:rPr>
        <w:t>如果</w:t>
      </w:r>
      <w:r>
        <w:rPr>
          <w:rFonts w:hint="eastAsia" w:cs="宋体"/>
          <w:szCs w:val="28"/>
          <w:lang w:val="en-US" w:eastAsia="zh-CN"/>
        </w:rPr>
        <w:t>空压机</w:t>
      </w:r>
      <w:r>
        <w:rPr>
          <w:rFonts w:hint="eastAsia" w:ascii="宋体" w:hAnsi="宋体" w:eastAsia="宋体" w:cs="宋体"/>
          <w:szCs w:val="28"/>
        </w:rPr>
        <w:t>没有可靠的安全防护装置、</w:t>
      </w:r>
      <w:r>
        <w:rPr>
          <w:rFonts w:hint="eastAsia" w:ascii="宋体" w:hAnsi="宋体" w:eastAsia="宋体" w:cs="宋体"/>
          <w:szCs w:val="28"/>
          <w:lang w:eastAsia="zh-CN"/>
        </w:rPr>
        <w:t>安全联锁装置</w:t>
      </w:r>
      <w:r>
        <w:rPr>
          <w:rFonts w:hint="eastAsia" w:ascii="宋体" w:hAnsi="宋体" w:eastAsia="宋体" w:cs="宋体"/>
          <w:szCs w:val="28"/>
        </w:rPr>
        <w:t>及急 停装置，或设备有缺陷，违章作业等，易发生</w:t>
      </w:r>
      <w:r>
        <w:rPr>
          <w:rFonts w:hint="eastAsia" w:cs="宋体"/>
          <w:szCs w:val="28"/>
          <w:lang w:val="en-US" w:eastAsia="zh-CN"/>
        </w:rPr>
        <w:t>机械伤害</w:t>
      </w:r>
      <w:r>
        <w:rPr>
          <w:rFonts w:hint="eastAsia" w:ascii="宋体" w:hAnsi="宋体" w:eastAsia="宋体" w:cs="宋体"/>
          <w:szCs w:val="28"/>
        </w:rPr>
        <w:t>事故</w:t>
      </w:r>
      <w:r>
        <w:rPr>
          <w:rFonts w:hint="eastAsia" w:cs="宋体"/>
          <w:szCs w:val="28"/>
          <w:lang w:eastAsia="zh-CN"/>
        </w:rPr>
        <w:t>。</w:t>
      </w:r>
    </w:p>
    <w:p w14:paraId="51A9A96E">
      <w:pPr>
        <w:keepNext w:val="0"/>
        <w:keepLines w:val="0"/>
        <w:pageBreakBefore w:val="0"/>
        <w:widowControl w:val="0"/>
        <w:numPr>
          <w:ilvl w:val="0"/>
          <w:numId w:val="64"/>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lang w:eastAsia="zh-CN"/>
        </w:rPr>
      </w:pPr>
      <w:r>
        <w:rPr>
          <w:rFonts w:hint="eastAsia" w:ascii="宋体" w:hAnsi="宋体" w:eastAsia="宋体" w:cs="宋体"/>
          <w:szCs w:val="28"/>
        </w:rPr>
        <w:t>项目生产过程中所使用的电</w:t>
      </w:r>
      <w:r>
        <w:rPr>
          <w:rFonts w:hint="eastAsia" w:cs="宋体"/>
          <w:szCs w:val="28"/>
          <w:lang w:val="en-US" w:eastAsia="zh-CN"/>
        </w:rPr>
        <w:t>气</w:t>
      </w:r>
      <w:r>
        <w:rPr>
          <w:rFonts w:hint="eastAsia" w:ascii="宋体" w:hAnsi="宋体" w:eastAsia="宋体" w:cs="宋体"/>
          <w:szCs w:val="28"/>
        </w:rPr>
        <w:t>设备，在操作设备，启闭开关过程有发生触电的危险</w:t>
      </w:r>
      <w:r>
        <w:rPr>
          <w:rFonts w:hint="eastAsia" w:cs="宋体"/>
          <w:szCs w:val="28"/>
          <w:lang w:eastAsia="zh-CN"/>
        </w:rPr>
        <w:t>。</w:t>
      </w:r>
    </w:p>
    <w:p w14:paraId="518CA3C3">
      <w:pPr>
        <w:keepNext w:val="0"/>
        <w:keepLines w:val="0"/>
        <w:pageBreakBefore w:val="0"/>
        <w:widowControl w:val="0"/>
        <w:numPr>
          <w:ilvl w:val="0"/>
          <w:numId w:val="64"/>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lang w:eastAsia="zh-CN"/>
        </w:rPr>
      </w:pPr>
      <w:r>
        <w:rPr>
          <w:rFonts w:hint="eastAsia" w:ascii="宋体" w:hAnsi="宋体" w:eastAsia="宋体" w:cs="Times New Roman"/>
        </w:rPr>
        <w:t>压缩空气储罐等压力容器超压使用或安全装置缺失失效，会发生容器爆炸</w:t>
      </w:r>
      <w:r>
        <w:rPr>
          <w:rFonts w:hint="eastAsia" w:ascii="宋体" w:hAnsi="宋体" w:eastAsia="宋体" w:cs="Times New Roman"/>
          <w:lang w:eastAsia="zh-CN"/>
        </w:rPr>
        <w:t>。</w:t>
      </w:r>
    </w:p>
    <w:p w14:paraId="4F3C2529">
      <w:pPr>
        <w:keepNext w:val="0"/>
        <w:keepLines w:val="0"/>
        <w:pageBreakBefore w:val="0"/>
        <w:widowControl w:val="0"/>
        <w:numPr>
          <w:ilvl w:val="0"/>
          <w:numId w:val="64"/>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lang w:eastAsia="zh-CN"/>
        </w:rPr>
      </w:pPr>
      <w:r>
        <w:rPr>
          <w:rFonts w:hint="eastAsia" w:ascii="宋体" w:hAnsi="宋体" w:eastAsia="宋体" w:cs="Times New Roman"/>
        </w:rPr>
        <w:t>在生产过程中设备</w:t>
      </w:r>
      <w:r>
        <w:rPr>
          <w:rFonts w:hint="eastAsia" w:ascii="宋体" w:hAnsi="宋体" w:eastAsia="宋体" w:cs="Times New Roman"/>
          <w:lang w:val="en-US" w:eastAsia="zh-CN"/>
        </w:rPr>
        <w:t>空压机</w:t>
      </w:r>
      <w:r>
        <w:rPr>
          <w:rFonts w:hint="eastAsia" w:ascii="宋体" w:hAnsi="宋体" w:eastAsia="宋体" w:cs="Times New Roman"/>
        </w:rPr>
        <w:t>会产生噪声，人员如未佩戴耳塞等劳动保护用品，则可能受噪声伤害</w:t>
      </w:r>
      <w:r>
        <w:rPr>
          <w:rFonts w:hint="eastAsia" w:ascii="宋体" w:hAnsi="宋体" w:eastAsia="宋体" w:cs="Times New Roman"/>
          <w:lang w:eastAsia="zh-CN"/>
        </w:rPr>
        <w:t>。</w:t>
      </w:r>
    </w:p>
    <w:p w14:paraId="7FEE4DA3">
      <w:pPr>
        <w:pStyle w:val="5"/>
        <w:bidi w:val="0"/>
        <w:rPr>
          <w:rFonts w:hint="eastAsia"/>
        </w:rPr>
      </w:pPr>
      <w:r>
        <w:rPr>
          <w:rFonts w:hint="eastAsia"/>
        </w:rPr>
        <w:t>制粉</w:t>
      </w:r>
      <w:r>
        <w:rPr>
          <w:rFonts w:hint="eastAsia"/>
          <w:lang w:val="en-US" w:eastAsia="zh-CN"/>
        </w:rPr>
        <w:t>工序危险性分析</w:t>
      </w:r>
    </w:p>
    <w:p w14:paraId="724D478F">
      <w:r>
        <w:rPr>
          <w:rFonts w:hint="eastAsia" w:ascii="宋体" w:hAnsi="宋体" w:eastAsia="宋体" w:cs="Times New Roman"/>
        </w:rPr>
        <w:t>制粉</w:t>
      </w:r>
      <w:r>
        <w:rPr>
          <w:rFonts w:hint="eastAsia" w:ascii="宋体" w:hAnsi="宋体" w:eastAsia="宋体" w:cs="Times New Roman"/>
          <w:lang w:val="en-US" w:eastAsia="zh-CN"/>
        </w:rPr>
        <w:t>工序主</w:t>
      </w:r>
      <w:r>
        <w:rPr>
          <w:rFonts w:hint="eastAsia" w:ascii="宋体" w:hAnsi="宋体" w:eastAsia="宋体" w:cs="Times New Roman"/>
        </w:rPr>
        <w:t>要是</w:t>
      </w:r>
      <w:r>
        <w:rPr>
          <w:rFonts w:hint="eastAsia" w:ascii="宋体" w:hAnsi="宋体" w:eastAsia="宋体" w:cs="Times New Roman"/>
          <w:lang w:val="en-US" w:eastAsia="zh-CN"/>
        </w:rPr>
        <w:t>冷却后的</w:t>
      </w:r>
      <w:r>
        <w:rPr>
          <w:rFonts w:hint="eastAsia" w:ascii="宋体" w:hAnsi="宋体" w:eastAsia="宋体" w:cs="Times New Roman"/>
        </w:rPr>
        <w:t>ZrO</w:t>
      </w:r>
      <w:r>
        <w:rPr>
          <w:rFonts w:hint="eastAsia" w:ascii="宋体" w:hAnsi="宋体" w:eastAsia="宋体" w:cs="Times New Roman"/>
          <w:vertAlign w:val="subscript"/>
        </w:rPr>
        <w:t>2</w:t>
      </w:r>
      <w:r>
        <w:rPr>
          <w:rFonts w:hint="eastAsia" w:ascii="宋体" w:hAnsi="宋体" w:eastAsia="宋体" w:cs="Times New Roman"/>
        </w:rPr>
        <w:t>空心球经筛选，进入磨粉机系统在离心力的作用下</w:t>
      </w:r>
      <w:r>
        <w:rPr>
          <w:rFonts w:hint="eastAsia" w:ascii="宋体" w:hAnsi="宋体" w:eastAsia="宋体" w:cs="Times New Roman"/>
          <w:lang w:eastAsia="zh-CN"/>
        </w:rPr>
        <w:t>，</w:t>
      </w:r>
      <w:r>
        <w:rPr>
          <w:rFonts w:hint="eastAsia" w:ascii="宋体" w:hAnsi="宋体" w:eastAsia="宋体" w:cs="Times New Roman"/>
          <w:lang w:val="en-US" w:eastAsia="zh-CN"/>
        </w:rPr>
        <w:t>经反复</w:t>
      </w:r>
      <w:r>
        <w:rPr>
          <w:rFonts w:hint="eastAsia" w:ascii="宋体" w:hAnsi="宋体" w:eastAsia="宋体" w:cs="Times New Roman"/>
        </w:rPr>
        <w:t>粉碎和研磨，</w:t>
      </w:r>
      <w:r>
        <w:rPr>
          <w:rFonts w:hint="eastAsia" w:ascii="宋体" w:hAnsi="宋体" w:eastAsia="宋体" w:cs="Times New Roman"/>
          <w:lang w:val="en-US" w:eastAsia="zh-CN"/>
        </w:rPr>
        <w:t>使粒度符合规格的过程。</w:t>
      </w:r>
      <w:r>
        <w:rPr>
          <w:rFonts w:hint="eastAsia" w:ascii="宋体" w:hAnsi="宋体" w:eastAsia="宋体" w:cs="Times New Roman"/>
        </w:rPr>
        <w:t>主要设备为三层振动筛</w:t>
      </w:r>
      <w:r>
        <w:rPr>
          <w:rFonts w:hint="eastAsia" w:ascii="宋体" w:hAnsi="宋体" w:eastAsia="宋体" w:cs="Times New Roman"/>
          <w:lang w:eastAsia="zh-CN"/>
        </w:rPr>
        <w:t>、</w:t>
      </w:r>
      <w:r>
        <w:rPr>
          <w:rFonts w:hint="eastAsia" w:ascii="宋体" w:hAnsi="宋体" w:eastAsia="宋体" w:cs="Times New Roman"/>
        </w:rPr>
        <w:t>气流磨</w:t>
      </w:r>
      <w:r>
        <w:rPr>
          <w:rFonts w:hint="eastAsia" w:ascii="宋体" w:hAnsi="宋体" w:eastAsia="宋体" w:cs="Times New Roman"/>
          <w:lang w:eastAsia="zh-CN"/>
        </w:rPr>
        <w:t>、</w:t>
      </w:r>
      <w:r>
        <w:rPr>
          <w:rFonts w:hint="eastAsia" w:ascii="宋体" w:hAnsi="宋体" w:eastAsia="宋体" w:cs="Times New Roman"/>
        </w:rPr>
        <w:t>雷蒙磨</w:t>
      </w:r>
      <w:r>
        <w:rPr>
          <w:rFonts w:hint="eastAsia" w:ascii="宋体" w:hAnsi="宋体" w:eastAsia="宋体" w:cs="Times New Roman"/>
          <w:lang w:eastAsia="zh-CN"/>
        </w:rPr>
        <w:t>、</w:t>
      </w:r>
      <w:r>
        <w:rPr>
          <w:rFonts w:hint="eastAsia" w:ascii="宋体" w:hAnsi="宋体" w:eastAsia="宋体" w:cs="Times New Roman"/>
          <w:lang w:val="en-US" w:eastAsia="zh-CN"/>
        </w:rPr>
        <w:t>空压机等。本</w:t>
      </w:r>
      <w:r>
        <w:rPr>
          <w:rFonts w:hint="eastAsia" w:ascii="宋体" w:hAnsi="宋体" w:eastAsia="宋体" w:cs="Times New Roman"/>
        </w:rPr>
        <w:t>工序主要存在物体打</w:t>
      </w:r>
      <w:r>
        <w:rPr>
          <w:rFonts w:hint="eastAsia"/>
        </w:rPr>
        <w:t>击</w:t>
      </w:r>
      <w:r>
        <w:rPr>
          <w:rFonts w:hint="eastAsia"/>
          <w:lang w:eastAsia="zh-CN"/>
        </w:rPr>
        <w:t>、</w:t>
      </w:r>
      <w:r>
        <w:rPr>
          <w:rFonts w:hint="eastAsia"/>
        </w:rPr>
        <w:t>机械伤害、</w:t>
      </w:r>
      <w:r>
        <w:rPr>
          <w:rFonts w:hint="eastAsia"/>
          <w:lang w:val="en-US" w:eastAsia="zh-CN"/>
        </w:rPr>
        <w:t>起重伤害、</w:t>
      </w:r>
      <w:r>
        <w:rPr>
          <w:rFonts w:hint="eastAsia"/>
        </w:rPr>
        <w:t>触电、噪声</w:t>
      </w:r>
      <w:r>
        <w:rPr>
          <w:rFonts w:hint="eastAsia"/>
          <w:lang w:eastAsia="zh-CN"/>
        </w:rPr>
        <w:t>、</w:t>
      </w:r>
      <w:r>
        <w:rPr>
          <w:rFonts w:hint="eastAsia"/>
          <w:lang w:val="en-US" w:eastAsia="zh-CN"/>
        </w:rPr>
        <w:t>振动、粉尘</w:t>
      </w:r>
      <w:r>
        <w:t>等危险，其主要引发原因分析如下：</w:t>
      </w:r>
    </w:p>
    <w:p w14:paraId="73BA75BB">
      <w:pPr>
        <w:keepNext w:val="0"/>
        <w:keepLines w:val="0"/>
        <w:pageBreakBefore w:val="0"/>
        <w:widowControl w:val="0"/>
        <w:numPr>
          <w:ilvl w:val="0"/>
          <w:numId w:val="65"/>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操作人员操作不慎，</w:t>
      </w:r>
      <w:r>
        <w:rPr>
          <w:rFonts w:hint="eastAsia" w:ascii="宋体" w:hAnsi="宋体" w:eastAsia="宋体" w:cs="宋体"/>
          <w:szCs w:val="28"/>
          <w:lang w:val="en-US" w:eastAsia="zh-CN"/>
        </w:rPr>
        <w:t>作业时未规范佩戴安全帽或防护鞋</w:t>
      </w:r>
      <w:r>
        <w:rPr>
          <w:rFonts w:hint="eastAsia" w:ascii="宋体" w:hAnsi="宋体" w:eastAsia="宋体" w:cs="宋体"/>
          <w:szCs w:val="28"/>
        </w:rPr>
        <w:t>可能</w:t>
      </w:r>
      <w:r>
        <w:rPr>
          <w:rFonts w:hint="eastAsia" w:ascii="宋体" w:hAnsi="宋体" w:eastAsia="宋体" w:cs="宋体"/>
          <w:szCs w:val="28"/>
          <w:lang w:val="en-US" w:eastAsia="zh-CN"/>
        </w:rPr>
        <w:t>因物料</w:t>
      </w:r>
      <w:r>
        <w:rPr>
          <w:rFonts w:hint="eastAsia" w:ascii="宋体" w:hAnsi="宋体" w:eastAsia="宋体" w:cs="宋体"/>
          <w:szCs w:val="28"/>
        </w:rPr>
        <w:t>掉落打击造成伤害。</w:t>
      </w:r>
    </w:p>
    <w:p w14:paraId="2A989A10">
      <w:pPr>
        <w:keepNext w:val="0"/>
        <w:keepLines w:val="0"/>
        <w:pageBreakBefore w:val="0"/>
        <w:widowControl w:val="0"/>
        <w:numPr>
          <w:ilvl w:val="0"/>
          <w:numId w:val="65"/>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宋体"/>
          <w:szCs w:val="28"/>
        </w:rPr>
        <w:t>振动筛</w:t>
      </w:r>
      <w:r>
        <w:rPr>
          <w:rFonts w:hint="eastAsia" w:ascii="宋体" w:hAnsi="宋体" w:eastAsia="宋体" w:cs="宋体"/>
          <w:szCs w:val="28"/>
          <w:lang w:eastAsia="zh-CN"/>
        </w:rPr>
        <w:t>、</w:t>
      </w:r>
      <w:r>
        <w:rPr>
          <w:rFonts w:hint="eastAsia" w:ascii="宋体" w:hAnsi="宋体" w:eastAsia="宋体" w:cs="宋体"/>
          <w:szCs w:val="28"/>
        </w:rPr>
        <w:t>气流磨</w:t>
      </w:r>
      <w:r>
        <w:rPr>
          <w:rFonts w:hint="eastAsia" w:ascii="宋体" w:hAnsi="宋体" w:eastAsia="宋体" w:cs="宋体"/>
          <w:szCs w:val="28"/>
          <w:lang w:eastAsia="zh-CN"/>
        </w:rPr>
        <w:t>、</w:t>
      </w:r>
      <w:r>
        <w:rPr>
          <w:rFonts w:hint="eastAsia" w:ascii="宋体" w:hAnsi="宋体" w:eastAsia="宋体" w:cs="宋体"/>
          <w:szCs w:val="28"/>
        </w:rPr>
        <w:t>雷蒙磨</w:t>
      </w:r>
      <w:r>
        <w:rPr>
          <w:rFonts w:hint="eastAsia" w:ascii="宋体" w:hAnsi="宋体" w:eastAsia="宋体" w:cs="宋体"/>
          <w:szCs w:val="28"/>
          <w:lang w:eastAsia="zh-CN"/>
        </w:rPr>
        <w:t>、</w:t>
      </w:r>
      <w:r>
        <w:rPr>
          <w:rFonts w:hint="eastAsia" w:ascii="宋体" w:hAnsi="宋体" w:eastAsia="宋体" w:cs="宋体"/>
          <w:szCs w:val="28"/>
          <w:lang w:val="en-US" w:eastAsia="zh-CN"/>
        </w:rPr>
        <w:t>空压机等机械设备运行过程中，</w:t>
      </w:r>
      <w:r>
        <w:rPr>
          <w:rFonts w:hint="eastAsia" w:ascii="宋体" w:hAnsi="宋体" w:eastAsia="宋体" w:cs="宋体"/>
          <w:szCs w:val="28"/>
        </w:rPr>
        <w:t>没有可靠的安全防护装置、</w:t>
      </w:r>
      <w:r>
        <w:rPr>
          <w:rFonts w:hint="eastAsia" w:ascii="宋体" w:hAnsi="宋体" w:eastAsia="宋体" w:cs="宋体"/>
          <w:szCs w:val="28"/>
          <w:lang w:eastAsia="zh-CN"/>
        </w:rPr>
        <w:t>安全联锁装置</w:t>
      </w:r>
      <w:r>
        <w:rPr>
          <w:rFonts w:hint="eastAsia" w:ascii="宋体" w:hAnsi="宋体" w:eastAsia="宋体" w:cs="宋体"/>
          <w:szCs w:val="28"/>
        </w:rPr>
        <w:t>及急停装置，或设备有缺陷，违章作业等，易发生</w:t>
      </w:r>
      <w:r>
        <w:rPr>
          <w:rFonts w:hint="eastAsia" w:cs="宋体"/>
          <w:szCs w:val="28"/>
          <w:lang w:val="en-US" w:eastAsia="zh-CN"/>
        </w:rPr>
        <w:t>机械伤害</w:t>
      </w:r>
      <w:r>
        <w:rPr>
          <w:rFonts w:hint="eastAsia" w:ascii="宋体" w:hAnsi="宋体" w:eastAsia="宋体" w:cs="宋体"/>
          <w:szCs w:val="28"/>
        </w:rPr>
        <w:t>事故</w:t>
      </w:r>
      <w:r>
        <w:rPr>
          <w:rFonts w:hint="eastAsia" w:cs="宋体"/>
          <w:szCs w:val="28"/>
          <w:lang w:eastAsia="zh-CN"/>
        </w:rPr>
        <w:t>。</w:t>
      </w:r>
    </w:p>
    <w:p w14:paraId="10DD3FF6">
      <w:pPr>
        <w:keepNext w:val="0"/>
        <w:keepLines w:val="0"/>
        <w:pageBreakBefore w:val="0"/>
        <w:widowControl w:val="0"/>
        <w:numPr>
          <w:ilvl w:val="0"/>
          <w:numId w:val="65"/>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Times New Roman"/>
        </w:rPr>
        <w:t>磨粉、制粉中使用</w:t>
      </w:r>
      <w:r>
        <w:rPr>
          <w:rFonts w:hint="eastAsia" w:ascii="宋体" w:hAnsi="宋体" w:eastAsia="宋体" w:cs="Times New Roman"/>
          <w:lang w:val="en-US" w:eastAsia="zh-CN"/>
        </w:rPr>
        <w:t>起重机</w:t>
      </w:r>
      <w:r>
        <w:rPr>
          <w:rFonts w:hint="eastAsia" w:ascii="宋体" w:hAnsi="宋体" w:eastAsia="宋体" w:cs="Times New Roman"/>
        </w:rPr>
        <w:t>作业，在吊运过程中钢绳突然断裂坠落、物料断裂坠落、设备缺陷、违章操作、作业人员未经培训取证、起重设备未按规定定期进行检验等。</w:t>
      </w:r>
      <w:r>
        <w:rPr>
          <w:rFonts w:hint="eastAsia" w:ascii="宋体" w:hAnsi="宋体" w:eastAsia="宋体" w:cs="Times New Roman"/>
          <w:lang w:val="en-US" w:eastAsia="zh-CN"/>
        </w:rPr>
        <w:t>起重机</w:t>
      </w:r>
      <w:r>
        <w:rPr>
          <w:rFonts w:hint="eastAsia" w:ascii="宋体" w:hAnsi="宋体" w:eastAsia="宋体" w:cs="Times New Roman"/>
        </w:rPr>
        <w:t>未设置报警式过载限制器、防撞装置、轨道极限安全保护装置等安全装置而导致的起重伤害事故；在吊运重物时，可</w:t>
      </w:r>
      <w:r>
        <w:rPr>
          <w:rFonts w:hint="eastAsia" w:ascii="宋体" w:hAnsi="宋体" w:eastAsia="宋体" w:cs="Times New Roman"/>
          <w:lang w:val="en-US" w:eastAsia="zh-CN"/>
        </w:rPr>
        <w:t>能</w:t>
      </w:r>
      <w:r>
        <w:rPr>
          <w:rFonts w:hint="eastAsia" w:ascii="宋体" w:hAnsi="宋体" w:eastAsia="宋体" w:cs="Times New Roman"/>
        </w:rPr>
        <w:t>出现吊物坠落或倾翻等意外情况，而导致起重事故。</w:t>
      </w:r>
    </w:p>
    <w:p w14:paraId="4A1AAA1F">
      <w:pPr>
        <w:keepNext w:val="0"/>
        <w:keepLines w:val="0"/>
        <w:pageBreakBefore w:val="0"/>
        <w:widowControl w:val="0"/>
        <w:numPr>
          <w:ilvl w:val="0"/>
          <w:numId w:val="65"/>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cs="宋体"/>
          <w:szCs w:val="28"/>
        </w:rPr>
        <w:t>项目生产过程中所使用的电</w:t>
      </w:r>
      <w:r>
        <w:rPr>
          <w:rFonts w:hint="eastAsia" w:cs="宋体"/>
          <w:szCs w:val="28"/>
          <w:lang w:val="en-US" w:eastAsia="zh-CN"/>
        </w:rPr>
        <w:t>气</w:t>
      </w:r>
      <w:r>
        <w:rPr>
          <w:rFonts w:hint="eastAsia" w:ascii="宋体" w:hAnsi="宋体" w:cs="宋体"/>
          <w:szCs w:val="28"/>
        </w:rPr>
        <w:t>设备，在操作设备，启闭开关过程有发生触电的危险</w:t>
      </w:r>
      <w:r>
        <w:rPr>
          <w:rFonts w:hint="eastAsia" w:cs="宋体"/>
          <w:szCs w:val="28"/>
          <w:lang w:eastAsia="zh-CN"/>
        </w:rPr>
        <w:t>。</w:t>
      </w:r>
    </w:p>
    <w:p w14:paraId="1C8DBC05">
      <w:pPr>
        <w:keepNext w:val="0"/>
        <w:keepLines w:val="0"/>
        <w:pageBreakBefore w:val="0"/>
        <w:widowControl w:val="0"/>
        <w:numPr>
          <w:ilvl w:val="0"/>
          <w:numId w:val="65"/>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宋体"/>
          <w:szCs w:val="28"/>
        </w:rPr>
        <w:t>在生产过程中设备会产生噪声，人员如未佩戴耳塞等劳动保护用品，则可能引起噪声伤害</w:t>
      </w:r>
      <w:r>
        <w:rPr>
          <w:rFonts w:hint="eastAsia" w:cs="宋体"/>
          <w:szCs w:val="28"/>
          <w:lang w:eastAsia="zh-CN"/>
        </w:rPr>
        <w:t>。</w:t>
      </w:r>
    </w:p>
    <w:p w14:paraId="301EC4D4">
      <w:pPr>
        <w:keepNext w:val="0"/>
        <w:keepLines w:val="0"/>
        <w:pageBreakBefore w:val="0"/>
        <w:widowControl w:val="0"/>
        <w:numPr>
          <w:ilvl w:val="0"/>
          <w:numId w:val="65"/>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cs="Times New Roman"/>
        </w:rPr>
        <w:t>冷却后</w:t>
      </w:r>
      <w:r>
        <w:rPr>
          <w:rFonts w:hint="eastAsia" w:cs="Times New Roman"/>
          <w:lang w:val="en-US" w:eastAsia="zh-CN"/>
        </w:rPr>
        <w:t>的</w:t>
      </w:r>
      <w:r>
        <w:rPr>
          <w:rFonts w:hint="eastAsia" w:cs="Times New Roman"/>
        </w:rPr>
        <w:t>氧化锆由</w:t>
      </w:r>
      <w:r>
        <w:rPr>
          <w:rFonts w:hint="eastAsia" w:cs="Times New Roman"/>
          <w:lang w:val="en-US" w:eastAsia="zh-CN"/>
        </w:rPr>
        <w:t>磨粉机</w:t>
      </w:r>
      <w:r>
        <w:rPr>
          <w:rFonts w:hint="eastAsia" w:cs="Times New Roman"/>
        </w:rPr>
        <w:t>等</w:t>
      </w:r>
      <w:r>
        <w:rPr>
          <w:rFonts w:hint="eastAsia" w:cs="Times New Roman"/>
          <w:lang w:val="en-US" w:eastAsia="zh-CN"/>
        </w:rPr>
        <w:t>设备</w:t>
      </w:r>
      <w:r>
        <w:rPr>
          <w:rFonts w:hint="eastAsia" w:cs="Times New Roman"/>
        </w:rPr>
        <w:t>进行</w:t>
      </w:r>
      <w:r>
        <w:rPr>
          <w:rFonts w:hint="eastAsia" w:ascii="宋体" w:hAnsi="宋体" w:eastAsia="宋体" w:cs="Times New Roman"/>
        </w:rPr>
        <w:t>粉碎和研磨</w:t>
      </w:r>
      <w:r>
        <w:rPr>
          <w:rFonts w:hint="eastAsia" w:cs="Times New Roman"/>
        </w:rPr>
        <w:t>，会产生粉尘，操作人员若不正确穿戴个人劳动防护用品，长期与含尘空气接触会造成职业性尘肺病。</w:t>
      </w:r>
    </w:p>
    <w:p w14:paraId="7BF6B869">
      <w:pPr>
        <w:keepNext w:val="0"/>
        <w:keepLines w:val="0"/>
        <w:pageBreakBefore w:val="0"/>
        <w:widowControl w:val="0"/>
        <w:numPr>
          <w:ilvl w:val="0"/>
          <w:numId w:val="65"/>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cs="Times New Roman"/>
        </w:rPr>
        <w:t>磨粉机、振动筛、</w:t>
      </w:r>
      <w:r>
        <w:rPr>
          <w:rFonts w:hint="eastAsia" w:cs="Times New Roman"/>
          <w:lang w:val="en-US" w:eastAsia="zh-CN"/>
        </w:rPr>
        <w:t>电机</w:t>
      </w:r>
      <w:r>
        <w:rPr>
          <w:rFonts w:hint="eastAsia" w:cs="Times New Roman"/>
        </w:rPr>
        <w:t>等设备工作时可能产生振动危害。</w:t>
      </w:r>
    </w:p>
    <w:p w14:paraId="614CDD03">
      <w:pPr>
        <w:pStyle w:val="5"/>
        <w:bidi w:val="0"/>
        <w:rPr>
          <w:rFonts w:hint="eastAsia"/>
        </w:rPr>
      </w:pPr>
      <w:r>
        <w:rPr>
          <w:rFonts w:hint="eastAsia"/>
        </w:rPr>
        <w:t>SiO</w:t>
      </w:r>
      <w:r>
        <w:rPr>
          <w:rFonts w:hint="eastAsia"/>
          <w:vertAlign w:val="subscript"/>
        </w:rPr>
        <w:t>2</w:t>
      </w:r>
      <w:r>
        <w:rPr>
          <w:rFonts w:hint="eastAsia"/>
        </w:rPr>
        <w:t>微粉回收</w:t>
      </w:r>
      <w:r>
        <w:rPr>
          <w:rFonts w:hint="eastAsia"/>
          <w:lang w:val="en-US" w:eastAsia="zh-CN"/>
        </w:rPr>
        <w:t>工序危险性分析</w:t>
      </w:r>
    </w:p>
    <w:p w14:paraId="0B820D6F">
      <w:r>
        <w:rPr>
          <w:rFonts w:hint="eastAsia" w:cs="Times New Roman"/>
          <w:lang w:val="en-US" w:eastAsia="zh-CN"/>
        </w:rPr>
        <w:t>本工序</w:t>
      </w:r>
      <w:r>
        <w:rPr>
          <w:rFonts w:hint="eastAsia" w:ascii="宋体" w:hAnsi="宋体" w:eastAsia="宋体" w:cs="Times New Roman"/>
          <w:lang w:val="en-US" w:eastAsia="zh-CN"/>
        </w:rPr>
        <w:t>主</w:t>
      </w:r>
      <w:r>
        <w:rPr>
          <w:rFonts w:hint="eastAsia" w:ascii="宋体" w:hAnsi="宋体" w:eastAsia="宋体" w:cs="Times New Roman"/>
        </w:rPr>
        <w:t>要是</w:t>
      </w:r>
      <w:r>
        <w:rPr>
          <w:rFonts w:hint="eastAsia" w:cs="Times New Roman"/>
        </w:rPr>
        <w:t>将炉体内产生</w:t>
      </w:r>
      <w:r>
        <w:rPr>
          <w:rFonts w:hint="eastAsia" w:cs="Times New Roman"/>
          <w:lang w:val="en-US" w:eastAsia="zh-CN"/>
        </w:rPr>
        <w:t>的</w:t>
      </w:r>
      <w:r>
        <w:rPr>
          <w:rFonts w:hint="eastAsia" w:cs="Times New Roman"/>
        </w:rPr>
        <w:t>大量高温SiO</w:t>
      </w:r>
      <w:r>
        <w:rPr>
          <w:rFonts w:hint="eastAsia" w:cs="Times New Roman"/>
          <w:vertAlign w:val="subscript"/>
        </w:rPr>
        <w:t>2</w:t>
      </w:r>
      <w:r>
        <w:rPr>
          <w:rFonts w:hint="eastAsia" w:cs="Times New Roman"/>
        </w:rPr>
        <w:t>，通过热交换器降温，进入混合器，通过调频将SiO</w:t>
      </w:r>
      <w:r>
        <w:rPr>
          <w:rFonts w:hint="eastAsia" w:cs="Times New Roman"/>
          <w:vertAlign w:val="subscript"/>
        </w:rPr>
        <w:t>2</w:t>
      </w:r>
      <w:r>
        <w:rPr>
          <w:rFonts w:hint="eastAsia" w:cs="Times New Roman"/>
        </w:rPr>
        <w:t>微粉的烟气温度降至120℃左右进入气箱式脉冲布袋回收器，器内分室，各室交替集料、交替反吹落料</w:t>
      </w:r>
      <w:r>
        <w:rPr>
          <w:rFonts w:hint="eastAsia" w:cs="Times New Roman"/>
          <w:lang w:val="en-US" w:eastAsia="zh-CN"/>
        </w:rPr>
        <w:t>的过程</w:t>
      </w:r>
      <w:r>
        <w:rPr>
          <w:rFonts w:hint="eastAsia" w:cs="Times New Roman"/>
        </w:rPr>
        <w:t>。</w:t>
      </w:r>
      <w:r>
        <w:rPr>
          <w:rFonts w:hint="eastAsia" w:ascii="宋体" w:hAnsi="宋体" w:eastAsia="宋体" w:cs="Times New Roman"/>
        </w:rPr>
        <w:t>主要设备为</w:t>
      </w:r>
      <w:r>
        <w:rPr>
          <w:rFonts w:hint="eastAsia" w:ascii="宋体" w:hAnsi="宋体" w:eastAsia="宋体" w:cs="Times New Roman"/>
          <w:lang w:val="en-US" w:eastAsia="zh-CN"/>
        </w:rPr>
        <w:t>旋风除尘器。</w:t>
      </w:r>
      <w:r>
        <w:rPr>
          <w:rFonts w:hint="eastAsia" w:ascii="宋体" w:hAnsi="宋体" w:eastAsia="宋体" w:cs="Times New Roman"/>
        </w:rPr>
        <w:t>主要存在</w:t>
      </w:r>
      <w:r>
        <w:rPr>
          <w:rFonts w:hint="eastAsia"/>
        </w:rPr>
        <w:t>机械伤害、触电、噪声</w:t>
      </w:r>
      <w:r>
        <w:rPr>
          <w:rFonts w:hint="eastAsia"/>
          <w:lang w:eastAsia="zh-CN"/>
        </w:rPr>
        <w:t>、</w:t>
      </w:r>
      <w:r>
        <w:rPr>
          <w:rFonts w:hint="eastAsia"/>
          <w:lang w:val="en-US" w:eastAsia="zh-CN"/>
        </w:rPr>
        <w:t>振动、粉尘</w:t>
      </w:r>
      <w:r>
        <w:t>等危险，其主要引发原因分析如下：</w:t>
      </w:r>
    </w:p>
    <w:p w14:paraId="53ADA74D">
      <w:pPr>
        <w:keepNext w:val="0"/>
        <w:keepLines w:val="0"/>
        <w:pageBreakBefore w:val="0"/>
        <w:widowControl w:val="0"/>
        <w:numPr>
          <w:ilvl w:val="0"/>
          <w:numId w:val="66"/>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宋体"/>
          <w:szCs w:val="28"/>
          <w:lang w:val="en-US" w:eastAsia="zh-CN"/>
        </w:rPr>
        <w:t>机械设备运行过程中，</w:t>
      </w:r>
      <w:r>
        <w:rPr>
          <w:rFonts w:hint="eastAsia" w:ascii="宋体" w:hAnsi="宋体" w:eastAsia="宋体" w:cs="宋体"/>
          <w:szCs w:val="28"/>
        </w:rPr>
        <w:t>没有可靠的安全防护装置、</w:t>
      </w:r>
      <w:r>
        <w:rPr>
          <w:rFonts w:hint="eastAsia" w:ascii="宋体" w:hAnsi="宋体" w:eastAsia="宋体" w:cs="宋体"/>
          <w:szCs w:val="28"/>
          <w:lang w:eastAsia="zh-CN"/>
        </w:rPr>
        <w:t>安全联锁装置</w:t>
      </w:r>
      <w:r>
        <w:rPr>
          <w:rFonts w:hint="eastAsia" w:ascii="宋体" w:hAnsi="宋体" w:eastAsia="宋体" w:cs="宋体"/>
          <w:szCs w:val="28"/>
        </w:rPr>
        <w:t>及急停装置，或设备有缺陷，违章作业等，易发生</w:t>
      </w:r>
      <w:r>
        <w:rPr>
          <w:rFonts w:hint="eastAsia" w:cs="宋体"/>
          <w:szCs w:val="28"/>
          <w:lang w:val="en-US" w:eastAsia="zh-CN"/>
        </w:rPr>
        <w:t>机械伤害</w:t>
      </w:r>
      <w:r>
        <w:rPr>
          <w:rFonts w:hint="eastAsia" w:ascii="宋体" w:hAnsi="宋体" w:eastAsia="宋体" w:cs="宋体"/>
          <w:szCs w:val="28"/>
        </w:rPr>
        <w:t>事故</w:t>
      </w:r>
      <w:r>
        <w:rPr>
          <w:rFonts w:hint="eastAsia" w:cs="宋体"/>
          <w:szCs w:val="28"/>
          <w:lang w:eastAsia="zh-CN"/>
        </w:rPr>
        <w:t>。</w:t>
      </w:r>
    </w:p>
    <w:p w14:paraId="6EF7F185">
      <w:pPr>
        <w:keepNext w:val="0"/>
        <w:keepLines w:val="0"/>
        <w:pageBreakBefore w:val="0"/>
        <w:widowControl w:val="0"/>
        <w:numPr>
          <w:ilvl w:val="0"/>
          <w:numId w:val="66"/>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cs="宋体"/>
          <w:szCs w:val="28"/>
        </w:rPr>
        <w:t>项目生产过程中所使用的电</w:t>
      </w:r>
      <w:r>
        <w:rPr>
          <w:rFonts w:hint="eastAsia" w:cs="宋体"/>
          <w:szCs w:val="28"/>
          <w:lang w:val="en-US" w:eastAsia="zh-CN"/>
        </w:rPr>
        <w:t>气</w:t>
      </w:r>
      <w:r>
        <w:rPr>
          <w:rFonts w:hint="eastAsia" w:ascii="宋体" w:hAnsi="宋体" w:cs="宋体"/>
          <w:szCs w:val="28"/>
        </w:rPr>
        <w:t>设备，在操作设备，启闭开关过程有发生触电的危险</w:t>
      </w:r>
      <w:r>
        <w:rPr>
          <w:rFonts w:hint="eastAsia" w:cs="宋体"/>
          <w:szCs w:val="28"/>
          <w:lang w:eastAsia="zh-CN"/>
        </w:rPr>
        <w:t>。</w:t>
      </w:r>
    </w:p>
    <w:p w14:paraId="07CD2064">
      <w:pPr>
        <w:keepNext w:val="0"/>
        <w:keepLines w:val="0"/>
        <w:pageBreakBefore w:val="0"/>
        <w:widowControl w:val="0"/>
        <w:numPr>
          <w:ilvl w:val="0"/>
          <w:numId w:val="66"/>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ascii="宋体" w:hAnsi="宋体" w:eastAsia="宋体" w:cs="宋体"/>
          <w:szCs w:val="28"/>
          <w:lang w:val="en-US" w:eastAsia="zh-CN"/>
        </w:rPr>
        <w:t>除尘</w:t>
      </w:r>
      <w:r>
        <w:rPr>
          <w:rFonts w:hint="eastAsia" w:ascii="宋体" w:hAnsi="宋体" w:eastAsia="宋体" w:cs="宋体"/>
          <w:szCs w:val="28"/>
        </w:rPr>
        <w:t>设备</w:t>
      </w:r>
      <w:r>
        <w:rPr>
          <w:rFonts w:hint="eastAsia" w:ascii="宋体" w:hAnsi="宋体" w:eastAsia="宋体" w:cs="宋体"/>
          <w:szCs w:val="28"/>
          <w:lang w:val="en-US" w:eastAsia="zh-CN"/>
        </w:rPr>
        <w:t>运行时</w:t>
      </w:r>
      <w:r>
        <w:rPr>
          <w:rFonts w:hint="eastAsia" w:ascii="宋体" w:hAnsi="宋体" w:eastAsia="宋体" w:cs="宋体"/>
          <w:szCs w:val="28"/>
        </w:rPr>
        <w:t>会产生噪声，人员如未佩戴耳塞等劳动保护用品，则可能引起噪声伤害</w:t>
      </w:r>
      <w:r>
        <w:rPr>
          <w:rFonts w:hint="eastAsia" w:cs="宋体"/>
          <w:szCs w:val="28"/>
          <w:lang w:eastAsia="zh-CN"/>
        </w:rPr>
        <w:t>。</w:t>
      </w:r>
    </w:p>
    <w:p w14:paraId="40B6974F">
      <w:pPr>
        <w:keepNext w:val="0"/>
        <w:keepLines w:val="0"/>
        <w:pageBreakBefore w:val="0"/>
        <w:widowControl w:val="0"/>
        <w:numPr>
          <w:ilvl w:val="0"/>
          <w:numId w:val="66"/>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cs="Times New Roman"/>
        </w:rPr>
        <w:t>操作人员若不正确穿戴个人劳动防护用品，长期与含尘空气接触会造成职业性尘肺病。</w:t>
      </w:r>
    </w:p>
    <w:p w14:paraId="5F7BF80E">
      <w:pPr>
        <w:keepNext w:val="0"/>
        <w:keepLines w:val="0"/>
        <w:pageBreakBefore w:val="0"/>
        <w:widowControl w:val="0"/>
        <w:numPr>
          <w:ilvl w:val="0"/>
          <w:numId w:val="66"/>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rPr>
      </w:pPr>
      <w:r>
        <w:rPr>
          <w:rFonts w:hint="eastAsia" w:cs="Times New Roman"/>
          <w:lang w:val="en-US" w:eastAsia="zh-CN"/>
        </w:rPr>
        <w:t>除尘器</w:t>
      </w:r>
      <w:r>
        <w:rPr>
          <w:rFonts w:hint="eastAsia" w:cs="Times New Roman"/>
        </w:rPr>
        <w:t>工作时可能产生振动危害。</w:t>
      </w:r>
    </w:p>
    <w:p w14:paraId="1A478EBC">
      <w:pPr>
        <w:pStyle w:val="5"/>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rPr>
        <w:t>产品检验、包装</w:t>
      </w:r>
      <w:r>
        <w:rPr>
          <w:rFonts w:hint="eastAsia"/>
          <w:lang w:val="en-US" w:eastAsia="zh-CN"/>
        </w:rPr>
        <w:t>工序危险性分析</w:t>
      </w:r>
    </w:p>
    <w:p w14:paraId="04E550B3">
      <w:r>
        <w:rPr>
          <w:rFonts w:hint="eastAsia" w:cs="Times New Roman"/>
          <w:lang w:val="en-US" w:eastAsia="zh-CN"/>
        </w:rPr>
        <w:t>本工序</w:t>
      </w:r>
      <w:r>
        <w:rPr>
          <w:rFonts w:hint="eastAsia" w:ascii="宋体" w:hAnsi="宋体" w:eastAsia="宋体" w:cs="Times New Roman"/>
          <w:lang w:val="en-US" w:eastAsia="zh-CN"/>
        </w:rPr>
        <w:t>主</w:t>
      </w:r>
      <w:r>
        <w:rPr>
          <w:rFonts w:hint="eastAsia" w:ascii="宋体" w:hAnsi="宋体" w:eastAsia="宋体" w:cs="Times New Roman"/>
        </w:rPr>
        <w:t>要是</w:t>
      </w:r>
      <w:r>
        <w:rPr>
          <w:rFonts w:hint="eastAsia" w:ascii="宋体" w:hAnsi="宋体" w:eastAsia="宋体" w:cs="Times New Roman"/>
          <w:lang w:val="en-US" w:eastAsia="zh-CN"/>
        </w:rPr>
        <w:t>将回收的</w:t>
      </w:r>
      <w:r>
        <w:rPr>
          <w:rFonts w:hint="eastAsia" w:cs="Times New Roman"/>
        </w:rPr>
        <w:t>SiO</w:t>
      </w:r>
      <w:r>
        <w:rPr>
          <w:rFonts w:hint="eastAsia" w:cs="Times New Roman"/>
          <w:vertAlign w:val="subscript"/>
        </w:rPr>
        <w:t>2</w:t>
      </w:r>
      <w:r>
        <w:rPr>
          <w:rFonts w:hint="eastAsia" w:cs="Times New Roman"/>
        </w:rPr>
        <w:t>微粉</w:t>
      </w:r>
      <w:r>
        <w:rPr>
          <w:rFonts w:hint="eastAsia" w:cs="Times New Roman"/>
          <w:lang w:val="en-US" w:eastAsia="zh-CN"/>
        </w:rPr>
        <w:t>利用</w:t>
      </w:r>
      <w:r>
        <w:rPr>
          <w:rFonts w:hint="eastAsia" w:cs="Times New Roman"/>
        </w:rPr>
        <w:t>回收装置下料斗用料袋密封，经过物理、化学等方面的检验合格后，用人工方式进行包装，进入成品库</w:t>
      </w:r>
      <w:r>
        <w:rPr>
          <w:rFonts w:hint="eastAsia" w:cs="Times New Roman"/>
          <w:lang w:val="en-US" w:eastAsia="zh-CN"/>
        </w:rPr>
        <w:t>的过程</w:t>
      </w:r>
      <w:r>
        <w:rPr>
          <w:rFonts w:hint="eastAsia" w:cs="Times New Roman"/>
        </w:rPr>
        <w:t>。</w:t>
      </w:r>
      <w:r>
        <w:rPr>
          <w:rFonts w:hint="eastAsia" w:ascii="宋体" w:hAnsi="宋体" w:eastAsia="宋体" w:cs="Times New Roman"/>
        </w:rPr>
        <w:t>主要设备为SiO</w:t>
      </w:r>
      <w:r>
        <w:rPr>
          <w:rFonts w:hint="eastAsia" w:ascii="宋体" w:hAnsi="宋体" w:eastAsia="宋体" w:cs="Times New Roman"/>
          <w:vertAlign w:val="subscript"/>
        </w:rPr>
        <w:t>2</w:t>
      </w:r>
      <w:r>
        <w:rPr>
          <w:rFonts w:hint="eastAsia" w:ascii="宋体" w:hAnsi="宋体" w:eastAsia="宋体" w:cs="Times New Roman"/>
        </w:rPr>
        <w:t>微粉回收装置</w:t>
      </w:r>
      <w:r>
        <w:rPr>
          <w:rFonts w:hint="eastAsia" w:ascii="宋体" w:hAnsi="宋体" w:eastAsia="宋体" w:cs="Times New Roman"/>
          <w:lang w:val="en-US" w:eastAsia="zh-CN"/>
        </w:rPr>
        <w:t>和叉车。</w:t>
      </w:r>
      <w:r>
        <w:rPr>
          <w:rFonts w:hint="eastAsia" w:ascii="宋体" w:hAnsi="宋体" w:eastAsia="宋体" w:cs="Times New Roman"/>
        </w:rPr>
        <w:t>主要存在</w:t>
      </w:r>
      <w:r>
        <w:rPr>
          <w:rFonts w:hint="eastAsia" w:eastAsia="宋体"/>
          <w:lang w:val="en-US" w:eastAsia="zh-CN"/>
        </w:rPr>
        <w:t>车辆伤害和</w:t>
      </w:r>
      <w:r>
        <w:rPr>
          <w:rFonts w:hint="eastAsia"/>
          <w:lang w:val="en-US" w:eastAsia="zh-CN"/>
        </w:rPr>
        <w:t>粉尘危害</w:t>
      </w:r>
      <w:r>
        <w:t>，其主要引发原因分析如下：</w:t>
      </w:r>
    </w:p>
    <w:p w14:paraId="0DECE248">
      <w:pPr>
        <w:keepNext w:val="0"/>
        <w:keepLines w:val="0"/>
        <w:pageBreakBefore w:val="0"/>
        <w:widowControl w:val="0"/>
        <w:numPr>
          <w:ilvl w:val="0"/>
          <w:numId w:val="67"/>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叉车在转运SiO</w:t>
      </w:r>
      <w:r>
        <w:rPr>
          <w:rFonts w:hint="eastAsia" w:ascii="宋体" w:hAnsi="宋体" w:eastAsia="宋体" w:cs="Times New Roman"/>
          <w:vertAlign w:val="subscript"/>
          <w:lang w:val="en-US" w:eastAsia="zh-CN"/>
        </w:rPr>
        <w:t>2</w:t>
      </w:r>
      <w:r>
        <w:rPr>
          <w:rFonts w:hint="eastAsia" w:ascii="宋体" w:hAnsi="宋体" w:eastAsia="宋体" w:cs="Times New Roman"/>
          <w:lang w:val="en-US" w:eastAsia="zh-CN"/>
        </w:rPr>
        <w:t>微粉料带过程中若超载、举升过高、运行速度过快、作业人员操作不当，有可能导致叉车失稳倾翻，从而致使人员伤亡、财产损失。</w:t>
      </w:r>
    </w:p>
    <w:p w14:paraId="25ADC2C7">
      <w:pPr>
        <w:keepNext w:val="0"/>
        <w:keepLines w:val="0"/>
        <w:pageBreakBefore w:val="0"/>
        <w:widowControl w:val="0"/>
        <w:numPr>
          <w:ilvl w:val="0"/>
          <w:numId w:val="67"/>
        </w:numPr>
        <w:kinsoku/>
        <w:wordWrap/>
        <w:overflowPunct/>
        <w:topLinePunct/>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SiO</w:t>
      </w:r>
      <w:r>
        <w:rPr>
          <w:rFonts w:hint="eastAsia" w:ascii="宋体" w:hAnsi="宋体" w:eastAsia="宋体" w:cs="Times New Roman"/>
          <w:vertAlign w:val="subscript"/>
          <w:lang w:val="en-US" w:eastAsia="zh-CN"/>
        </w:rPr>
        <w:t>2</w:t>
      </w:r>
      <w:r>
        <w:rPr>
          <w:rFonts w:hint="eastAsia" w:ascii="宋体" w:hAnsi="宋体" w:eastAsia="宋体" w:cs="Times New Roman"/>
          <w:lang w:val="en-US" w:eastAsia="zh-CN"/>
        </w:rPr>
        <w:t>微粉下料和包装岗位操作人员若不正确穿戴个人劳动防护用品，长期与含尘空气接触会造成职业性尘肺病。</w:t>
      </w:r>
    </w:p>
    <w:p w14:paraId="105B944D">
      <w:pPr>
        <w:pStyle w:val="4"/>
        <w:bidi w:val="0"/>
        <w:rPr>
          <w:rFonts w:hint="eastAsia"/>
          <w:lang w:val="en-US" w:eastAsia="zh-CN"/>
        </w:rPr>
      </w:pPr>
      <w:bookmarkStart w:id="647" w:name="_Toc32202"/>
      <w:r>
        <w:rPr>
          <w:rFonts w:hint="eastAsia"/>
          <w:lang w:val="en-US" w:eastAsia="zh-CN"/>
        </w:rPr>
        <w:t>其他危险性分析</w:t>
      </w:r>
      <w:bookmarkEnd w:id="647"/>
    </w:p>
    <w:p w14:paraId="71C38E24">
      <w:pPr>
        <w:keepNext w:val="0"/>
        <w:keepLines w:val="0"/>
        <w:pageBreakBefore w:val="0"/>
        <w:widowControl w:val="0"/>
        <w:kinsoku/>
        <w:bidi w:val="0"/>
        <w:rPr>
          <w:rFonts w:hint="eastAsia"/>
        </w:rPr>
      </w:pPr>
      <w:r>
        <w:rPr>
          <w:rFonts w:hint="eastAsia"/>
        </w:rPr>
        <w:t>车间布置不合理最易导致事故发生，如设备间距离、安放位置，设备附件、成品、半成品及原材料的堆放，工序间运输方式，车间内各种通道尺寸与畅通情况等选择不当，均可能引发事故。</w:t>
      </w:r>
    </w:p>
    <w:p w14:paraId="47DFD2C1">
      <w:pPr>
        <w:keepNext w:val="0"/>
        <w:keepLines w:val="0"/>
        <w:pageBreakBefore w:val="0"/>
        <w:widowControl w:val="0"/>
        <w:kinsoku/>
        <w:bidi w:val="0"/>
        <w:rPr>
          <w:rFonts w:hint="eastAsia" w:cs="Times New Roman"/>
        </w:rPr>
      </w:pPr>
      <w:r>
        <w:rPr>
          <w:rFonts w:hint="eastAsia" w:cs="Times New Roman"/>
        </w:rPr>
        <w:t>项目产品各类包装物及产品储存区和使用场所违章使用明火或产生电气火花等点火源，周转或下料过程中操作不规范，未采取相关的防火措施，或遇明火或电气火花等点火源，可能引发火灾事故。</w:t>
      </w:r>
    </w:p>
    <w:p w14:paraId="029770AF">
      <w:pPr>
        <w:keepNext w:val="0"/>
        <w:keepLines w:val="0"/>
        <w:pageBreakBefore w:val="0"/>
        <w:widowControl w:val="0"/>
        <w:kinsoku/>
        <w:bidi w:val="0"/>
        <w:rPr>
          <w:rFonts w:hint="eastAsia" w:cs="Times New Roman"/>
        </w:rPr>
      </w:pPr>
      <w:r>
        <w:rPr>
          <w:rFonts w:hint="eastAsia" w:cs="Times New Roman"/>
        </w:rPr>
        <w:t>仓储过程中，物料与墙距、柱距、垛距安全距离不够，可能会发生</w:t>
      </w:r>
      <w:r>
        <w:rPr>
          <w:rFonts w:hint="eastAsia" w:cs="Times New Roman"/>
          <w:lang w:val="en-US" w:eastAsia="zh-CN"/>
        </w:rPr>
        <w:t>坍塌</w:t>
      </w:r>
      <w:r>
        <w:rPr>
          <w:rFonts w:hint="eastAsia" w:cs="Times New Roman"/>
        </w:rPr>
        <w:t>事故。</w:t>
      </w:r>
    </w:p>
    <w:p w14:paraId="06D10595">
      <w:pPr>
        <w:keepNext w:val="0"/>
        <w:keepLines w:val="0"/>
        <w:pageBreakBefore w:val="0"/>
        <w:widowControl w:val="0"/>
        <w:kinsoku/>
        <w:bidi w:val="0"/>
        <w:rPr>
          <w:rFonts w:hint="eastAsia" w:cs="Times New Roman"/>
          <w:lang w:val="en-US" w:eastAsia="zh-CN"/>
        </w:rPr>
      </w:pPr>
      <w:r>
        <w:rPr>
          <w:rFonts w:hint="eastAsia" w:cs="Times New Roman"/>
          <w:lang w:val="en-US" w:eastAsia="zh-CN"/>
        </w:rPr>
        <w:t>石墨电极</w:t>
      </w:r>
      <w:r>
        <w:rPr>
          <w:rFonts w:hint="eastAsia" w:cs="Times New Roman"/>
        </w:rPr>
        <w:t>堆放不稳，不符合要求，可能会发生</w:t>
      </w:r>
      <w:r>
        <w:rPr>
          <w:rFonts w:hint="eastAsia" w:cs="Times New Roman"/>
          <w:lang w:val="en-US" w:eastAsia="zh-CN"/>
        </w:rPr>
        <w:t>坍塌</w:t>
      </w:r>
      <w:r>
        <w:rPr>
          <w:rFonts w:hint="eastAsia" w:cs="Times New Roman"/>
        </w:rPr>
        <w:t>事故。</w:t>
      </w:r>
    </w:p>
    <w:p w14:paraId="447F486A">
      <w:pPr>
        <w:pStyle w:val="3"/>
        <w:keepNext w:val="0"/>
        <w:keepLines w:val="0"/>
        <w:pageBreakBefore w:val="0"/>
        <w:widowControl w:val="0"/>
        <w:tabs>
          <w:tab w:val="right" w:pos="7731"/>
        </w:tabs>
        <w:kinsoku/>
        <w:bidi w:val="0"/>
        <w:rPr>
          <w:rFonts w:hint="eastAsia"/>
        </w:rPr>
      </w:pPr>
      <w:bookmarkStart w:id="648" w:name="_Toc477116173"/>
      <w:bookmarkEnd w:id="648"/>
      <w:bookmarkStart w:id="649" w:name="_Toc250648695"/>
      <w:bookmarkEnd w:id="649"/>
      <w:bookmarkStart w:id="650" w:name="_Toc55945261"/>
      <w:bookmarkEnd w:id="650"/>
      <w:bookmarkStart w:id="651" w:name="_Toc3802"/>
      <w:bookmarkEnd w:id="651"/>
      <w:bookmarkStart w:id="652" w:name="_Toc19177060"/>
      <w:bookmarkEnd w:id="652"/>
      <w:bookmarkStart w:id="653" w:name="_Toc413501875"/>
      <w:bookmarkEnd w:id="653"/>
      <w:bookmarkStart w:id="654" w:name="_Toc528845009"/>
      <w:bookmarkEnd w:id="654"/>
      <w:bookmarkStart w:id="655" w:name="_Toc522811510"/>
      <w:bookmarkEnd w:id="655"/>
      <w:bookmarkStart w:id="656" w:name="_Toc9246"/>
      <w:bookmarkEnd w:id="656"/>
      <w:bookmarkStart w:id="657" w:name="_Toc60925376"/>
      <w:bookmarkEnd w:id="657"/>
      <w:bookmarkStart w:id="658" w:name="_Toc249505421"/>
      <w:bookmarkEnd w:id="658"/>
      <w:bookmarkStart w:id="659" w:name="_Toc378002257"/>
      <w:bookmarkEnd w:id="659"/>
      <w:bookmarkStart w:id="660" w:name="_Toc24505"/>
      <w:bookmarkEnd w:id="660"/>
      <w:bookmarkStart w:id="661" w:name="_Toc369097808"/>
      <w:bookmarkEnd w:id="661"/>
      <w:bookmarkStart w:id="662" w:name="_Toc393462869"/>
      <w:bookmarkEnd w:id="662"/>
      <w:bookmarkStart w:id="663" w:name="_Toc55567428"/>
      <w:bookmarkEnd w:id="663"/>
      <w:bookmarkStart w:id="664" w:name="_Toc17792037"/>
      <w:bookmarkEnd w:id="664"/>
      <w:bookmarkStart w:id="665" w:name="_Toc60925370"/>
      <w:bookmarkEnd w:id="665"/>
      <w:bookmarkStart w:id="666" w:name="_Toc5995"/>
      <w:bookmarkEnd w:id="666"/>
      <w:bookmarkStart w:id="667" w:name="_Toc55945267"/>
      <w:bookmarkEnd w:id="667"/>
      <w:bookmarkStart w:id="668" w:name="_Toc261772982"/>
      <w:bookmarkEnd w:id="668"/>
      <w:bookmarkStart w:id="669" w:name="_Toc531252682"/>
      <w:bookmarkEnd w:id="669"/>
      <w:bookmarkStart w:id="670" w:name="_Toc22129192"/>
      <w:bookmarkEnd w:id="670"/>
      <w:bookmarkStart w:id="671" w:name="_Toc252778806"/>
      <w:bookmarkEnd w:id="671"/>
      <w:bookmarkStart w:id="672" w:name="_Toc363550623"/>
      <w:bookmarkEnd w:id="672"/>
      <w:bookmarkStart w:id="673" w:name="_Toc378322728"/>
      <w:bookmarkEnd w:id="673"/>
      <w:bookmarkStart w:id="674" w:name="_Toc55033359"/>
      <w:bookmarkEnd w:id="674"/>
      <w:bookmarkStart w:id="675" w:name="_Toc531271119"/>
      <w:bookmarkEnd w:id="675"/>
      <w:bookmarkStart w:id="676" w:name="_Toc397088143"/>
      <w:bookmarkEnd w:id="676"/>
      <w:bookmarkStart w:id="677" w:name="_Toc256168362"/>
      <w:bookmarkEnd w:id="677"/>
      <w:bookmarkStart w:id="678" w:name="_Toc127570722"/>
      <w:bookmarkEnd w:id="678"/>
      <w:bookmarkStart w:id="679" w:name="_Toc424023934"/>
      <w:bookmarkEnd w:id="679"/>
      <w:bookmarkStart w:id="680" w:name="_Toc397088138"/>
      <w:bookmarkEnd w:id="680"/>
      <w:bookmarkStart w:id="681" w:name="_Toc413501880"/>
      <w:bookmarkEnd w:id="681"/>
      <w:bookmarkStart w:id="682" w:name="_Toc257975874"/>
      <w:bookmarkEnd w:id="682"/>
      <w:bookmarkStart w:id="683" w:name="_Toc23165494"/>
      <w:bookmarkEnd w:id="683"/>
      <w:bookmarkStart w:id="684" w:name="_Toc522811484"/>
      <w:bookmarkEnd w:id="684"/>
      <w:bookmarkStart w:id="685" w:name="_Toc393463057"/>
      <w:bookmarkEnd w:id="685"/>
      <w:bookmarkStart w:id="686" w:name="_Toc520823451"/>
      <w:bookmarkEnd w:id="686"/>
      <w:bookmarkStart w:id="687" w:name="_Toc300069190"/>
      <w:bookmarkEnd w:id="687"/>
      <w:bookmarkStart w:id="688" w:name="_Toc6956"/>
      <w:r>
        <w:rPr>
          <w:rFonts w:hint="eastAsia"/>
        </w:rPr>
        <w:t>自然条件及环境危险、有害因素分析</w:t>
      </w:r>
      <w:bookmarkEnd w:id="688"/>
    </w:p>
    <w:p w14:paraId="13F1635C">
      <w:pPr>
        <w:pStyle w:val="4"/>
        <w:keepNext w:val="0"/>
        <w:keepLines w:val="0"/>
        <w:pageBreakBefore w:val="0"/>
        <w:widowControl w:val="0"/>
        <w:kinsoku/>
        <w:bidi w:val="0"/>
        <w:rPr>
          <w:rFonts w:hint="eastAsia"/>
        </w:rPr>
      </w:pPr>
      <w:bookmarkStart w:id="689" w:name="_Toc11514"/>
      <w:r>
        <w:rPr>
          <w:rFonts w:hint="eastAsia"/>
        </w:rPr>
        <w:t>地质灾害危险、有害因素分析</w:t>
      </w:r>
      <w:bookmarkEnd w:id="689"/>
    </w:p>
    <w:p w14:paraId="17146EAA">
      <w:pPr>
        <w:keepNext w:val="0"/>
        <w:keepLines w:val="0"/>
        <w:pageBreakBefore w:val="0"/>
        <w:widowControl w:val="0"/>
        <w:kinsoku/>
        <w:bidi w:val="0"/>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建设项目位于</w:t>
      </w:r>
      <w:r>
        <w:rPr>
          <w:rFonts w:ascii="宋体" w:hAnsi="宋体"/>
          <w:bCs/>
          <w:snapToGrid w:val="0"/>
          <w:sz w:val="28"/>
          <w:szCs w:val="28"/>
        </w:rPr>
        <w:t>云南省禄丰</w:t>
      </w:r>
      <w:r>
        <w:rPr>
          <w:rFonts w:hint="eastAsia" w:ascii="宋体" w:hAnsi="宋体"/>
          <w:bCs/>
          <w:snapToGrid w:val="0"/>
          <w:sz w:val="28"/>
          <w:szCs w:val="28"/>
          <w:lang w:val="en-US" w:eastAsia="zh-CN"/>
        </w:rPr>
        <w:t>市</w:t>
      </w:r>
      <w:r>
        <w:rPr>
          <w:rFonts w:ascii="宋体" w:hAnsi="宋体"/>
          <w:sz w:val="28"/>
          <w:szCs w:val="28"/>
        </w:rPr>
        <w:t>勤丰镇羊街村</w:t>
      </w:r>
      <w:r>
        <w:rPr>
          <w:rFonts w:hint="eastAsia" w:ascii="宋体" w:hAnsi="宋体" w:eastAsia="宋体" w:cs="宋体"/>
          <w:kern w:val="2"/>
          <w:sz w:val="28"/>
          <w:szCs w:val="28"/>
          <w:lang w:val="en-US" w:eastAsia="zh-CN" w:bidi="ar"/>
        </w:rPr>
        <w:t>。</w:t>
      </w:r>
      <w:r>
        <w:rPr>
          <w:rFonts w:ascii="宋体" w:hAnsi="宋体"/>
          <w:sz w:val="28"/>
          <w:szCs w:val="28"/>
        </w:rPr>
        <w:t>据《</w:t>
      </w:r>
      <w:r>
        <w:rPr>
          <w:rFonts w:hint="eastAsia" w:ascii="宋体" w:hAnsi="宋体"/>
          <w:sz w:val="28"/>
          <w:szCs w:val="28"/>
          <w:lang w:eastAsia="zh-CN"/>
        </w:rPr>
        <w:t>建筑抗震设计标准（2024年版）</w:t>
      </w:r>
      <w:r>
        <w:rPr>
          <w:rFonts w:ascii="宋体" w:hAnsi="宋体"/>
          <w:sz w:val="28"/>
          <w:szCs w:val="28"/>
        </w:rPr>
        <w:t>》</w:t>
      </w:r>
      <w:r>
        <w:rPr>
          <w:rFonts w:hint="eastAsia" w:ascii="宋体" w:hAnsi="宋体"/>
          <w:sz w:val="28"/>
          <w:szCs w:val="28"/>
          <w:lang w:eastAsia="zh-CN"/>
        </w:rPr>
        <w:t>（GB50011-2010</w:t>
      </w:r>
      <w:r>
        <w:rPr>
          <w:rFonts w:ascii="宋体" w:hAnsi="宋体"/>
          <w:sz w:val="28"/>
          <w:szCs w:val="28"/>
        </w:rPr>
        <w:t>），禄丰市抗震设防烈度为7度第三组；根据《中国地震动参数区划图》（GB18306-2015）附录C，禄丰市勤丰镇基本地震动峰值加速度为 0.15g，地震动加速度反应谱特征周期为0.45s。场地土卓越周期 Ts=0.2681～0.2867 (s)。</w:t>
      </w:r>
    </w:p>
    <w:p w14:paraId="19137424">
      <w:pPr>
        <w:keepNext w:val="0"/>
        <w:keepLines w:val="0"/>
        <w:pageBreakBefore w:val="0"/>
        <w:widowControl w:val="0"/>
        <w:numPr>
          <w:ilvl w:val="0"/>
          <w:numId w:val="68"/>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当地震发生时，可能使建筑物倒塌，设备被破坏，严重时造成人员伤亡。本项目在地震中可能造成的最大危险是建（构）筑物倒塌、电气火灾和人员伤亡事故。</w:t>
      </w:r>
    </w:p>
    <w:p w14:paraId="5AADF830">
      <w:pPr>
        <w:keepNext w:val="0"/>
        <w:keepLines w:val="0"/>
        <w:pageBreakBefore w:val="0"/>
        <w:widowControl w:val="0"/>
        <w:numPr>
          <w:ilvl w:val="0"/>
          <w:numId w:val="68"/>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未核实建设场地的工程地质条件，没有按照地质勘察报告的数据进行建构筑物基础设计，没有按照当地抗震设防等级进行抗震设计等，会对装置安全产生重大影响。</w:t>
      </w:r>
    </w:p>
    <w:p w14:paraId="50430CF5">
      <w:pPr>
        <w:pStyle w:val="4"/>
        <w:keepNext w:val="0"/>
        <w:keepLines w:val="0"/>
        <w:pageBreakBefore w:val="0"/>
        <w:widowControl w:val="0"/>
        <w:kinsoku/>
        <w:bidi w:val="0"/>
        <w:rPr>
          <w:rFonts w:hint="eastAsia"/>
        </w:rPr>
      </w:pPr>
      <w:bookmarkStart w:id="690" w:name="_Toc28577"/>
      <w:r>
        <w:rPr>
          <w:rFonts w:hint="eastAsia"/>
        </w:rPr>
        <w:t>气象条件危险、有害因素分析</w:t>
      </w:r>
      <w:bookmarkEnd w:id="690"/>
    </w:p>
    <w:p w14:paraId="66F5647E">
      <w:pPr>
        <w:keepNext w:val="0"/>
        <w:keepLines w:val="0"/>
        <w:pageBreakBefore w:val="0"/>
        <w:widowControl w:val="0"/>
        <w:suppressLineNumbers w:val="0"/>
        <w:kinsoku/>
        <w:topLinePunct/>
        <w:bidi w:val="0"/>
        <w:spacing w:before="0" w:beforeAutospacing="0" w:after="0" w:afterAutospacing="0" w:line="500" w:lineRule="exact"/>
        <w:ind w:left="0" w:right="0" w:firstLine="481" w:firstLineChars="172"/>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根据建设项目地区的气象资料，气象条件对建设项目的影响主要表现在大风、高温、暴雨、雷电等方面。</w:t>
      </w:r>
    </w:p>
    <w:p w14:paraId="4A456DA7">
      <w:pPr>
        <w:keepNext w:val="0"/>
        <w:keepLines w:val="0"/>
        <w:pageBreakBefore w:val="0"/>
        <w:widowControl w:val="0"/>
        <w:numPr>
          <w:ilvl w:val="0"/>
          <w:numId w:val="69"/>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高温</w:t>
      </w:r>
    </w:p>
    <w:p w14:paraId="3A24EA44">
      <w:pPr>
        <w:keepNext w:val="0"/>
        <w:keepLines w:val="0"/>
        <w:pageBreakBefore w:val="0"/>
        <w:widowControl w:val="0"/>
        <w:suppressLineNumbers w:val="0"/>
        <w:kinsoku/>
        <w:topLinePunct/>
        <w:bidi w:val="0"/>
        <w:spacing w:before="0" w:beforeAutospacing="0" w:after="0" w:afterAutospacing="0" w:line="500" w:lineRule="exact"/>
        <w:ind w:left="0" w:right="0" w:firstLine="481" w:firstLineChars="172"/>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高温天气对人体健康的主要影响是产生中暑以及诱发心、脑血管疾病导致死亡。本项目在运行过程中，作业人员如长时间暴露在夏季高温天气下或</w:t>
      </w:r>
      <w:r>
        <w:rPr>
          <w:rFonts w:hint="eastAsia" w:cs="宋体"/>
          <w:kern w:val="2"/>
          <w:sz w:val="28"/>
          <w:szCs w:val="28"/>
          <w:lang w:val="en-US" w:eastAsia="zh-CN" w:bidi="ar"/>
        </w:rPr>
        <w:t>电弧炉等</w:t>
      </w:r>
      <w:r>
        <w:rPr>
          <w:rFonts w:hint="eastAsia" w:ascii="宋体" w:hAnsi="宋体" w:eastAsia="宋体" w:cs="宋体"/>
          <w:kern w:val="2"/>
          <w:sz w:val="28"/>
          <w:szCs w:val="28"/>
          <w:lang w:val="en-US" w:eastAsia="zh-CN" w:bidi="ar"/>
        </w:rPr>
        <w:t>高温设备周围，有发生中暑的危险。</w:t>
      </w:r>
    </w:p>
    <w:p w14:paraId="42CC13E3">
      <w:pPr>
        <w:keepNext w:val="0"/>
        <w:keepLines w:val="0"/>
        <w:pageBreakBefore w:val="0"/>
        <w:widowControl w:val="0"/>
        <w:numPr>
          <w:ilvl w:val="0"/>
          <w:numId w:val="69"/>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大风</w:t>
      </w:r>
    </w:p>
    <w:p w14:paraId="390941C1">
      <w:pPr>
        <w:keepNext w:val="0"/>
        <w:keepLines w:val="0"/>
        <w:pageBreakBefore w:val="0"/>
        <w:widowControl w:val="0"/>
        <w:suppressLineNumbers w:val="0"/>
        <w:kinsoku/>
        <w:topLinePunct/>
        <w:bidi w:val="0"/>
        <w:spacing w:before="0" w:beforeAutospacing="0" w:after="0" w:afterAutospacing="0" w:line="500" w:lineRule="exact"/>
        <w:ind w:left="0" w:right="0" w:firstLine="481" w:firstLineChars="172"/>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建设项目所在地常年盛行西南风，平均风速为</w:t>
      </w:r>
      <w:r>
        <w:rPr>
          <w:rFonts w:hint="eastAsia" w:cs="宋体"/>
          <w:kern w:val="2"/>
          <w:sz w:val="28"/>
          <w:szCs w:val="28"/>
          <w:lang w:val="en-US" w:eastAsia="zh-CN" w:bidi="ar"/>
        </w:rPr>
        <w:t>1.6</w:t>
      </w:r>
      <w:r>
        <w:rPr>
          <w:rFonts w:hint="eastAsia" w:ascii="宋体" w:hAnsi="宋体" w:eastAsia="宋体" w:cs="宋体"/>
          <w:kern w:val="2"/>
          <w:sz w:val="28"/>
          <w:szCs w:val="28"/>
          <w:lang w:val="en-US" w:eastAsia="zh-CN" w:bidi="ar"/>
        </w:rPr>
        <w:t>m/s，大风可能导致高处堆放的零散物件坠落，对地面的人员造成物体打击伤害；还可能导致扬尘，造成现场灰尘弥漫，视线不清，从而引发车辆伤害等事故的发生。</w:t>
      </w:r>
    </w:p>
    <w:p w14:paraId="644DD16D">
      <w:pPr>
        <w:keepNext w:val="0"/>
        <w:keepLines w:val="0"/>
        <w:pageBreakBefore w:val="0"/>
        <w:widowControl w:val="0"/>
        <w:numPr>
          <w:ilvl w:val="0"/>
          <w:numId w:val="69"/>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降雨</w:t>
      </w:r>
    </w:p>
    <w:p w14:paraId="13740363">
      <w:pPr>
        <w:keepNext w:val="0"/>
        <w:keepLines w:val="0"/>
        <w:pageBreakBefore w:val="0"/>
        <w:widowControl w:val="0"/>
        <w:suppressLineNumbers w:val="0"/>
        <w:kinsoku/>
        <w:topLinePunct/>
        <w:bidi w:val="0"/>
        <w:spacing w:before="0" w:beforeAutospacing="0" w:after="0" w:afterAutospacing="0" w:line="500" w:lineRule="exact"/>
        <w:ind w:left="0" w:right="0" w:firstLine="481" w:firstLineChars="172"/>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建设项目所在地多年平均降水量</w:t>
      </w:r>
      <w:r>
        <w:rPr>
          <w:rFonts w:hint="eastAsia" w:cs="宋体"/>
          <w:kern w:val="2"/>
          <w:sz w:val="28"/>
          <w:szCs w:val="28"/>
          <w:lang w:val="en-US" w:eastAsia="zh-CN" w:bidi="ar"/>
        </w:rPr>
        <w:t>896.8</w:t>
      </w:r>
      <w:r>
        <w:rPr>
          <w:rFonts w:hint="eastAsia" w:ascii="宋体" w:hAnsi="宋体" w:eastAsia="宋体" w:cs="宋体"/>
          <w:kern w:val="2"/>
          <w:sz w:val="28"/>
          <w:szCs w:val="28"/>
          <w:lang w:val="en-US" w:eastAsia="zh-CN" w:bidi="ar"/>
        </w:rPr>
        <w:t>mm，降雨多时会影响地基和用电设备，造成地基下沉、电气短路事故。</w:t>
      </w:r>
    </w:p>
    <w:p w14:paraId="547313B3">
      <w:pPr>
        <w:keepNext w:val="0"/>
        <w:keepLines w:val="0"/>
        <w:pageBreakBefore w:val="0"/>
        <w:widowControl w:val="0"/>
        <w:numPr>
          <w:ilvl w:val="0"/>
          <w:numId w:val="69"/>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雷击</w:t>
      </w:r>
    </w:p>
    <w:p w14:paraId="482043FF">
      <w:pPr>
        <w:keepNext w:val="0"/>
        <w:keepLines w:val="0"/>
        <w:pageBreakBefore w:val="0"/>
        <w:widowControl w:val="0"/>
        <w:suppressLineNumbers w:val="0"/>
        <w:kinsoku/>
        <w:topLinePunct/>
        <w:bidi w:val="0"/>
        <w:spacing w:before="0" w:beforeAutospacing="0" w:after="0" w:afterAutospacing="0" w:line="500" w:lineRule="exact"/>
        <w:ind w:left="0" w:right="0" w:firstLine="481" w:firstLineChars="172"/>
        <w:jc w:val="left"/>
        <w:rPr>
          <w:rFonts w:hint="eastAsia" w:ascii="宋体" w:hAnsi="宋体" w:eastAsia="宋体" w:cs="宋体"/>
          <w:kern w:val="2"/>
          <w:sz w:val="28"/>
          <w:szCs w:val="28"/>
        </w:rPr>
      </w:pPr>
      <w:r>
        <w:rPr>
          <w:rFonts w:hint="eastAsia" w:cs="Times New Roman"/>
        </w:rPr>
        <w:t>禄丰市年平均雷暴日数达</w:t>
      </w:r>
      <w:r>
        <w:rPr>
          <w:rFonts w:cs="Times New Roman"/>
        </w:rPr>
        <w:t>67</w:t>
      </w:r>
      <w:r>
        <w:rPr>
          <w:rFonts w:hint="eastAsia" w:cs="Times New Roman"/>
        </w:rPr>
        <w:t>天，属雷电灾害多发区</w:t>
      </w:r>
      <w:r>
        <w:rPr>
          <w:rFonts w:hint="eastAsia" w:cs="Times New Roman"/>
          <w:lang w:eastAsia="zh-CN"/>
        </w:rPr>
        <w:t>。</w:t>
      </w:r>
      <w:r>
        <w:rPr>
          <w:rFonts w:hint="eastAsia" w:ascii="宋体" w:hAnsi="宋体" w:eastAsia="宋体" w:cs="宋体"/>
          <w:kern w:val="2"/>
          <w:sz w:val="28"/>
          <w:szCs w:val="28"/>
          <w:lang w:val="en-US" w:eastAsia="zh-CN" w:bidi="ar"/>
        </w:rPr>
        <w:t>若厂区未设置有效的避雷装置，避雷装置安装设计不合理，或检测维修不及时，在雷雨季节，厂房、设备等均有遭受雷击的可能。雷雨天气进行生产也易遭受雷电危害。当可燃物被雷击产生的雷电火花引燃可发生火灾等严重事故。当建筑物被直击雷击中时，强大的冲击电压和雷电流会毁坏各种电气设备；强烈的机械振动会造成建筑物和设备、设施损坏；热效应会引起火灾或爆炸，雷电感应、球形雷和雷电侵入波都可能导致电气设备损坏，可导致大规模停电事故，</w:t>
      </w:r>
      <w:r>
        <w:rPr>
          <w:rFonts w:hint="eastAsia" w:cs="宋体"/>
          <w:kern w:val="2"/>
          <w:sz w:val="28"/>
          <w:szCs w:val="28"/>
          <w:lang w:val="en-US" w:eastAsia="zh-CN" w:bidi="ar"/>
        </w:rPr>
        <w:t>并可</w:t>
      </w:r>
      <w:r>
        <w:rPr>
          <w:rFonts w:hint="eastAsia" w:ascii="宋体" w:hAnsi="宋体" w:eastAsia="宋体" w:cs="宋体"/>
          <w:kern w:val="2"/>
          <w:sz w:val="28"/>
          <w:szCs w:val="28"/>
          <w:lang w:val="en-US" w:eastAsia="zh-CN" w:bidi="ar"/>
        </w:rPr>
        <w:t>能造成生产环节的二次事故。本项目有关的生产及公用工程装置中设备、建筑物有相当的高度，容易遭受雷电袭击。雷击危害可能导致火灾、爆炸、设备损坏、人员触电伤害事故。</w:t>
      </w:r>
    </w:p>
    <w:p w14:paraId="1CA864A3">
      <w:pPr>
        <w:pStyle w:val="3"/>
        <w:keepNext w:val="0"/>
        <w:keepLines w:val="0"/>
        <w:pageBreakBefore w:val="0"/>
        <w:widowControl w:val="0"/>
        <w:kinsoku/>
        <w:bidi w:val="0"/>
        <w:rPr>
          <w:rFonts w:hint="eastAsia"/>
        </w:rPr>
      </w:pPr>
      <w:bookmarkStart w:id="691" w:name="_Toc60925387"/>
      <w:bookmarkStart w:id="692" w:name="_Toc23975"/>
      <w:r>
        <w:rPr>
          <w:rFonts w:hint="eastAsia"/>
        </w:rPr>
        <w:t>周边环境</w:t>
      </w:r>
      <w:bookmarkEnd w:id="691"/>
      <w:r>
        <w:rPr>
          <w:rFonts w:hint="eastAsia"/>
        </w:rPr>
        <w:t>危险有害因素分析</w:t>
      </w:r>
      <w:bookmarkEnd w:id="692"/>
    </w:p>
    <w:p w14:paraId="52AAFA36">
      <w:pPr>
        <w:keepNext w:val="0"/>
        <w:keepLines w:val="0"/>
        <w:pageBreakBefore w:val="0"/>
        <w:widowControl w:val="0"/>
        <w:suppressLineNumbers w:val="0"/>
        <w:kinsoku/>
        <w:topLinePunct/>
        <w:bidi w:val="0"/>
        <w:spacing w:before="0" w:beforeAutospacing="0" w:after="0" w:afterAutospacing="0" w:line="500" w:lineRule="exact"/>
        <w:ind w:left="0" w:right="0" w:firstLine="560" w:firstLineChars="200"/>
        <w:jc w:val="left"/>
        <w:rPr>
          <w:rFonts w:hint="default" w:ascii="宋体" w:hAnsi="宋体" w:eastAsia="宋体" w:cs="宋体"/>
          <w:kern w:val="2"/>
          <w:sz w:val="28"/>
          <w:szCs w:val="28"/>
          <w:lang w:val="en-US"/>
        </w:rPr>
      </w:pPr>
      <w:r>
        <w:rPr>
          <w:rFonts w:hint="eastAsia" w:cs="宋体"/>
          <w:kern w:val="2"/>
          <w:sz w:val="28"/>
          <w:szCs w:val="28"/>
          <w:lang w:val="en-US" w:eastAsia="zh-CN" w:bidi="ar"/>
        </w:rPr>
        <w:t>建设项目</w:t>
      </w:r>
      <w:r>
        <w:rPr>
          <w:rFonts w:hint="eastAsia" w:ascii="宋体" w:hAnsi="宋体" w:eastAsia="宋体" w:cs="宋体"/>
          <w:kern w:val="2"/>
          <w:sz w:val="28"/>
          <w:szCs w:val="28"/>
          <w:lang w:val="en-US" w:eastAsia="zh-CN" w:bidi="ar"/>
        </w:rPr>
        <w:t>位于</w:t>
      </w:r>
      <w:r>
        <w:rPr>
          <w:rFonts w:ascii="宋体" w:hAnsi="宋体"/>
          <w:bCs/>
          <w:snapToGrid w:val="0"/>
          <w:sz w:val="28"/>
          <w:szCs w:val="28"/>
        </w:rPr>
        <w:t>云南省禄丰</w:t>
      </w:r>
      <w:r>
        <w:rPr>
          <w:rFonts w:hint="eastAsia" w:ascii="宋体" w:hAnsi="宋体"/>
          <w:bCs/>
          <w:snapToGrid w:val="0"/>
          <w:sz w:val="28"/>
          <w:szCs w:val="28"/>
          <w:lang w:val="en-US" w:eastAsia="zh-CN"/>
        </w:rPr>
        <w:t>市</w:t>
      </w:r>
      <w:r>
        <w:rPr>
          <w:rFonts w:ascii="宋体" w:hAnsi="宋体"/>
          <w:sz w:val="28"/>
          <w:szCs w:val="28"/>
        </w:rPr>
        <w:t>勤丰镇羊街村</w:t>
      </w:r>
      <w:r>
        <w:rPr>
          <w:rFonts w:hint="eastAsia" w:ascii="宋体" w:hAnsi="宋体" w:eastAsia="宋体" w:cs="宋体"/>
          <w:kern w:val="2"/>
          <w:sz w:val="28"/>
          <w:szCs w:val="28"/>
          <w:lang w:val="en-US" w:eastAsia="zh-CN" w:bidi="ar"/>
        </w:rPr>
        <w:t>，</w:t>
      </w:r>
      <w:r>
        <w:rPr>
          <w:rFonts w:hint="eastAsia" w:ascii="Times New Roman" w:eastAsia="宋体"/>
          <w:lang w:val="en-US" w:eastAsia="zh-CN"/>
        </w:rPr>
        <w:t>厂界</w:t>
      </w:r>
      <w:r>
        <w:rPr>
          <w:rFonts w:hint="eastAsia" w:ascii="宋体" w:hAnsi="宋体"/>
          <w:sz w:val="28"/>
          <w:szCs w:val="28"/>
        </w:rPr>
        <w:t>北面约</w:t>
      </w:r>
      <w:r>
        <w:rPr>
          <w:rFonts w:hint="eastAsia" w:ascii="宋体" w:hAnsi="宋体"/>
          <w:sz w:val="28"/>
          <w:szCs w:val="28"/>
          <w:lang w:val="en-US" w:eastAsia="zh-CN"/>
        </w:rPr>
        <w:t>616</w:t>
      </w:r>
      <w:r>
        <w:rPr>
          <w:rFonts w:ascii="宋体" w:hAnsi="宋体"/>
          <w:sz w:val="28"/>
          <w:szCs w:val="28"/>
        </w:rPr>
        <w:t>m</w:t>
      </w:r>
      <w:r>
        <w:rPr>
          <w:rFonts w:hint="eastAsia" w:ascii="宋体" w:hAnsi="宋体"/>
          <w:sz w:val="28"/>
          <w:szCs w:val="28"/>
        </w:rPr>
        <w:t>处为泽润</w:t>
      </w:r>
      <w:r>
        <w:rPr>
          <w:rFonts w:hint="eastAsia" w:ascii="宋体" w:hAnsi="宋体" w:eastAsia="宋体" w:cs="Times New Roman"/>
          <w:sz w:val="28"/>
          <w:szCs w:val="28"/>
        </w:rPr>
        <w:t>里村；南面为</w:t>
      </w:r>
      <w:r>
        <w:rPr>
          <w:rFonts w:hint="eastAsia" w:ascii="宋体" w:hAnsi="宋体" w:eastAsia="宋体" w:cs="Times New Roman"/>
          <w:sz w:val="28"/>
          <w:szCs w:val="28"/>
          <w:lang w:val="en-US" w:eastAsia="zh-CN"/>
        </w:rPr>
        <w:t>预留场地</w:t>
      </w:r>
      <w:r>
        <w:rPr>
          <w:rFonts w:hint="eastAsia" w:ascii="宋体" w:hAnsi="宋体" w:eastAsia="宋体" w:cs="Times New Roman"/>
          <w:sz w:val="28"/>
          <w:szCs w:val="28"/>
        </w:rPr>
        <w:t>；</w:t>
      </w:r>
      <w:r>
        <w:rPr>
          <w:rFonts w:hint="eastAsia" w:ascii="宋体" w:hAnsi="宋体"/>
          <w:sz w:val="28"/>
          <w:szCs w:val="28"/>
        </w:rPr>
        <w:t>西面</w:t>
      </w:r>
      <w:r>
        <w:rPr>
          <w:rFonts w:hint="eastAsia" w:ascii="宋体" w:hAnsi="宋体"/>
          <w:sz w:val="28"/>
          <w:szCs w:val="28"/>
          <w:lang w:val="en-US" w:eastAsia="zh-CN"/>
        </w:rPr>
        <w:t>141</w:t>
      </w:r>
      <w:r>
        <w:rPr>
          <w:rFonts w:ascii="宋体" w:hAnsi="宋体"/>
          <w:sz w:val="28"/>
          <w:szCs w:val="28"/>
        </w:rPr>
        <w:t>m</w:t>
      </w:r>
      <w:r>
        <w:rPr>
          <w:rFonts w:hint="eastAsia" w:ascii="宋体" w:hAnsi="宋体"/>
          <w:sz w:val="28"/>
          <w:szCs w:val="28"/>
        </w:rPr>
        <w:t>处为S</w:t>
      </w:r>
      <w:r>
        <w:rPr>
          <w:rFonts w:ascii="宋体" w:hAnsi="宋体"/>
          <w:sz w:val="28"/>
          <w:szCs w:val="28"/>
        </w:rPr>
        <w:t>18</w:t>
      </w:r>
      <w:r>
        <w:rPr>
          <w:rFonts w:hint="eastAsia" w:ascii="宋体" w:hAnsi="宋体"/>
          <w:sz w:val="28"/>
          <w:szCs w:val="28"/>
        </w:rPr>
        <w:t>武易高速；东面紧邻山地，</w:t>
      </w:r>
      <w:r>
        <w:rPr>
          <w:rFonts w:hint="eastAsia" w:ascii="宋体" w:hAnsi="宋体"/>
          <w:sz w:val="28"/>
          <w:szCs w:val="28"/>
          <w:lang w:val="en-US" w:eastAsia="zh-CN"/>
        </w:rPr>
        <w:t>东面</w:t>
      </w:r>
      <w:r>
        <w:rPr>
          <w:rFonts w:hint="eastAsia" w:ascii="宋体" w:hAnsi="宋体"/>
          <w:sz w:val="28"/>
          <w:szCs w:val="28"/>
        </w:rPr>
        <w:t>约1</w:t>
      </w:r>
      <w:r>
        <w:rPr>
          <w:rFonts w:hint="eastAsia" w:ascii="宋体" w:hAnsi="宋体"/>
          <w:sz w:val="28"/>
          <w:szCs w:val="28"/>
          <w:lang w:val="en-US" w:eastAsia="zh-CN"/>
        </w:rPr>
        <w:t>8</w:t>
      </w:r>
      <w:r>
        <w:rPr>
          <w:rFonts w:ascii="宋体" w:hAnsi="宋体"/>
          <w:sz w:val="28"/>
          <w:szCs w:val="28"/>
        </w:rPr>
        <w:t>0</w:t>
      </w:r>
      <w:r>
        <w:rPr>
          <w:rFonts w:hint="eastAsia" w:ascii="宋体" w:hAnsi="宋体"/>
          <w:sz w:val="28"/>
          <w:szCs w:val="28"/>
        </w:rPr>
        <w:t>m处为</w:t>
      </w:r>
      <w:r>
        <w:rPr>
          <w:rFonts w:ascii="宋体" w:hAnsi="宋体"/>
          <w:sz w:val="28"/>
          <w:szCs w:val="28"/>
        </w:rPr>
        <w:t>S222</w:t>
      </w:r>
      <w:r>
        <w:rPr>
          <w:rFonts w:hint="eastAsia" w:ascii="宋体" w:hAnsi="宋体"/>
          <w:sz w:val="28"/>
          <w:szCs w:val="28"/>
        </w:rPr>
        <w:t>武新线；东北面</w:t>
      </w:r>
      <w:r>
        <w:rPr>
          <w:rFonts w:hint="eastAsia" w:ascii="宋体" w:hAnsi="宋体"/>
          <w:sz w:val="28"/>
          <w:szCs w:val="28"/>
          <w:lang w:val="en-US" w:eastAsia="zh-CN"/>
        </w:rPr>
        <w:t>528</w:t>
      </w:r>
      <w:r>
        <w:rPr>
          <w:rFonts w:ascii="宋体" w:hAnsi="宋体"/>
          <w:sz w:val="28"/>
          <w:szCs w:val="28"/>
        </w:rPr>
        <w:t>m</w:t>
      </w:r>
      <w:r>
        <w:rPr>
          <w:rFonts w:hint="eastAsia" w:ascii="宋体" w:hAnsi="宋体"/>
          <w:sz w:val="28"/>
          <w:szCs w:val="28"/>
        </w:rPr>
        <w:t>为泽润里小学</w:t>
      </w:r>
      <w:r>
        <w:rPr>
          <w:rFonts w:hint="eastAsia" w:ascii="宋体" w:hAnsi="宋体"/>
          <w:sz w:val="28"/>
          <w:szCs w:val="28"/>
          <w:lang w:eastAsia="zh-CN"/>
        </w:rPr>
        <w:t>；</w:t>
      </w:r>
      <w:r>
        <w:rPr>
          <w:rFonts w:hint="eastAsia" w:ascii="宋体" w:hAnsi="宋体"/>
          <w:sz w:val="28"/>
          <w:szCs w:val="28"/>
          <w:lang w:val="en-US" w:eastAsia="zh-CN"/>
        </w:rPr>
        <w:t>东南面501</w:t>
      </w:r>
      <w:r>
        <w:rPr>
          <w:rFonts w:hint="eastAsia" w:ascii="宋体" w:hAnsi="宋体" w:eastAsia="宋体" w:cs="Times New Roman"/>
          <w:sz w:val="28"/>
          <w:szCs w:val="28"/>
          <w:lang w:val="en-US" w:eastAsia="zh-CN"/>
        </w:rPr>
        <w:t>m为羊街村。本项目建设地点500m范围内，无自然保护区、名胜古迹、军事禁区等</w:t>
      </w:r>
      <w:r>
        <w:rPr>
          <w:rFonts w:hint="eastAsia" w:ascii="宋体" w:hAnsi="宋体" w:eastAsia="宋体" w:cs="宋体"/>
          <w:kern w:val="2"/>
          <w:sz w:val="28"/>
          <w:szCs w:val="28"/>
          <w:lang w:val="en-US" w:eastAsia="zh-CN" w:bidi="ar"/>
        </w:rPr>
        <w:t>。建设项目与周边建构筑物的防火距离符合规范要求，厂区周边道路交通便利，周边环境对厂区影响较小。反之如不发生较大火灾，厂区对周边环境影响也较小。</w:t>
      </w:r>
    </w:p>
    <w:p w14:paraId="56DD75E4">
      <w:pPr>
        <w:pStyle w:val="3"/>
        <w:keepNext w:val="0"/>
        <w:keepLines w:val="0"/>
        <w:pageBreakBefore w:val="0"/>
        <w:widowControl w:val="0"/>
        <w:kinsoku/>
        <w:bidi w:val="0"/>
        <w:rPr>
          <w:rFonts w:hint="eastAsia"/>
        </w:rPr>
      </w:pPr>
      <w:bookmarkStart w:id="693" w:name="_Toc531271101"/>
      <w:bookmarkEnd w:id="693"/>
      <w:bookmarkStart w:id="694" w:name="_Toc60925388"/>
      <w:bookmarkEnd w:id="694"/>
      <w:bookmarkStart w:id="695" w:name="_Toc477116155"/>
      <w:bookmarkEnd w:id="695"/>
      <w:bookmarkStart w:id="696" w:name="_Toc11457"/>
      <w:bookmarkEnd w:id="696"/>
      <w:bookmarkStart w:id="697" w:name="_Toc55567411"/>
      <w:bookmarkEnd w:id="697"/>
      <w:bookmarkStart w:id="698" w:name="_Toc55945279"/>
      <w:bookmarkEnd w:id="698"/>
      <w:bookmarkStart w:id="699" w:name="_Toc55033348"/>
      <w:bookmarkStart w:id="700" w:name="_Toc22292"/>
      <w:r>
        <w:rPr>
          <w:rFonts w:hint="eastAsia"/>
        </w:rPr>
        <w:t>总平面布置</w:t>
      </w:r>
      <w:bookmarkEnd w:id="699"/>
      <w:r>
        <w:rPr>
          <w:rFonts w:hint="eastAsia"/>
        </w:rPr>
        <w:t>危险有害因素分析</w:t>
      </w:r>
      <w:bookmarkEnd w:id="700"/>
    </w:p>
    <w:p w14:paraId="5472987C">
      <w:pPr>
        <w:keepNext w:val="0"/>
        <w:keepLines w:val="0"/>
        <w:pageBreakBefore w:val="0"/>
        <w:widowControl w:val="0"/>
        <w:suppressLineNumbers w:val="0"/>
        <w:kinsoku/>
        <w:topLinePunct/>
        <w:bidi w:val="0"/>
        <w:spacing w:before="0" w:beforeAutospacing="0" w:after="0" w:afterAutospacing="0" w:line="500" w:lineRule="exact"/>
        <w:ind w:left="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在总平面布置方面，由于功能区划分、防火间距和安全距离、危险危害物质设施、厂内道路等方面设计不合理，也可能对项目带来不利影响。由于本项目生产系统为物料连续生产加工和运输过程，为缩短输送距离，就必须尽可能靠近，做到集中紧凑，加之各设备、辅机数量众多，工艺流程较长等诸多原因，决定了本项目生产系统总平面布置可能存在以下危险因素：</w:t>
      </w:r>
    </w:p>
    <w:p w14:paraId="24B8BC7C">
      <w:pPr>
        <w:keepNext w:val="0"/>
        <w:keepLines w:val="0"/>
        <w:pageBreakBefore w:val="0"/>
        <w:widowControl w:val="0"/>
        <w:numPr>
          <w:ilvl w:val="0"/>
          <w:numId w:val="70"/>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若各生产系统的安全通道预留不足，可导致设备检修、卸货、巡检不便，发生机械伤害、车辆伤害、灼烫、触电、火灾等类型事故；</w:t>
      </w:r>
    </w:p>
    <w:p w14:paraId="18490647">
      <w:pPr>
        <w:keepNext w:val="0"/>
        <w:keepLines w:val="0"/>
        <w:pageBreakBefore w:val="0"/>
        <w:widowControl w:val="0"/>
        <w:numPr>
          <w:ilvl w:val="0"/>
          <w:numId w:val="70"/>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若各生产区之间防火间距预留不足，不符合相关标准规范的要求，如发生火灾、爆炸等事故，可能导致事故范围和等级扩大；</w:t>
      </w:r>
    </w:p>
    <w:p w14:paraId="0E123080">
      <w:pPr>
        <w:keepNext w:val="0"/>
        <w:keepLines w:val="0"/>
        <w:pageBreakBefore w:val="0"/>
        <w:widowControl w:val="0"/>
        <w:numPr>
          <w:ilvl w:val="0"/>
          <w:numId w:val="70"/>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项目区车道宽度、消防车道预留不足，回车场地设计不合理等，可能导致车辆伤害事故，甚至影响应急疏散，导致事故等级扩大；</w:t>
      </w:r>
    </w:p>
    <w:p w14:paraId="473D62DD">
      <w:pPr>
        <w:keepNext w:val="0"/>
        <w:keepLines w:val="0"/>
        <w:pageBreakBefore w:val="0"/>
        <w:widowControl w:val="0"/>
        <w:numPr>
          <w:ilvl w:val="0"/>
          <w:numId w:val="70"/>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办公区等人员密集场所如未设置在生产区上风侧，或距离产生烟尘、高温、噪声、振动的设备、设施过近，可导致人员受到粉尘、噪声等伤害。</w:t>
      </w:r>
    </w:p>
    <w:p w14:paraId="7F8FDA9B">
      <w:pPr>
        <w:pStyle w:val="3"/>
        <w:keepNext w:val="0"/>
        <w:keepLines w:val="0"/>
        <w:pageBreakBefore w:val="0"/>
        <w:widowControl w:val="0"/>
        <w:kinsoku/>
        <w:bidi w:val="0"/>
        <w:rPr>
          <w:rFonts w:hint="eastAsia"/>
        </w:rPr>
      </w:pPr>
      <w:bookmarkStart w:id="701" w:name="_Toc27270"/>
      <w:bookmarkEnd w:id="701"/>
      <w:bookmarkStart w:id="702" w:name="_Toc6214"/>
      <w:bookmarkEnd w:id="702"/>
      <w:bookmarkStart w:id="703" w:name="_Toc55945270"/>
      <w:bookmarkEnd w:id="703"/>
      <w:bookmarkStart w:id="704" w:name="_Toc55567431"/>
      <w:bookmarkEnd w:id="704"/>
      <w:bookmarkStart w:id="705" w:name="_Toc22127"/>
      <w:bookmarkStart w:id="706" w:name="_Toc289946476"/>
      <w:bookmarkStart w:id="707" w:name="_Toc278211347"/>
      <w:bookmarkStart w:id="708" w:name="_Toc325717180"/>
      <w:bookmarkStart w:id="709" w:name="_Toc16300"/>
      <w:bookmarkStart w:id="710" w:name="_Toc12287"/>
      <w:bookmarkStart w:id="711" w:name="_Toc60925379"/>
      <w:r>
        <w:rPr>
          <w:rFonts w:hint="eastAsia"/>
        </w:rPr>
        <w:t>建构筑物危险性分析</w:t>
      </w:r>
      <w:bookmarkEnd w:id="705"/>
      <w:bookmarkEnd w:id="706"/>
      <w:bookmarkEnd w:id="707"/>
      <w:bookmarkEnd w:id="708"/>
      <w:bookmarkEnd w:id="709"/>
      <w:bookmarkEnd w:id="710"/>
    </w:p>
    <w:p w14:paraId="2CD7AB3D">
      <w:pPr>
        <w:keepNext w:val="0"/>
        <w:keepLines w:val="0"/>
        <w:pageBreakBefore w:val="0"/>
        <w:widowControl w:val="0"/>
        <w:numPr>
          <w:ilvl w:val="0"/>
          <w:numId w:val="71"/>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若新建的建（构）筑物不符合生产火灾危险性分类所要求的耐火等级、结构、层数、占地面积、防火间距、安全疏散等方面的要求，将会增大生产区域内的火灾危险性。建筑物若材料不合格，或施工过程错用材料、偷工减料，导致工程总体质量不合格，可能由于质量原因，导致建筑物垮塌，引发事故。</w:t>
      </w:r>
    </w:p>
    <w:p w14:paraId="111FBCE6">
      <w:pPr>
        <w:keepNext w:val="0"/>
        <w:keepLines w:val="0"/>
        <w:pageBreakBefore w:val="0"/>
        <w:widowControl w:val="0"/>
        <w:numPr>
          <w:ilvl w:val="0"/>
          <w:numId w:val="71"/>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在发生事故时，若建构筑物的安全疏散门被堵塞或人员拥挤损坏通道等设施，人员不便及时疏散，将会造成更大的人员伤亡。</w:t>
      </w:r>
    </w:p>
    <w:p w14:paraId="535765A5">
      <w:pPr>
        <w:keepNext w:val="0"/>
        <w:keepLines w:val="0"/>
        <w:pageBreakBefore w:val="0"/>
        <w:widowControl w:val="0"/>
        <w:numPr>
          <w:ilvl w:val="0"/>
          <w:numId w:val="71"/>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若生产区域内的安全疏散标志不清或被损坏的标志未及时修复，发生事故时，不能起到有效的疏散指示作用，会导致事故扩大。</w:t>
      </w:r>
    </w:p>
    <w:p w14:paraId="62C3B568">
      <w:pPr>
        <w:keepNext w:val="0"/>
        <w:keepLines w:val="0"/>
        <w:pageBreakBefore w:val="0"/>
        <w:widowControl w:val="0"/>
        <w:numPr>
          <w:ilvl w:val="0"/>
          <w:numId w:val="71"/>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该项目拟建场地所有建（构）筑物、设备安装基础如未按地震抗震要求设防，或建筑物的地基不牢，大设备的局部压力过大，地层不能承受时，均可造成地块下陷、开裂，引起建筑物、设备倾斜，甚至下陷倒塌、设备损坏等事故。</w:t>
      </w:r>
    </w:p>
    <w:p w14:paraId="3AC65E18">
      <w:pPr>
        <w:keepNext w:val="0"/>
        <w:keepLines w:val="0"/>
        <w:pageBreakBefore w:val="0"/>
        <w:widowControl w:val="0"/>
        <w:numPr>
          <w:ilvl w:val="0"/>
          <w:numId w:val="71"/>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若建构筑物未按要求采取防雷措施，或防雷设施设置不符合要求，未定期进行防雷防静电检测或检测不合格，在雷雨天气易引发雷击事故，造成建筑破坏，甚至引发火灾及人员伤亡事故。</w:t>
      </w:r>
    </w:p>
    <w:p w14:paraId="71D23A12">
      <w:pPr>
        <w:pStyle w:val="3"/>
        <w:keepNext w:val="0"/>
        <w:keepLines w:val="0"/>
        <w:pageBreakBefore w:val="0"/>
        <w:widowControl w:val="0"/>
        <w:kinsoku/>
        <w:bidi w:val="0"/>
        <w:rPr>
          <w:rFonts w:hint="eastAsia"/>
        </w:rPr>
      </w:pPr>
      <w:bookmarkStart w:id="712" w:name="_Toc26271"/>
      <w:r>
        <w:rPr>
          <w:rFonts w:hint="eastAsia"/>
        </w:rPr>
        <w:t>公用和辅助设备设施</w:t>
      </w:r>
      <w:bookmarkEnd w:id="711"/>
      <w:r>
        <w:rPr>
          <w:rFonts w:hint="eastAsia"/>
        </w:rPr>
        <w:t>危险有害因素辨识与分析</w:t>
      </w:r>
      <w:bookmarkEnd w:id="712"/>
    </w:p>
    <w:p w14:paraId="0E812A25">
      <w:pPr>
        <w:pStyle w:val="4"/>
        <w:keepNext w:val="0"/>
        <w:keepLines w:val="0"/>
        <w:pageBreakBefore w:val="0"/>
        <w:widowControl w:val="0"/>
        <w:kinsoku/>
        <w:bidi w:val="0"/>
        <w:rPr>
          <w:rFonts w:hint="eastAsia"/>
        </w:rPr>
      </w:pPr>
      <w:bookmarkStart w:id="713" w:name="_Toc17792038"/>
      <w:bookmarkEnd w:id="713"/>
      <w:bookmarkStart w:id="714" w:name="_Toc413501904"/>
      <w:bookmarkEnd w:id="714"/>
      <w:bookmarkStart w:id="715" w:name="_Toc294183141"/>
      <w:bookmarkEnd w:id="715"/>
      <w:bookmarkStart w:id="716" w:name="_Toc4514"/>
      <w:bookmarkEnd w:id="716"/>
      <w:bookmarkStart w:id="717" w:name="_Toc297561905"/>
      <w:bookmarkEnd w:id="717"/>
      <w:bookmarkStart w:id="718" w:name="_Toc464392607"/>
      <w:bookmarkEnd w:id="718"/>
      <w:bookmarkStart w:id="719" w:name="_Toc60925380"/>
      <w:bookmarkEnd w:id="719"/>
      <w:bookmarkStart w:id="720" w:name="_Toc55945271"/>
      <w:bookmarkEnd w:id="720"/>
      <w:bookmarkStart w:id="721" w:name="_Toc55567432"/>
      <w:bookmarkStart w:id="722" w:name="_Toc3017"/>
      <w:r>
        <w:rPr>
          <w:rFonts w:hint="eastAsia"/>
        </w:rPr>
        <w:t>供配电系统</w:t>
      </w:r>
      <w:bookmarkEnd w:id="721"/>
      <w:bookmarkEnd w:id="722"/>
    </w:p>
    <w:p w14:paraId="56FD5EB8">
      <w:pPr>
        <w:pStyle w:val="5"/>
        <w:bidi w:val="0"/>
        <w:rPr>
          <w:rFonts w:hint="eastAsia"/>
          <w:lang w:val="en-US" w:eastAsia="zh-CN"/>
        </w:rPr>
      </w:pPr>
      <w:bookmarkStart w:id="723" w:name="_Toc294183142"/>
      <w:bookmarkEnd w:id="723"/>
      <w:bookmarkStart w:id="724" w:name="_Toc297561906"/>
      <w:bookmarkEnd w:id="724"/>
      <w:bookmarkStart w:id="725" w:name="_Toc2835"/>
      <w:bookmarkEnd w:id="725"/>
      <w:bookmarkStart w:id="726" w:name="_Toc60925381"/>
      <w:bookmarkEnd w:id="726"/>
      <w:bookmarkStart w:id="727" w:name="_Toc55945272"/>
      <w:bookmarkEnd w:id="727"/>
      <w:bookmarkStart w:id="728" w:name="_Toc464392610"/>
      <w:bookmarkEnd w:id="728"/>
      <w:bookmarkStart w:id="729" w:name="_Toc413501907"/>
      <w:bookmarkEnd w:id="729"/>
      <w:bookmarkStart w:id="730" w:name="_Toc55567433"/>
      <w:bookmarkEnd w:id="730"/>
      <w:bookmarkStart w:id="731" w:name="_Toc156704073"/>
      <w:bookmarkStart w:id="732" w:name="_Toc27760"/>
      <w:bookmarkStart w:id="733" w:name="_Toc154332989"/>
      <w:bookmarkStart w:id="734" w:name="_Toc17792039"/>
      <w:r>
        <w:rPr>
          <w:rFonts w:hint="eastAsia"/>
          <w:lang w:val="en-US" w:eastAsia="zh-CN"/>
        </w:rPr>
        <w:t>触电危险性分析</w:t>
      </w:r>
      <w:bookmarkEnd w:id="731"/>
      <w:bookmarkEnd w:id="732"/>
      <w:bookmarkEnd w:id="733"/>
    </w:p>
    <w:p w14:paraId="33BE9B53">
      <w:pPr>
        <w:keepNext w:val="0"/>
        <w:keepLines w:val="0"/>
        <w:pageBreakBefore w:val="0"/>
        <w:widowControl w:val="0"/>
        <w:numPr>
          <w:ilvl w:val="0"/>
          <w:numId w:val="72"/>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供配电设备、设施在运行中由于产品质量不佳，绝缘性能不好；现场环境恶劣</w:t>
      </w:r>
      <w:r>
        <w:rPr>
          <w:rFonts w:hint="eastAsia" w:eastAsia="宋体" w:cs="Times New Roman"/>
          <w:lang w:eastAsia="zh-CN"/>
        </w:rPr>
        <w:t>（</w:t>
      </w:r>
      <w:r>
        <w:rPr>
          <w:rFonts w:hint="eastAsia" w:eastAsia="宋体" w:cs="Times New Roman"/>
        </w:rPr>
        <w:t>高温、潮湿、腐蚀、振动</w:t>
      </w:r>
      <w:r>
        <w:rPr>
          <w:rFonts w:hint="eastAsia" w:eastAsia="宋体" w:cs="Times New Roman"/>
          <w:lang w:eastAsia="zh-CN"/>
        </w:rPr>
        <w:t>）</w:t>
      </w:r>
      <w:r>
        <w:rPr>
          <w:rFonts w:hint="eastAsia" w:eastAsia="宋体" w:cs="Times New Roman"/>
        </w:rPr>
        <w:t>、运行不当、机械损伤、安装质量不符合规范要求、维修不善导致绝缘老化破损，可能造成人员触电。</w:t>
      </w:r>
    </w:p>
    <w:p w14:paraId="43AD21E9">
      <w:pPr>
        <w:keepNext w:val="0"/>
        <w:keepLines w:val="0"/>
        <w:pageBreakBefore w:val="0"/>
        <w:widowControl w:val="0"/>
        <w:numPr>
          <w:ilvl w:val="0"/>
          <w:numId w:val="72"/>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设计不合理、安装不规范、各种电气安全净距离不足；安全措施和安全技术措施不完备、违章操作、保护失灵等原因，若人体不慎触及带电体或过分靠近带电部分，都有可能发生电击、电灼伤的触电危险。</w:t>
      </w:r>
    </w:p>
    <w:p w14:paraId="55AB6798">
      <w:pPr>
        <w:pStyle w:val="5"/>
        <w:bidi w:val="0"/>
        <w:rPr>
          <w:rFonts w:hint="eastAsia"/>
          <w:lang w:val="en-US" w:eastAsia="zh-CN"/>
        </w:rPr>
      </w:pPr>
      <w:bookmarkStart w:id="735" w:name="_Toc156704074"/>
      <w:bookmarkStart w:id="736" w:name="_Toc276714465"/>
      <w:bookmarkStart w:id="737" w:name="_Toc154332990"/>
      <w:bookmarkStart w:id="738" w:name="_Toc275763187"/>
      <w:bookmarkStart w:id="739" w:name="_Toc18360"/>
      <w:r>
        <w:rPr>
          <w:rFonts w:hint="eastAsia"/>
          <w:lang w:val="en-US" w:eastAsia="zh-CN"/>
        </w:rPr>
        <w:t>电气火灾爆炸危险分析</w:t>
      </w:r>
      <w:bookmarkEnd w:id="735"/>
      <w:bookmarkEnd w:id="736"/>
      <w:bookmarkEnd w:id="737"/>
      <w:bookmarkEnd w:id="738"/>
      <w:bookmarkEnd w:id="739"/>
    </w:p>
    <w:p w14:paraId="6ECD0AFB">
      <w:pPr>
        <w:keepNext w:val="0"/>
        <w:keepLines w:val="0"/>
        <w:pageBreakBefore w:val="0"/>
        <w:widowControl w:val="0"/>
        <w:numPr>
          <w:ilvl w:val="0"/>
          <w:numId w:val="73"/>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各种</w:t>
      </w:r>
      <w:r>
        <w:rPr>
          <w:rFonts w:hint="eastAsia" w:cs="Times New Roman"/>
          <w:lang w:val="en-US" w:eastAsia="zh-CN"/>
        </w:rPr>
        <w:t>高、</w:t>
      </w:r>
      <w:r>
        <w:rPr>
          <w:rFonts w:hint="eastAsia" w:eastAsia="宋体" w:cs="Times New Roman"/>
        </w:rPr>
        <w:t>低压配电装置、电气设备、电器、照明设施、电缆、电气线路等，如果安装不当、外部火源移近、运行中正常的闭合与分断、不正常运行的过负荷、短路、过电压、接地故障、接触不良等，均可产生电气火花、电弧或者过热，若防护不当，可能发生电气火灾或引燃周围的可燃物质，造成火灾事故。</w:t>
      </w:r>
    </w:p>
    <w:p w14:paraId="3B8DBF24">
      <w:pPr>
        <w:keepNext w:val="0"/>
        <w:keepLines w:val="0"/>
        <w:pageBreakBefore w:val="0"/>
        <w:widowControl w:val="0"/>
        <w:numPr>
          <w:ilvl w:val="0"/>
          <w:numId w:val="73"/>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在有过载电流流过时，还可能使导线</w:t>
      </w:r>
      <w:r>
        <w:rPr>
          <w:rFonts w:hint="eastAsia" w:eastAsia="宋体" w:cs="Times New Roman"/>
          <w:lang w:eastAsia="zh-CN"/>
        </w:rPr>
        <w:t>（</w:t>
      </w:r>
      <w:r>
        <w:rPr>
          <w:rFonts w:hint="eastAsia" w:eastAsia="宋体" w:cs="Times New Roman"/>
        </w:rPr>
        <w:t>含母线、开关</w:t>
      </w:r>
      <w:r>
        <w:rPr>
          <w:rFonts w:hint="eastAsia" w:eastAsia="宋体" w:cs="Times New Roman"/>
          <w:lang w:eastAsia="zh-CN"/>
        </w:rPr>
        <w:t>）</w:t>
      </w:r>
      <w:r>
        <w:rPr>
          <w:rFonts w:hint="eastAsia" w:eastAsia="宋体" w:cs="Times New Roman"/>
        </w:rPr>
        <w:t>过热，金属迅速气化而引起爆炸。</w:t>
      </w:r>
    </w:p>
    <w:p w14:paraId="49306AD4">
      <w:pPr>
        <w:keepNext w:val="0"/>
        <w:keepLines w:val="0"/>
        <w:pageBreakBefore w:val="0"/>
        <w:widowControl w:val="0"/>
        <w:numPr>
          <w:ilvl w:val="0"/>
          <w:numId w:val="73"/>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电气设备的安全装置或保护措施</w:t>
      </w:r>
      <w:r>
        <w:rPr>
          <w:rFonts w:hint="eastAsia" w:eastAsia="宋体" w:cs="Times New Roman"/>
          <w:lang w:eastAsia="zh-CN"/>
        </w:rPr>
        <w:t>（</w:t>
      </w:r>
      <w:r>
        <w:rPr>
          <w:rFonts w:hint="eastAsia" w:eastAsia="宋体" w:cs="Times New Roman"/>
        </w:rPr>
        <w:t>熔断器、断路器、漏电保护器、屏护、绝缘、保护接地与接零等</w:t>
      </w:r>
      <w:r>
        <w:rPr>
          <w:rFonts w:hint="eastAsia" w:eastAsia="宋体" w:cs="Times New Roman"/>
          <w:lang w:eastAsia="zh-CN"/>
        </w:rPr>
        <w:t>）</w:t>
      </w:r>
      <w:r>
        <w:rPr>
          <w:rFonts w:hint="eastAsia" w:eastAsia="宋体" w:cs="Times New Roman"/>
        </w:rPr>
        <w:t>不可靠，可能发生触电、火灾甚至爆炸等事故。</w:t>
      </w:r>
    </w:p>
    <w:p w14:paraId="06B501C9">
      <w:pPr>
        <w:keepNext w:val="0"/>
        <w:keepLines w:val="0"/>
        <w:pageBreakBefore w:val="0"/>
        <w:widowControl w:val="0"/>
        <w:numPr>
          <w:ilvl w:val="0"/>
          <w:numId w:val="73"/>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爆炸危险区域内的电气设备未按防爆要求设计、安装或选用的电气设备不能满足爆炸危险区域相应的防爆等级，可能发生火灾、爆炸事故。</w:t>
      </w:r>
    </w:p>
    <w:p w14:paraId="56F104BE">
      <w:pPr>
        <w:keepNext w:val="0"/>
        <w:keepLines w:val="0"/>
        <w:pageBreakBefore w:val="0"/>
        <w:widowControl w:val="0"/>
        <w:numPr>
          <w:ilvl w:val="0"/>
          <w:numId w:val="73"/>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变配电室的消防设备设施配备不足、布置不合理、失效等原因致使不能有效控制火势蔓延，将造成事故扩大。</w:t>
      </w:r>
    </w:p>
    <w:p w14:paraId="0A3C48C7">
      <w:pPr>
        <w:pStyle w:val="5"/>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bookmarkStart w:id="740" w:name="_Toc711"/>
      <w:bookmarkStart w:id="741" w:name="_Toc275763189"/>
      <w:bookmarkStart w:id="742" w:name="_Toc156704076"/>
      <w:bookmarkStart w:id="743" w:name="_Toc276714467"/>
      <w:bookmarkStart w:id="744" w:name="_Toc154332992"/>
      <w:r>
        <w:rPr>
          <w:rFonts w:hint="eastAsia"/>
          <w:lang w:val="en-US" w:eastAsia="zh-CN"/>
        </w:rPr>
        <w:t>由电气设备设施引起的其他危险有害因素分析</w:t>
      </w:r>
      <w:bookmarkEnd w:id="740"/>
      <w:bookmarkEnd w:id="741"/>
      <w:bookmarkEnd w:id="742"/>
      <w:bookmarkEnd w:id="743"/>
      <w:bookmarkEnd w:id="744"/>
    </w:p>
    <w:p w14:paraId="2413B782">
      <w:pPr>
        <w:keepNext w:val="0"/>
        <w:keepLines w:val="0"/>
        <w:pageBreakBefore w:val="0"/>
        <w:widowControl w:val="0"/>
        <w:numPr>
          <w:ilvl w:val="0"/>
          <w:numId w:val="74"/>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配电室内发生火灾，会产生大量的毒烟</w:t>
      </w:r>
      <w:r>
        <w:rPr>
          <w:rFonts w:hint="eastAsia" w:eastAsia="宋体" w:cs="Times New Roman"/>
          <w:lang w:eastAsia="zh-CN"/>
        </w:rPr>
        <w:t>（</w:t>
      </w:r>
      <w:r>
        <w:rPr>
          <w:rFonts w:hint="eastAsia" w:eastAsia="宋体" w:cs="Times New Roman"/>
        </w:rPr>
        <w:t>电缆、电线的塑料外壳燃烧</w:t>
      </w:r>
      <w:r>
        <w:rPr>
          <w:rFonts w:hint="eastAsia" w:eastAsia="宋体" w:cs="Times New Roman"/>
          <w:lang w:eastAsia="zh-CN"/>
        </w:rPr>
        <w:t>）</w:t>
      </w:r>
      <w:r>
        <w:rPr>
          <w:rFonts w:hint="eastAsia" w:eastAsia="宋体" w:cs="Times New Roman"/>
        </w:rPr>
        <w:t>，操作人员在抢救时若不佩戴防护用具或防护用具使用不当，可能造成中毒、窒息事故。</w:t>
      </w:r>
    </w:p>
    <w:p w14:paraId="47B0A065">
      <w:pPr>
        <w:keepNext w:val="0"/>
        <w:keepLines w:val="0"/>
        <w:pageBreakBefore w:val="0"/>
        <w:widowControl w:val="0"/>
        <w:numPr>
          <w:ilvl w:val="0"/>
          <w:numId w:val="74"/>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电气设备未按规程规定进行周期性的有效的绝缘预防性试验，未认真编写主要设备的绝缘试验报告、缺陷和处理意见档案等情况，影响电气设备的计划检修、维护和保养。</w:t>
      </w:r>
    </w:p>
    <w:p w14:paraId="6B8A8076">
      <w:pPr>
        <w:keepNext w:val="0"/>
        <w:keepLines w:val="0"/>
        <w:pageBreakBefore w:val="0"/>
        <w:widowControl w:val="0"/>
        <w:numPr>
          <w:ilvl w:val="0"/>
          <w:numId w:val="74"/>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若未按时对电气设备各类保护装置的完整性、可靠性</w:t>
      </w:r>
      <w:r>
        <w:rPr>
          <w:rFonts w:hint="eastAsia" w:eastAsia="宋体" w:cs="Times New Roman"/>
          <w:lang w:eastAsia="zh-CN"/>
        </w:rPr>
        <w:t>（</w:t>
      </w:r>
      <w:r>
        <w:rPr>
          <w:rFonts w:hint="eastAsia" w:eastAsia="宋体" w:cs="Times New Roman"/>
        </w:rPr>
        <w:t>包括继电保护的校验、整定记录、避雷针、避雷器的保护范围，技术参数，接地装置是否符合规程要求，各类保护接地、接零是否安全正确可靠等</w:t>
      </w:r>
      <w:r>
        <w:rPr>
          <w:rFonts w:hint="eastAsia" w:eastAsia="宋体" w:cs="Times New Roman"/>
          <w:lang w:eastAsia="zh-CN"/>
        </w:rPr>
        <w:t>）</w:t>
      </w:r>
      <w:r>
        <w:rPr>
          <w:rFonts w:hint="eastAsia" w:eastAsia="宋体" w:cs="Times New Roman"/>
        </w:rPr>
        <w:t>进行检查、校验和检测，将不能保证电气设备的安全运行。</w:t>
      </w:r>
    </w:p>
    <w:p w14:paraId="11ECBC23">
      <w:pPr>
        <w:keepNext w:val="0"/>
        <w:keepLines w:val="0"/>
        <w:pageBreakBefore w:val="0"/>
        <w:widowControl w:val="0"/>
        <w:numPr>
          <w:ilvl w:val="0"/>
          <w:numId w:val="74"/>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若配电室通风、防火、防爆、防雨和防小动物进入等措施不符合安全要求时，易发生漏电、起火、损坏电气线路和设备等事故。</w:t>
      </w:r>
    </w:p>
    <w:p w14:paraId="383B6EC7">
      <w:pPr>
        <w:keepNext w:val="0"/>
        <w:keepLines w:val="0"/>
        <w:pageBreakBefore w:val="0"/>
        <w:widowControl w:val="0"/>
        <w:numPr>
          <w:ilvl w:val="0"/>
          <w:numId w:val="74"/>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若电气设备的仪表本身存在故障，可能导致压力、温度等指示迟缓或错误，影响运行控制的及时性和准确性，可能因此而导致事故发生。</w:t>
      </w:r>
    </w:p>
    <w:p w14:paraId="1AD576B7">
      <w:pPr>
        <w:keepNext w:val="0"/>
        <w:keepLines w:val="0"/>
        <w:pageBreakBefore w:val="0"/>
        <w:widowControl w:val="0"/>
        <w:numPr>
          <w:ilvl w:val="0"/>
          <w:numId w:val="74"/>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rPr>
        <w:t>因电缆安装时没有按设计要求进行电缆防火措施处理，若在运行过程中，一处电缆失火，会造成大面积电缆火灾。</w:t>
      </w:r>
      <w:bookmarkStart w:id="745" w:name="_Toc22359"/>
      <w:bookmarkStart w:id="746" w:name="_Toc472583952"/>
      <w:bookmarkStart w:id="747" w:name="_Toc96697422"/>
      <w:bookmarkStart w:id="748" w:name="_Toc24294"/>
    </w:p>
    <w:p w14:paraId="1B3F820A">
      <w:pPr>
        <w:pStyle w:val="5"/>
        <w:bidi w:val="0"/>
        <w:rPr>
          <w:rFonts w:hint="eastAsia"/>
          <w:lang w:val="en-US" w:eastAsia="zh-CN"/>
        </w:rPr>
      </w:pPr>
      <w:bookmarkStart w:id="749" w:name="_Toc156704075"/>
      <w:bookmarkStart w:id="750" w:name="_Toc154332991"/>
      <w:bookmarkStart w:id="751" w:name="_Toc275763188"/>
      <w:bookmarkStart w:id="752" w:name="_Toc276714466"/>
      <w:bookmarkStart w:id="753" w:name="_Toc26492"/>
      <w:r>
        <w:rPr>
          <w:rFonts w:hint="eastAsia"/>
          <w:lang w:val="en-US" w:eastAsia="zh-CN"/>
        </w:rPr>
        <w:t>电气设施的雷击危险性分析</w:t>
      </w:r>
      <w:bookmarkEnd w:id="749"/>
      <w:bookmarkEnd w:id="750"/>
      <w:bookmarkEnd w:id="751"/>
      <w:bookmarkEnd w:id="752"/>
      <w:bookmarkEnd w:id="753"/>
    </w:p>
    <w:p w14:paraId="29622060">
      <w:pPr>
        <w:keepNext w:val="0"/>
        <w:keepLines w:val="0"/>
        <w:pageBreakBefore w:val="0"/>
        <w:widowControl w:val="0"/>
        <w:kinsoku/>
        <w:bidi w:val="0"/>
        <w:rPr>
          <w:rFonts w:hint="eastAsia"/>
          <w:lang w:val="en-US" w:eastAsia="zh-CN"/>
        </w:rPr>
      </w:pPr>
      <w:r>
        <w:rPr>
          <w:rFonts w:hint="eastAsia"/>
        </w:rPr>
        <w:t>配电室、配电装置、配线</w:t>
      </w:r>
      <w:r>
        <w:rPr>
          <w:rFonts w:hint="eastAsia"/>
          <w:lang w:eastAsia="zh-CN"/>
        </w:rPr>
        <w:t>（</w:t>
      </w:r>
      <w:r>
        <w:rPr>
          <w:rFonts w:hint="eastAsia"/>
        </w:rPr>
        <w:t>缆</w:t>
      </w:r>
      <w:r>
        <w:rPr>
          <w:rFonts w:hint="eastAsia"/>
          <w:lang w:eastAsia="zh-CN"/>
        </w:rPr>
        <w:t>）</w:t>
      </w:r>
      <w:r>
        <w:rPr>
          <w:rFonts w:hint="eastAsia"/>
        </w:rPr>
        <w:t>、构架都有遭受雷击的可能。若防雷设计不合理、施工不规范、接地电阻值不符合规范要求，则雷电过电压在雷电波及范围内会严重破坏建筑物及设备设施，并可能危及人身安全甚至有致命的危险，巨大的雷电</w:t>
      </w:r>
      <w:r>
        <w:rPr>
          <w:rFonts w:hint="eastAsia"/>
          <w:lang w:eastAsia="zh-CN"/>
        </w:rPr>
        <w:t>流</w:t>
      </w:r>
      <w:r>
        <w:rPr>
          <w:rFonts w:hint="eastAsia"/>
        </w:rPr>
        <w:t>入地下，会在雷击点及其连接的金属部分产生极高的对地电压，可能导致接触电压或跨步电压的触电事故；雷电流的热效应还能引起电气火灾及爆炸。</w:t>
      </w:r>
    </w:p>
    <w:p w14:paraId="4D04A4EF">
      <w:pPr>
        <w:pStyle w:val="4"/>
        <w:keepNext w:val="0"/>
        <w:keepLines w:val="0"/>
        <w:pageBreakBefore w:val="0"/>
        <w:widowControl w:val="0"/>
        <w:kinsoku/>
        <w:bidi w:val="0"/>
        <w:ind w:left="720" w:leftChars="0" w:hanging="720" w:firstLineChars="0"/>
        <w:rPr>
          <w:rFonts w:hint="eastAsia"/>
        </w:rPr>
      </w:pPr>
      <w:bookmarkStart w:id="754" w:name="_Toc22939"/>
      <w:r>
        <w:rPr>
          <w:rFonts w:hint="eastAsia"/>
        </w:rPr>
        <w:t>给排水系统</w:t>
      </w:r>
      <w:bookmarkEnd w:id="745"/>
      <w:bookmarkEnd w:id="746"/>
      <w:bookmarkEnd w:id="747"/>
      <w:bookmarkEnd w:id="748"/>
      <w:bookmarkEnd w:id="754"/>
    </w:p>
    <w:p w14:paraId="348D5680">
      <w:pPr>
        <w:keepNext w:val="0"/>
        <w:keepLines w:val="0"/>
        <w:pageBreakBefore w:val="0"/>
        <w:widowControl w:val="0"/>
        <w:kinsoku/>
        <w:wordWrap/>
        <w:overflowPunct/>
        <w:topLinePunct w:val="0"/>
        <w:autoSpaceDE w:val="0"/>
        <w:autoSpaceDN w:val="0"/>
        <w:bidi w:val="0"/>
        <w:adjustRightInd w:val="0"/>
        <w:spacing w:line="500" w:lineRule="exact"/>
        <w:ind w:firstLine="560"/>
        <w:textAlignment w:val="auto"/>
        <w:rPr>
          <w:sz w:val="28"/>
          <w:szCs w:val="28"/>
          <w:lang w:val="zh-CN"/>
        </w:rPr>
      </w:pPr>
      <w:r>
        <w:rPr>
          <w:rFonts w:hint="eastAsia"/>
          <w:sz w:val="28"/>
          <w:szCs w:val="28"/>
          <w:lang w:val="en-US" w:eastAsia="zh-CN"/>
        </w:rPr>
        <w:t>项目</w:t>
      </w:r>
      <w:r>
        <w:rPr>
          <w:sz w:val="28"/>
          <w:szCs w:val="28"/>
          <w:lang w:val="zh-CN"/>
        </w:rPr>
        <w:t>给排水</w:t>
      </w:r>
      <w:r>
        <w:rPr>
          <w:rFonts w:hint="eastAsia"/>
          <w:sz w:val="28"/>
          <w:szCs w:val="28"/>
          <w:lang w:val="en-US" w:eastAsia="zh-CN"/>
        </w:rPr>
        <w:t>系统</w:t>
      </w:r>
      <w:r>
        <w:rPr>
          <w:sz w:val="28"/>
          <w:szCs w:val="28"/>
          <w:lang w:val="zh-CN"/>
        </w:rPr>
        <w:t>承担生产用水、消防用水和废水治理等功能，其事故的发生对整个企业的影响不可忽视，尤其是突发的给排水事故有时会对生产带来严重的后果，或导致灾难性后果。</w:t>
      </w:r>
      <w:r>
        <w:rPr>
          <w:rFonts w:hint="eastAsia"/>
          <w:sz w:val="28"/>
          <w:szCs w:val="28"/>
          <w:lang w:val="en-US" w:eastAsia="zh-CN"/>
        </w:rPr>
        <w:t>项目</w:t>
      </w:r>
      <w:r>
        <w:rPr>
          <w:sz w:val="28"/>
          <w:szCs w:val="28"/>
          <w:lang w:val="zh-CN"/>
        </w:rPr>
        <w:t>给排水处理工程主要危险有害</w:t>
      </w:r>
      <w:r>
        <w:rPr>
          <w:rFonts w:hint="eastAsia"/>
          <w:sz w:val="28"/>
          <w:szCs w:val="28"/>
          <w:lang w:val="en-US" w:eastAsia="zh-CN"/>
        </w:rPr>
        <w:t>因素</w:t>
      </w:r>
      <w:r>
        <w:rPr>
          <w:sz w:val="28"/>
          <w:szCs w:val="28"/>
          <w:lang w:val="zh-CN"/>
        </w:rPr>
        <w:t>有以下几类：</w:t>
      </w:r>
    </w:p>
    <w:p w14:paraId="56B3ACBC">
      <w:pPr>
        <w:pStyle w:val="5"/>
        <w:keepNext w:val="0"/>
        <w:keepLines w:val="0"/>
        <w:pageBreakBefore w:val="0"/>
        <w:widowControl w:val="0"/>
        <w:kinsoku/>
        <w:wordWrap/>
        <w:overflowPunct/>
        <w:topLinePunct w:val="0"/>
        <w:autoSpaceDE/>
        <w:autoSpaceDN/>
        <w:bidi w:val="0"/>
        <w:adjustRightInd w:val="0"/>
        <w:snapToGrid w:val="0"/>
        <w:textAlignment w:val="auto"/>
        <w:rPr>
          <w:lang w:val="zh-CN"/>
        </w:rPr>
      </w:pPr>
      <w:r>
        <w:rPr>
          <w:lang w:val="zh-CN"/>
        </w:rPr>
        <w:t>供水质量事故</w:t>
      </w:r>
    </w:p>
    <w:p w14:paraId="23F86466">
      <w:pPr>
        <w:keepNext w:val="0"/>
        <w:keepLines w:val="0"/>
        <w:pageBreakBefore w:val="0"/>
        <w:widowControl w:val="0"/>
        <w:kinsoku/>
        <w:wordWrap/>
        <w:overflowPunct/>
        <w:topLinePunct w:val="0"/>
        <w:autoSpaceDE w:val="0"/>
        <w:autoSpaceDN w:val="0"/>
        <w:bidi w:val="0"/>
        <w:adjustRightInd w:val="0"/>
        <w:snapToGrid/>
        <w:spacing w:line="500" w:lineRule="exact"/>
        <w:ind w:firstLine="560"/>
        <w:textAlignment w:val="auto"/>
        <w:rPr>
          <w:sz w:val="28"/>
          <w:szCs w:val="28"/>
          <w:lang w:val="zh-CN"/>
        </w:rPr>
      </w:pPr>
      <w:r>
        <w:rPr>
          <w:sz w:val="28"/>
          <w:szCs w:val="28"/>
          <w:lang w:val="zh-CN"/>
        </w:rPr>
        <w:t>供水质量直接影响产品质量及生产系统安全，供水质量事故主要有：供水质量不合格、供水压力较小以及断水事故等。供水质量事故对产品质量及生产系统安全的影响主要表现在：</w:t>
      </w:r>
    </w:p>
    <w:p w14:paraId="6ADF9B8D">
      <w:pPr>
        <w:keepNext w:val="0"/>
        <w:keepLines w:val="0"/>
        <w:pageBreakBefore w:val="0"/>
        <w:widowControl w:val="0"/>
        <w:kinsoku/>
        <w:wordWrap/>
        <w:overflowPunct/>
        <w:topLinePunct w:val="0"/>
        <w:autoSpaceDE w:val="0"/>
        <w:autoSpaceDN w:val="0"/>
        <w:bidi w:val="0"/>
        <w:adjustRightInd w:val="0"/>
        <w:spacing w:line="500" w:lineRule="exact"/>
        <w:ind w:firstLine="560"/>
        <w:textAlignment w:val="auto"/>
        <w:rPr>
          <w:sz w:val="28"/>
          <w:szCs w:val="28"/>
          <w:lang w:val="zh-CN"/>
        </w:rPr>
      </w:pPr>
      <w:r>
        <w:rPr>
          <w:sz w:val="28"/>
          <w:szCs w:val="28"/>
          <w:lang w:val="zh-CN"/>
        </w:rPr>
        <w:t>（1）</w:t>
      </w:r>
      <w:r>
        <w:rPr>
          <w:rFonts w:hint="eastAsia"/>
          <w:sz w:val="28"/>
          <w:szCs w:val="28"/>
          <w:lang w:val="en-US" w:eastAsia="zh-CN"/>
        </w:rPr>
        <w:t>电弧炉冷却系统</w:t>
      </w:r>
      <w:r>
        <w:rPr>
          <w:rFonts w:hint="eastAsia"/>
          <w:sz w:val="28"/>
          <w:szCs w:val="28"/>
          <w:lang w:val="zh-CN"/>
        </w:rPr>
        <w:t>供水</w:t>
      </w:r>
      <w:r>
        <w:rPr>
          <w:sz w:val="28"/>
          <w:szCs w:val="28"/>
        </w:rPr>
        <w:t>工作不正常，短时间内可烧坏设备，造成停炉事故。</w:t>
      </w:r>
    </w:p>
    <w:p w14:paraId="0CECF5B4">
      <w:pPr>
        <w:keepNext w:val="0"/>
        <w:keepLines w:val="0"/>
        <w:pageBreakBefore w:val="0"/>
        <w:widowControl w:val="0"/>
        <w:kinsoku/>
        <w:wordWrap/>
        <w:overflowPunct/>
        <w:topLinePunct w:val="0"/>
        <w:autoSpaceDE w:val="0"/>
        <w:autoSpaceDN w:val="0"/>
        <w:bidi w:val="0"/>
        <w:adjustRightInd w:val="0"/>
        <w:spacing w:line="500" w:lineRule="exact"/>
        <w:ind w:firstLine="560"/>
        <w:textAlignment w:val="auto"/>
        <w:rPr>
          <w:sz w:val="28"/>
          <w:szCs w:val="28"/>
          <w:lang w:val="zh-CN"/>
        </w:rPr>
      </w:pPr>
      <w:r>
        <w:rPr>
          <w:sz w:val="28"/>
          <w:szCs w:val="28"/>
          <w:lang w:val="zh-CN"/>
        </w:rPr>
        <w:t>（2）消防水供给不足：如果在消防用水时出现供水压力较小以及断水事故等，会导致事故无法控制甚至事故扩大。</w:t>
      </w:r>
    </w:p>
    <w:p w14:paraId="47C996BA">
      <w:pPr>
        <w:pStyle w:val="5"/>
        <w:keepNext w:val="0"/>
        <w:keepLines w:val="0"/>
        <w:pageBreakBefore w:val="0"/>
        <w:widowControl w:val="0"/>
        <w:kinsoku/>
        <w:wordWrap/>
        <w:overflowPunct/>
        <w:topLinePunct w:val="0"/>
        <w:autoSpaceDE/>
        <w:autoSpaceDN/>
        <w:bidi w:val="0"/>
        <w:adjustRightInd w:val="0"/>
        <w:snapToGrid w:val="0"/>
        <w:textAlignment w:val="auto"/>
        <w:rPr>
          <w:rFonts w:ascii="宋体" w:hAnsi="宋体" w:eastAsia="宋体" w:cs="Times New Roman"/>
          <w:lang w:val="zh-CN"/>
        </w:rPr>
      </w:pPr>
      <w:r>
        <w:rPr>
          <w:rFonts w:hint="eastAsia" w:ascii="宋体" w:hAnsi="宋体" w:eastAsia="宋体" w:cs="Times New Roman"/>
          <w:lang w:val="en-US" w:eastAsia="zh-CN"/>
        </w:rPr>
        <w:t>机械</w:t>
      </w:r>
      <w:r>
        <w:rPr>
          <w:rFonts w:ascii="宋体" w:hAnsi="宋体" w:eastAsia="宋体" w:cs="Times New Roman"/>
          <w:lang w:val="zh-CN"/>
        </w:rPr>
        <w:t>伤害</w:t>
      </w:r>
    </w:p>
    <w:p w14:paraId="3067C0F1">
      <w:pPr>
        <w:keepNext w:val="0"/>
        <w:keepLines w:val="0"/>
        <w:pageBreakBefore w:val="0"/>
        <w:widowControl w:val="0"/>
        <w:kinsoku/>
        <w:wordWrap/>
        <w:overflowPunct/>
        <w:topLinePunct w:val="0"/>
        <w:autoSpaceDE w:val="0"/>
        <w:autoSpaceDN w:val="0"/>
        <w:bidi w:val="0"/>
        <w:adjustRightInd w:val="0"/>
        <w:spacing w:line="500" w:lineRule="exact"/>
        <w:ind w:firstLine="560"/>
        <w:textAlignment w:val="auto"/>
        <w:rPr>
          <w:sz w:val="28"/>
          <w:szCs w:val="28"/>
          <w:lang w:val="zh-CN"/>
        </w:rPr>
      </w:pPr>
      <w:r>
        <w:rPr>
          <w:sz w:val="28"/>
          <w:szCs w:val="28"/>
          <w:lang w:val="zh-CN"/>
        </w:rPr>
        <w:t>给排水处理工程中使用的机械设备主要为水输送泵，其转运部件由于防护罩缺失或装置不合要求时，人员</w:t>
      </w:r>
      <w:r>
        <w:rPr>
          <w:rFonts w:hint="eastAsia"/>
          <w:sz w:val="28"/>
          <w:szCs w:val="28"/>
          <w:lang w:val="zh-CN"/>
        </w:rPr>
        <w:t>触及</w:t>
      </w:r>
      <w:r>
        <w:rPr>
          <w:sz w:val="28"/>
          <w:szCs w:val="28"/>
          <w:lang w:val="zh-CN"/>
        </w:rPr>
        <w:t>运动部件时有发生易发生机械缠绕等伤害的可能。</w:t>
      </w:r>
    </w:p>
    <w:p w14:paraId="2A1FCD1B">
      <w:pPr>
        <w:pStyle w:val="5"/>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Times New Roman"/>
          <w:lang w:val="zh-CN" w:eastAsia="zh-CN"/>
        </w:rPr>
      </w:pPr>
      <w:r>
        <w:rPr>
          <w:rFonts w:hint="eastAsia" w:ascii="宋体" w:hAnsi="宋体" w:eastAsia="宋体" w:cs="Times New Roman"/>
          <w:lang w:val="zh-CN" w:eastAsia="zh-CN"/>
        </w:rPr>
        <w:t>触电</w:t>
      </w:r>
    </w:p>
    <w:p w14:paraId="162D3837">
      <w:pPr>
        <w:keepNext w:val="0"/>
        <w:keepLines w:val="0"/>
        <w:pageBreakBefore w:val="0"/>
        <w:widowControl w:val="0"/>
        <w:kinsoku/>
        <w:wordWrap/>
        <w:overflowPunct/>
        <w:topLinePunct w:val="0"/>
        <w:bidi w:val="0"/>
        <w:spacing w:line="500" w:lineRule="exact"/>
        <w:ind w:firstLine="510"/>
        <w:textAlignment w:val="auto"/>
        <w:rPr>
          <w:rFonts w:hint="eastAsia" w:ascii="宋体" w:hAnsi="宋体" w:eastAsia="宋体" w:cs="Times New Roman"/>
          <w:b/>
          <w:kern w:val="2"/>
          <w:sz w:val="30"/>
          <w:szCs w:val="24"/>
          <w:lang w:val="en-US" w:eastAsia="zh-CN" w:bidi="ar-SA"/>
        </w:rPr>
      </w:pPr>
      <w:r>
        <w:rPr>
          <w:sz w:val="28"/>
          <w:szCs w:val="28"/>
          <w:lang w:val="zh-CN"/>
        </w:rPr>
        <w:t>触电事故主要发生在泵等电气设备操作、检修等方面。形成事故的原因主要有：非电工操作、违章操作、不使用或使用不合格电工工具、设备接地设施损坏或失灵等。</w:t>
      </w:r>
    </w:p>
    <w:bookmarkEnd w:id="734"/>
    <w:p w14:paraId="1C2BF1CD">
      <w:pPr>
        <w:pStyle w:val="4"/>
        <w:keepNext w:val="0"/>
        <w:keepLines w:val="0"/>
        <w:pageBreakBefore w:val="0"/>
        <w:widowControl w:val="0"/>
        <w:kinsoku/>
        <w:bidi w:val="0"/>
        <w:rPr>
          <w:rFonts w:hint="eastAsia"/>
        </w:rPr>
      </w:pPr>
      <w:bookmarkStart w:id="755" w:name="_Toc27600"/>
      <w:bookmarkStart w:id="756" w:name="_Toc12010"/>
      <w:bookmarkStart w:id="757" w:name="_Toc22305"/>
      <w:r>
        <w:rPr>
          <w:rFonts w:hint="eastAsia"/>
        </w:rPr>
        <w:t>消防系统</w:t>
      </w:r>
      <w:bookmarkEnd w:id="755"/>
      <w:bookmarkEnd w:id="756"/>
    </w:p>
    <w:p w14:paraId="3038E31D">
      <w:pPr>
        <w:keepNext w:val="0"/>
        <w:keepLines w:val="0"/>
        <w:pageBreakBefore w:val="0"/>
        <w:widowControl w:val="0"/>
        <w:kinsoku/>
        <w:bidi w:val="0"/>
        <w:rPr>
          <w:rFonts w:hint="eastAsia"/>
        </w:rPr>
      </w:pPr>
      <w:r>
        <w:rPr>
          <w:rFonts w:hint="eastAsia"/>
        </w:rPr>
        <w:t>消防系统直接影响火灾事故状态下的应急救援，若消防系统不能满足消防要求，最直接的影响便是影响救援进度，不能及时扑救火灾，造成事故扩大。可能造成事故扩大的原因主要包括以下几点：</w:t>
      </w:r>
    </w:p>
    <w:p w14:paraId="20E8DBBA">
      <w:pPr>
        <w:keepNext w:val="0"/>
        <w:keepLines w:val="0"/>
        <w:pageBreakBefore w:val="0"/>
        <w:widowControl w:val="0"/>
        <w:numPr>
          <w:ilvl w:val="0"/>
          <w:numId w:val="75"/>
        </w:numPr>
        <w:suppressLineNumbers w:val="0"/>
        <w:kinsoku/>
        <w:topLinePunct/>
        <w:autoSpaceDE w:val="0"/>
        <w:autoSpaceDN/>
        <w:bidi w:val="0"/>
        <w:spacing w:before="0" w:beforeAutospacing="0" w:after="0" w:afterAutospacing="0" w:line="500" w:lineRule="exact"/>
        <w:ind w:left="0" w:leftChars="0" w:right="0" w:firstLine="560" w:firstLineChars="200"/>
        <w:jc w:val="left"/>
        <w:rPr>
          <w:rFonts w:hint="eastAsia" w:ascii="宋体" w:hAnsi="宋体" w:eastAsia="宋体" w:cs="宋体"/>
          <w:kern w:val="2"/>
          <w:sz w:val="28"/>
          <w:szCs w:val="28"/>
          <w:lang w:val="en-US" w:eastAsia="zh-CN" w:bidi="ar"/>
        </w:rPr>
      </w:pPr>
      <w:bookmarkStart w:id="758" w:name="_Toc32093"/>
      <w:r>
        <w:rPr>
          <w:rFonts w:hint="eastAsia" w:ascii="宋体" w:hAnsi="宋体" w:eastAsia="宋体" w:cs="宋体"/>
          <w:kern w:val="2"/>
          <w:sz w:val="28"/>
          <w:szCs w:val="28"/>
          <w:lang w:val="en-US" w:eastAsia="zh-CN" w:bidi="ar"/>
        </w:rPr>
        <w:t>消火栓、灭火器等消防设施配备不足或布置不合理；</w:t>
      </w:r>
      <w:bookmarkEnd w:id="758"/>
    </w:p>
    <w:p w14:paraId="3C494307">
      <w:pPr>
        <w:keepNext w:val="0"/>
        <w:keepLines w:val="0"/>
        <w:pageBreakBefore w:val="0"/>
        <w:widowControl w:val="0"/>
        <w:numPr>
          <w:ilvl w:val="0"/>
          <w:numId w:val="75"/>
        </w:numPr>
        <w:suppressLineNumbers w:val="0"/>
        <w:kinsoku/>
        <w:topLinePunct/>
        <w:autoSpaceDE w:val="0"/>
        <w:autoSpaceDN/>
        <w:bidi w:val="0"/>
        <w:spacing w:before="0" w:beforeAutospacing="0" w:after="0" w:afterAutospacing="0" w:line="500" w:lineRule="exact"/>
        <w:ind w:left="0" w:leftChars="0" w:right="0" w:firstLine="560" w:firstLineChars="200"/>
        <w:jc w:val="left"/>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消防设施、火灾报警系统、消火栓系统日常检查、维护不当，在发生事故时不能及时启动；</w:t>
      </w:r>
    </w:p>
    <w:p w14:paraId="55F9B207">
      <w:pPr>
        <w:keepNext w:val="0"/>
        <w:keepLines w:val="0"/>
        <w:pageBreakBefore w:val="0"/>
        <w:widowControl w:val="0"/>
        <w:numPr>
          <w:ilvl w:val="0"/>
          <w:numId w:val="75"/>
        </w:numPr>
        <w:suppressLineNumbers w:val="0"/>
        <w:kinsoku/>
        <w:topLinePunct/>
        <w:autoSpaceDE w:val="0"/>
        <w:autoSpaceDN/>
        <w:bidi w:val="0"/>
        <w:spacing w:before="0" w:beforeAutospacing="0" w:after="0" w:afterAutospacing="0" w:line="500" w:lineRule="exact"/>
        <w:ind w:left="0" w:leftChars="0" w:right="0" w:firstLine="560" w:firstLineChars="200"/>
        <w:jc w:val="left"/>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在各生产作业场所配备的消防设施与该场所可能发生的火灾事故类别不相符；</w:t>
      </w:r>
    </w:p>
    <w:p w14:paraId="7C97C1E5">
      <w:pPr>
        <w:keepNext w:val="0"/>
        <w:keepLines w:val="0"/>
        <w:pageBreakBefore w:val="0"/>
        <w:widowControl w:val="0"/>
        <w:numPr>
          <w:ilvl w:val="0"/>
          <w:numId w:val="75"/>
        </w:numPr>
        <w:suppressLineNumbers w:val="0"/>
        <w:kinsoku/>
        <w:topLinePunct/>
        <w:autoSpaceDE w:val="0"/>
        <w:autoSpaceDN/>
        <w:bidi w:val="0"/>
        <w:spacing w:before="0" w:beforeAutospacing="0" w:after="0" w:afterAutospacing="0" w:line="500" w:lineRule="exact"/>
        <w:ind w:left="0" w:leftChars="0" w:right="0" w:firstLine="560" w:firstLineChars="200"/>
        <w:jc w:val="left"/>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发生火灾事故时，区域内的消防通道堵塞或不能形成环形通道；</w:t>
      </w:r>
    </w:p>
    <w:p w14:paraId="313BE7DC">
      <w:pPr>
        <w:keepNext w:val="0"/>
        <w:keepLines w:val="0"/>
        <w:pageBreakBefore w:val="0"/>
        <w:widowControl w:val="0"/>
        <w:numPr>
          <w:ilvl w:val="0"/>
          <w:numId w:val="75"/>
        </w:numPr>
        <w:suppressLineNumbers w:val="0"/>
        <w:kinsoku/>
        <w:topLinePunct/>
        <w:autoSpaceDE w:val="0"/>
        <w:autoSpaceDN/>
        <w:bidi w:val="0"/>
        <w:spacing w:before="0" w:beforeAutospacing="0" w:after="0" w:afterAutospacing="0" w:line="500" w:lineRule="exact"/>
        <w:ind w:left="0" w:leftChars="0" w:right="0" w:firstLine="560" w:firstLineChars="200"/>
        <w:jc w:val="left"/>
        <w:rPr>
          <w:rFonts w:hint="eastAsia" w:ascii="宋体" w:hAnsi="宋体" w:eastAsia="宋体" w:cs="宋体"/>
          <w:kern w:val="2"/>
          <w:sz w:val="28"/>
          <w:szCs w:val="28"/>
          <w:lang w:val="en-US" w:eastAsia="zh-CN" w:bidi="ar"/>
        </w:rPr>
      </w:pPr>
      <w:bookmarkStart w:id="759" w:name="_Toc17856"/>
      <w:r>
        <w:rPr>
          <w:rFonts w:hint="eastAsia" w:ascii="宋体" w:hAnsi="宋体" w:eastAsia="宋体" w:cs="宋体"/>
          <w:kern w:val="2"/>
          <w:sz w:val="28"/>
          <w:szCs w:val="28"/>
          <w:lang w:val="en-US" w:eastAsia="zh-CN" w:bidi="ar"/>
        </w:rPr>
        <w:t>若消防供水量、供水强度不能满足事故状态下的需求量；</w:t>
      </w:r>
      <w:bookmarkEnd w:id="759"/>
    </w:p>
    <w:p w14:paraId="6D766BD7">
      <w:pPr>
        <w:keepNext w:val="0"/>
        <w:keepLines w:val="0"/>
        <w:pageBreakBefore w:val="0"/>
        <w:widowControl w:val="0"/>
        <w:numPr>
          <w:ilvl w:val="0"/>
          <w:numId w:val="75"/>
        </w:numPr>
        <w:suppressLineNumbers w:val="0"/>
        <w:kinsoku/>
        <w:topLinePunct/>
        <w:autoSpaceDE w:val="0"/>
        <w:autoSpaceDN/>
        <w:bidi w:val="0"/>
        <w:spacing w:before="0" w:beforeAutospacing="0" w:after="0" w:afterAutospacing="0" w:line="500" w:lineRule="exact"/>
        <w:ind w:left="0" w:leftChars="0" w:right="0" w:firstLine="560" w:firstLineChars="200"/>
        <w:jc w:val="left"/>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防排烟系统不符合要求，发生火灾事故时，烟雾降低建筑物内的能见度，同时可能导致人员中毒窒息，导致事故扩大。</w:t>
      </w:r>
    </w:p>
    <w:p w14:paraId="7D6968D9">
      <w:pPr>
        <w:pStyle w:val="4"/>
        <w:keepNext w:val="0"/>
        <w:keepLines w:val="0"/>
        <w:pageBreakBefore w:val="0"/>
        <w:widowControl w:val="0"/>
        <w:kinsoku/>
        <w:bidi w:val="0"/>
        <w:rPr>
          <w:rFonts w:hint="eastAsia"/>
        </w:rPr>
      </w:pPr>
      <w:bookmarkStart w:id="760" w:name="_Toc20120"/>
      <w:r>
        <w:rPr>
          <w:rFonts w:hint="eastAsia"/>
        </w:rPr>
        <w:t>供气</w:t>
      </w:r>
      <w:bookmarkEnd w:id="757"/>
      <w:r>
        <w:rPr>
          <w:rFonts w:hint="eastAsia"/>
        </w:rPr>
        <w:t>系统</w:t>
      </w:r>
      <w:bookmarkEnd w:id="760"/>
    </w:p>
    <w:p w14:paraId="765C8D0F">
      <w:pPr>
        <w:keepNext w:val="0"/>
        <w:keepLines w:val="0"/>
        <w:pageBreakBefore w:val="0"/>
        <w:widowControl w:val="0"/>
        <w:suppressLineNumbers w:val="0"/>
        <w:kinsoku/>
        <w:topLinePunct/>
        <w:autoSpaceDE w:val="0"/>
        <w:autoSpaceDN w:val="0"/>
        <w:bidi w:val="0"/>
        <w:adjustRightInd w:val="0"/>
        <w:spacing w:before="0" w:beforeAutospacing="0" w:after="0" w:afterAutospacing="0" w:line="500" w:lineRule="exact"/>
        <w:ind w:left="0" w:right="0" w:firstLine="560" w:firstLineChars="200"/>
        <w:jc w:val="left"/>
        <w:rPr>
          <w:rFonts w:hint="eastAsia" w:ascii="宋体" w:hAnsi="宋体" w:eastAsia="宋体" w:cs="宋体"/>
          <w:bCs/>
          <w:kern w:val="2"/>
          <w:sz w:val="28"/>
          <w:szCs w:val="28"/>
        </w:rPr>
      </w:pPr>
      <w:bookmarkStart w:id="761" w:name="_Toc413501909"/>
      <w:bookmarkEnd w:id="761"/>
      <w:bookmarkStart w:id="762" w:name="_Toc522811521"/>
      <w:bookmarkEnd w:id="762"/>
      <w:bookmarkStart w:id="763" w:name="_Toc477116180"/>
      <w:bookmarkEnd w:id="763"/>
      <w:bookmarkStart w:id="764" w:name="_Toc314213638"/>
      <w:bookmarkEnd w:id="764"/>
      <w:bookmarkStart w:id="765" w:name="_Toc55033377"/>
      <w:bookmarkEnd w:id="765"/>
      <w:bookmarkStart w:id="766" w:name="_Toc531271130"/>
      <w:bookmarkEnd w:id="766"/>
      <w:bookmarkStart w:id="767" w:name="_Toc397088166"/>
      <w:bookmarkEnd w:id="767"/>
      <w:r>
        <w:rPr>
          <w:rFonts w:hint="eastAsia" w:ascii="宋体" w:hAnsi="宋体" w:eastAsia="宋体" w:cs="宋体"/>
          <w:bCs/>
          <w:kern w:val="2"/>
          <w:sz w:val="28"/>
          <w:szCs w:val="28"/>
          <w:lang w:val="en-US" w:eastAsia="zh-CN" w:bidi="ar"/>
        </w:rPr>
        <w:t>本项目设有压缩空气系统，供应项目所需的压缩空气。空气压缩机、储气罐、压缩空气管道有发生物理爆炸的危险。发生物理爆炸的主要原因有：</w:t>
      </w:r>
    </w:p>
    <w:p w14:paraId="4329B06F">
      <w:pPr>
        <w:keepNext w:val="0"/>
        <w:keepLines w:val="0"/>
        <w:pageBreakBefore w:val="0"/>
        <w:widowControl w:val="0"/>
        <w:numPr>
          <w:ilvl w:val="0"/>
          <w:numId w:val="76"/>
        </w:numPr>
        <w:suppressLineNumbers w:val="0"/>
        <w:kinsoku/>
        <w:topLinePunct/>
        <w:autoSpaceDE w:val="0"/>
        <w:autoSpaceDN/>
        <w:bidi w:val="0"/>
        <w:spacing w:before="0" w:beforeAutospacing="0" w:after="0" w:afterAutospacing="0" w:line="500" w:lineRule="exact"/>
        <w:ind w:left="0" w:leftChars="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操作失当造成设备超压；</w:t>
      </w:r>
    </w:p>
    <w:p w14:paraId="5BD1A405">
      <w:pPr>
        <w:keepNext w:val="0"/>
        <w:keepLines w:val="0"/>
        <w:pageBreakBefore w:val="0"/>
        <w:widowControl w:val="0"/>
        <w:numPr>
          <w:ilvl w:val="0"/>
          <w:numId w:val="76"/>
        </w:numPr>
        <w:suppressLineNumbers w:val="0"/>
        <w:kinsoku/>
        <w:topLinePunct/>
        <w:autoSpaceDE w:val="0"/>
        <w:autoSpaceDN/>
        <w:bidi w:val="0"/>
        <w:spacing w:before="0" w:beforeAutospacing="0" w:after="0" w:afterAutospacing="0" w:line="500" w:lineRule="exact"/>
        <w:ind w:left="0" w:leftChars="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安全装置不齐、不灵或装设不当，各种连锁保护装置单独或同时失灵；</w:t>
      </w:r>
    </w:p>
    <w:p w14:paraId="533BE1CD">
      <w:pPr>
        <w:keepNext w:val="0"/>
        <w:keepLines w:val="0"/>
        <w:pageBreakBefore w:val="0"/>
        <w:widowControl w:val="0"/>
        <w:numPr>
          <w:ilvl w:val="0"/>
          <w:numId w:val="76"/>
        </w:numPr>
        <w:suppressLineNumbers w:val="0"/>
        <w:kinsoku/>
        <w:topLinePunct/>
        <w:autoSpaceDE w:val="0"/>
        <w:autoSpaceDN/>
        <w:bidi w:val="0"/>
        <w:spacing w:before="0" w:beforeAutospacing="0" w:after="0" w:afterAutospacing="0" w:line="500" w:lineRule="exact"/>
        <w:ind w:left="0" w:leftChars="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内外介质腐蚀使设备壁厚减薄，强度降低，承受不了额定压力；</w:t>
      </w:r>
    </w:p>
    <w:p w14:paraId="30374A90">
      <w:pPr>
        <w:keepNext w:val="0"/>
        <w:keepLines w:val="0"/>
        <w:pageBreakBefore w:val="0"/>
        <w:widowControl w:val="0"/>
        <w:numPr>
          <w:ilvl w:val="0"/>
          <w:numId w:val="76"/>
        </w:numPr>
        <w:suppressLineNumbers w:val="0"/>
        <w:kinsoku/>
        <w:topLinePunct/>
        <w:autoSpaceDE w:val="0"/>
        <w:autoSpaceDN/>
        <w:bidi w:val="0"/>
        <w:spacing w:before="0" w:beforeAutospacing="0" w:after="0" w:afterAutospacing="0" w:line="500" w:lineRule="exact"/>
        <w:ind w:left="0" w:leftChars="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在接管、焊缝、形状变化部位等结构薄弱处产生裂纹；</w:t>
      </w:r>
    </w:p>
    <w:p w14:paraId="7E1FB6B1">
      <w:pPr>
        <w:keepNext w:val="0"/>
        <w:keepLines w:val="0"/>
        <w:pageBreakBefore w:val="0"/>
        <w:widowControl w:val="0"/>
        <w:numPr>
          <w:ilvl w:val="0"/>
          <w:numId w:val="76"/>
        </w:numPr>
        <w:suppressLineNumbers w:val="0"/>
        <w:kinsoku/>
        <w:topLinePunct/>
        <w:autoSpaceDE w:val="0"/>
        <w:autoSpaceDN/>
        <w:bidi w:val="0"/>
        <w:spacing w:before="0" w:beforeAutospacing="0" w:after="0" w:afterAutospacing="0" w:line="500" w:lineRule="exact"/>
        <w:ind w:left="0" w:leftChars="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储罐内因可燃性杂质超标、泄漏或阀门操作失当，导致器内或器外燃爆；</w:t>
      </w:r>
    </w:p>
    <w:p w14:paraId="08B5C0B1">
      <w:pPr>
        <w:keepNext w:val="0"/>
        <w:keepLines w:val="0"/>
        <w:pageBreakBefore w:val="0"/>
        <w:widowControl w:val="0"/>
        <w:numPr>
          <w:ilvl w:val="0"/>
          <w:numId w:val="76"/>
        </w:numPr>
        <w:suppressLineNumbers w:val="0"/>
        <w:kinsoku/>
        <w:topLinePunct/>
        <w:autoSpaceDE w:val="0"/>
        <w:autoSpaceDN/>
        <w:bidi w:val="0"/>
        <w:spacing w:before="0" w:beforeAutospacing="0" w:after="0" w:afterAutospacing="0" w:line="500" w:lineRule="exact"/>
        <w:ind w:left="0" w:leftChars="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设备本身未按规定期限进行检验检修，安全装置未按期校验；管理失当或违章操作；</w:t>
      </w:r>
    </w:p>
    <w:p w14:paraId="64DE1C7B">
      <w:pPr>
        <w:keepNext w:val="0"/>
        <w:keepLines w:val="0"/>
        <w:pageBreakBefore w:val="0"/>
        <w:widowControl w:val="0"/>
        <w:numPr>
          <w:ilvl w:val="0"/>
          <w:numId w:val="76"/>
        </w:numPr>
        <w:suppressLineNumbers w:val="0"/>
        <w:kinsoku/>
        <w:topLinePunct/>
        <w:autoSpaceDE w:val="0"/>
        <w:autoSpaceDN/>
        <w:bidi w:val="0"/>
        <w:spacing w:before="0" w:beforeAutospacing="0" w:after="0" w:afterAutospacing="0" w:line="500" w:lineRule="exact"/>
        <w:ind w:left="0" w:leftChars="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违反压力容器设计、制造、安装、检验等有关规定，选材不当或材料存在内部缺陷；人孔、开孔补强、焊接结构不合理；储气罐等压力容器存在严重的焊接缺陷。</w:t>
      </w:r>
    </w:p>
    <w:p w14:paraId="7B728021">
      <w:pPr>
        <w:keepNext w:val="0"/>
        <w:keepLines w:val="0"/>
        <w:pageBreakBefore w:val="0"/>
        <w:widowControl w:val="0"/>
        <w:numPr>
          <w:ilvl w:val="0"/>
          <w:numId w:val="76"/>
        </w:numPr>
        <w:suppressLineNumbers w:val="0"/>
        <w:kinsoku/>
        <w:topLinePunct/>
        <w:autoSpaceDE w:val="0"/>
        <w:autoSpaceDN/>
        <w:bidi w:val="0"/>
        <w:spacing w:before="0" w:beforeAutospacing="0" w:after="0" w:afterAutospacing="0" w:line="500" w:lineRule="exact"/>
        <w:ind w:left="0" w:leftChars="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压缩空气管道为压力管道，若存在以下情况，可能导致管道爆炸：</w:t>
      </w:r>
    </w:p>
    <w:p w14:paraId="4543ECC5">
      <w:pPr>
        <w:keepNext w:val="0"/>
        <w:keepLines w:val="0"/>
        <w:pageBreakBefore w:val="0"/>
        <w:widowControl w:val="0"/>
        <w:numPr>
          <w:ilvl w:val="0"/>
          <w:numId w:val="77"/>
        </w:numPr>
        <w:suppressLineNumbers w:val="0"/>
        <w:kinsoku/>
        <w:topLinePunct/>
        <w:autoSpaceDE w:val="0"/>
        <w:autoSpaceDN w:val="0"/>
        <w:bidi w:val="0"/>
        <w:adjustRightInd w:val="0"/>
        <w:spacing w:before="0" w:beforeAutospacing="0" w:after="0" w:afterAutospacing="0" w:line="500" w:lineRule="exact"/>
        <w:ind w:left="0" w:leftChars="0" w:right="0" w:firstLine="560" w:firstLineChars="200"/>
        <w:jc w:val="left"/>
        <w:rPr>
          <w:rFonts w:hint="eastAsia" w:ascii="宋体" w:hAnsi="宋体" w:eastAsia="宋体" w:cs="宋体"/>
          <w:bCs/>
          <w:kern w:val="2"/>
          <w:sz w:val="28"/>
          <w:szCs w:val="28"/>
        </w:rPr>
      </w:pPr>
      <w:r>
        <w:rPr>
          <w:rFonts w:hint="eastAsia" w:ascii="宋体" w:hAnsi="宋体" w:eastAsia="宋体" w:cs="宋体"/>
          <w:bCs/>
          <w:kern w:val="2"/>
          <w:sz w:val="28"/>
          <w:szCs w:val="28"/>
          <w:lang w:val="en-US" w:eastAsia="zh-CN" w:bidi="ar"/>
        </w:rPr>
        <w:t>设计问题：设计单位没有相应的资质。</w:t>
      </w:r>
    </w:p>
    <w:p w14:paraId="71318C67">
      <w:pPr>
        <w:keepNext w:val="0"/>
        <w:keepLines w:val="0"/>
        <w:pageBreakBefore w:val="0"/>
        <w:widowControl w:val="0"/>
        <w:numPr>
          <w:ilvl w:val="0"/>
          <w:numId w:val="77"/>
        </w:numPr>
        <w:suppressLineNumbers w:val="0"/>
        <w:kinsoku/>
        <w:topLinePunct/>
        <w:autoSpaceDE w:val="0"/>
        <w:autoSpaceDN w:val="0"/>
        <w:bidi w:val="0"/>
        <w:adjustRightInd w:val="0"/>
        <w:spacing w:before="0" w:beforeAutospacing="0" w:after="0" w:afterAutospacing="0" w:line="500" w:lineRule="exact"/>
        <w:ind w:left="0" w:leftChars="0" w:right="0" w:firstLine="560" w:firstLineChars="200"/>
        <w:jc w:val="left"/>
        <w:rPr>
          <w:rFonts w:hint="eastAsia" w:ascii="宋体" w:hAnsi="宋体" w:eastAsia="宋体" w:cs="宋体"/>
          <w:bCs/>
          <w:kern w:val="2"/>
          <w:sz w:val="28"/>
          <w:szCs w:val="28"/>
        </w:rPr>
      </w:pPr>
      <w:r>
        <w:rPr>
          <w:rFonts w:hint="eastAsia" w:ascii="宋体" w:hAnsi="宋体" w:eastAsia="宋体" w:cs="宋体"/>
          <w:bCs/>
          <w:kern w:val="2"/>
          <w:sz w:val="28"/>
          <w:szCs w:val="28"/>
          <w:lang w:val="en-US" w:eastAsia="zh-CN" w:bidi="ar"/>
        </w:rPr>
        <w:t>焊缝缺陷：无证焊接；焊接不开坡口，焊缝未焊透，焊缝严重错边或其他超标缺陷造成焊缝强度低下；焊接后未进行检验和无损检测。</w:t>
      </w:r>
    </w:p>
    <w:p w14:paraId="672BA213">
      <w:pPr>
        <w:keepNext w:val="0"/>
        <w:keepLines w:val="0"/>
        <w:pageBreakBefore w:val="0"/>
        <w:widowControl w:val="0"/>
        <w:numPr>
          <w:ilvl w:val="0"/>
          <w:numId w:val="77"/>
        </w:numPr>
        <w:suppressLineNumbers w:val="0"/>
        <w:kinsoku/>
        <w:topLinePunct/>
        <w:autoSpaceDE w:val="0"/>
        <w:autoSpaceDN w:val="0"/>
        <w:bidi w:val="0"/>
        <w:adjustRightInd w:val="0"/>
        <w:spacing w:before="0" w:beforeAutospacing="0" w:after="0" w:afterAutospacing="0" w:line="500" w:lineRule="exact"/>
        <w:ind w:left="0" w:leftChars="0" w:right="0" w:firstLine="560" w:firstLineChars="200"/>
        <w:jc w:val="left"/>
        <w:rPr>
          <w:rFonts w:hint="eastAsia" w:ascii="宋体" w:hAnsi="宋体" w:eastAsia="宋体" w:cs="宋体"/>
          <w:bCs/>
          <w:kern w:val="2"/>
          <w:sz w:val="28"/>
          <w:szCs w:val="28"/>
        </w:rPr>
      </w:pPr>
      <w:r>
        <w:rPr>
          <w:rFonts w:hint="eastAsia" w:ascii="宋体" w:hAnsi="宋体" w:eastAsia="宋体" w:cs="宋体"/>
          <w:bCs/>
          <w:kern w:val="2"/>
          <w:sz w:val="28"/>
          <w:szCs w:val="28"/>
          <w:lang w:val="en-US" w:eastAsia="zh-CN" w:bidi="ar"/>
        </w:rPr>
        <w:t>材料缺陷：材料选择错误；材料质量差等缺陷。</w:t>
      </w:r>
    </w:p>
    <w:p w14:paraId="03FAD35B">
      <w:pPr>
        <w:keepNext w:val="0"/>
        <w:keepLines w:val="0"/>
        <w:pageBreakBefore w:val="0"/>
        <w:widowControl w:val="0"/>
        <w:numPr>
          <w:ilvl w:val="0"/>
          <w:numId w:val="77"/>
        </w:numPr>
        <w:suppressLineNumbers w:val="0"/>
        <w:kinsoku/>
        <w:topLinePunct/>
        <w:autoSpaceDE w:val="0"/>
        <w:autoSpaceDN w:val="0"/>
        <w:bidi w:val="0"/>
        <w:adjustRightInd w:val="0"/>
        <w:spacing w:before="0" w:beforeAutospacing="0" w:after="0" w:afterAutospacing="0" w:line="500" w:lineRule="exact"/>
        <w:ind w:left="0" w:leftChars="0" w:right="0" w:firstLine="560" w:firstLineChars="200"/>
        <w:jc w:val="left"/>
        <w:rPr>
          <w:rFonts w:hint="eastAsia" w:ascii="宋体" w:hAnsi="宋体" w:eastAsia="宋体" w:cs="宋体"/>
          <w:bCs/>
          <w:kern w:val="2"/>
          <w:sz w:val="28"/>
          <w:szCs w:val="28"/>
        </w:rPr>
      </w:pPr>
      <w:r>
        <w:rPr>
          <w:rFonts w:hint="eastAsia" w:ascii="宋体" w:hAnsi="宋体" w:eastAsia="宋体" w:cs="宋体"/>
          <w:bCs/>
          <w:kern w:val="2"/>
          <w:sz w:val="28"/>
          <w:szCs w:val="28"/>
          <w:lang w:val="en-US" w:eastAsia="zh-CN" w:bidi="ar"/>
        </w:rPr>
        <w:t>阀门和法兰缺陷：阀门失效、磨损，阀体、法兰材质不符合要求，阀门、法兰的公称压力和使用范围不对。</w:t>
      </w:r>
    </w:p>
    <w:p w14:paraId="1D310A95">
      <w:pPr>
        <w:keepNext w:val="0"/>
        <w:keepLines w:val="0"/>
        <w:pageBreakBefore w:val="0"/>
        <w:widowControl w:val="0"/>
        <w:numPr>
          <w:ilvl w:val="0"/>
          <w:numId w:val="77"/>
        </w:numPr>
        <w:suppressLineNumbers w:val="0"/>
        <w:kinsoku/>
        <w:topLinePunct/>
        <w:autoSpaceDE w:val="0"/>
        <w:autoSpaceDN w:val="0"/>
        <w:bidi w:val="0"/>
        <w:adjustRightInd w:val="0"/>
        <w:spacing w:before="0" w:beforeAutospacing="0" w:after="0" w:afterAutospacing="0" w:line="500" w:lineRule="exact"/>
        <w:ind w:left="0" w:leftChars="0" w:right="0" w:firstLine="560" w:firstLineChars="200"/>
        <w:jc w:val="left"/>
        <w:rPr>
          <w:rFonts w:hint="eastAsia" w:ascii="宋体" w:hAnsi="宋体" w:eastAsia="宋体" w:cs="宋体"/>
          <w:bCs/>
          <w:kern w:val="2"/>
          <w:sz w:val="28"/>
          <w:szCs w:val="28"/>
        </w:rPr>
      </w:pPr>
      <w:r>
        <w:rPr>
          <w:rFonts w:hint="eastAsia" w:ascii="宋体" w:hAnsi="宋体" w:eastAsia="宋体" w:cs="宋体"/>
          <w:bCs/>
          <w:kern w:val="2"/>
          <w:sz w:val="28"/>
          <w:szCs w:val="28"/>
          <w:lang w:val="en-US" w:eastAsia="zh-CN" w:bidi="ar"/>
        </w:rPr>
        <w:t>腐蚀：未进行防腐或防腐失效，受到腐蚀而导致管壁变薄。</w:t>
      </w:r>
    </w:p>
    <w:p w14:paraId="67F5E0F3">
      <w:pPr>
        <w:keepNext w:val="0"/>
        <w:keepLines w:val="0"/>
        <w:pageBreakBefore w:val="0"/>
        <w:widowControl w:val="0"/>
        <w:numPr>
          <w:ilvl w:val="0"/>
          <w:numId w:val="77"/>
        </w:numPr>
        <w:suppressLineNumbers w:val="0"/>
        <w:kinsoku/>
        <w:topLinePunct/>
        <w:autoSpaceDE w:val="0"/>
        <w:autoSpaceDN w:val="0"/>
        <w:bidi w:val="0"/>
        <w:adjustRightInd w:val="0"/>
        <w:spacing w:before="0" w:beforeAutospacing="0" w:after="0" w:afterAutospacing="0" w:line="500" w:lineRule="exact"/>
        <w:ind w:left="0" w:leftChars="0" w:right="0" w:firstLine="560" w:firstLineChars="200"/>
        <w:jc w:val="left"/>
        <w:rPr>
          <w:rFonts w:hint="eastAsia" w:ascii="宋体" w:hAnsi="宋体" w:eastAsia="宋体" w:cs="宋体"/>
          <w:bCs/>
          <w:kern w:val="2"/>
          <w:sz w:val="28"/>
          <w:szCs w:val="28"/>
        </w:rPr>
      </w:pPr>
      <w:r>
        <w:rPr>
          <w:rFonts w:hint="eastAsia" w:ascii="宋体" w:hAnsi="宋体" w:eastAsia="宋体" w:cs="宋体"/>
          <w:bCs/>
          <w:kern w:val="2"/>
          <w:sz w:val="28"/>
          <w:szCs w:val="28"/>
          <w:lang w:val="en-US" w:eastAsia="zh-CN" w:bidi="ar"/>
        </w:rPr>
        <w:t>超期使用：压力管道超出使用期限，未进行检验或者更换，继续使用。</w:t>
      </w:r>
    </w:p>
    <w:p w14:paraId="13CCABA8">
      <w:pPr>
        <w:pStyle w:val="4"/>
        <w:bidi w:val="0"/>
        <w:rPr>
          <w:rFonts w:hint="eastAsia"/>
        </w:rPr>
      </w:pPr>
      <w:bookmarkStart w:id="768" w:name="_Toc15591"/>
      <w:bookmarkStart w:id="769" w:name="_Toc11885"/>
      <w:bookmarkStart w:id="770" w:name="_Toc306353356"/>
      <w:bookmarkStart w:id="771" w:name="_Toc293647224"/>
      <w:bookmarkStart w:id="772" w:name="_Toc300059833"/>
      <w:bookmarkStart w:id="773" w:name="_Toc4866"/>
      <w:bookmarkStart w:id="774" w:name="_Toc297900129"/>
      <w:bookmarkStart w:id="775" w:name="_Toc325717179"/>
      <w:bookmarkStart w:id="776" w:name="_Toc297737272"/>
      <w:bookmarkStart w:id="777" w:name="_Toc293586604"/>
      <w:r>
        <w:rPr>
          <w:rFonts w:hint="eastAsia"/>
        </w:rPr>
        <w:t>自控系统</w:t>
      </w:r>
      <w:bookmarkEnd w:id="768"/>
    </w:p>
    <w:p w14:paraId="1C8348DC">
      <w:pPr>
        <w:keepNext w:val="0"/>
        <w:keepLines w:val="0"/>
        <w:pageBreakBefore w:val="0"/>
        <w:widowControl w:val="0"/>
        <w:numPr>
          <w:ilvl w:val="0"/>
          <w:numId w:val="78"/>
        </w:numPr>
        <w:suppressLineNumbers w:val="0"/>
        <w:kinsoku/>
        <w:wordWrap/>
        <w:overflowPunct/>
        <w:topLinePunct/>
        <w:autoSpaceDE w:val="0"/>
        <w:autoSpaceDN/>
        <w:bidi w:val="0"/>
        <w:adjustRightInd w:val="0"/>
        <w:snapToGrid/>
        <w:spacing w:before="0" w:beforeAutospacing="0" w:after="0" w:afterAutospacing="0" w:line="500" w:lineRule="exact"/>
        <w:ind w:left="0" w:leftChars="0" w:right="0" w:firstLine="560" w:firstLineChars="200"/>
        <w:jc w:val="left"/>
        <w:textAlignment w:val="auto"/>
        <w:rPr>
          <w:rFonts w:ascii="宋体" w:hAnsi="宋体" w:eastAsia="宋体" w:cs="Times New Roman"/>
        </w:rPr>
      </w:pPr>
      <w:r>
        <w:rPr>
          <w:rFonts w:ascii="宋体" w:hAnsi="宋体" w:eastAsia="宋体" w:cs="Times New Roman"/>
        </w:rPr>
        <w:t>若自控系统及联锁失效，现场仪表发生故障或无法正常显示监测数值，发生泄漏或紧急状态下无法切断，可能会引发</w:t>
      </w:r>
      <w:r>
        <w:rPr>
          <w:rFonts w:hint="eastAsia" w:ascii="宋体" w:hAnsi="宋体" w:eastAsia="宋体" w:cs="Times New Roman"/>
          <w:lang w:val="en-US" w:eastAsia="zh-CN"/>
        </w:rPr>
        <w:t>CO</w:t>
      </w:r>
      <w:r>
        <w:rPr>
          <w:rFonts w:ascii="宋体" w:hAnsi="宋体" w:eastAsia="宋体" w:cs="Times New Roman"/>
        </w:rPr>
        <w:t>泄漏中毒和窒息、火灾、爆炸等危险等事故。</w:t>
      </w:r>
    </w:p>
    <w:p w14:paraId="06AC2083">
      <w:pPr>
        <w:keepNext w:val="0"/>
        <w:keepLines w:val="0"/>
        <w:pageBreakBefore w:val="0"/>
        <w:widowControl w:val="0"/>
        <w:numPr>
          <w:ilvl w:val="0"/>
          <w:numId w:val="78"/>
        </w:numPr>
        <w:suppressLineNumbers w:val="0"/>
        <w:kinsoku/>
        <w:wordWrap/>
        <w:overflowPunct/>
        <w:topLinePunct/>
        <w:autoSpaceDE w:val="0"/>
        <w:autoSpaceDN/>
        <w:bidi w:val="0"/>
        <w:adjustRightInd w:val="0"/>
        <w:snapToGrid/>
        <w:spacing w:before="0" w:beforeAutospacing="0" w:after="0" w:afterAutospacing="0" w:line="500" w:lineRule="exact"/>
        <w:ind w:left="0" w:leftChars="0" w:right="0" w:firstLine="560" w:firstLineChars="200"/>
        <w:jc w:val="left"/>
        <w:textAlignment w:val="auto"/>
        <w:rPr>
          <w:rFonts w:ascii="宋体" w:hAnsi="宋体" w:eastAsia="宋体" w:cs="Times New Roman"/>
        </w:rPr>
      </w:pPr>
      <w:r>
        <w:rPr>
          <w:rFonts w:ascii="宋体" w:hAnsi="宋体" w:eastAsia="宋体" w:cs="Times New Roman"/>
        </w:rPr>
        <w:t>该项目生产过程控制系统设备故障，运行不正常、失灵，温度、压力、计量等数据不准确，或未定期进行维护、检修等导致上传给控制系统的信号与实际数值出现偏差，可能导致设备及其管线发生事故。</w:t>
      </w:r>
    </w:p>
    <w:p w14:paraId="1847EE8B">
      <w:pPr>
        <w:keepNext w:val="0"/>
        <w:keepLines w:val="0"/>
        <w:pageBreakBefore w:val="0"/>
        <w:widowControl w:val="0"/>
        <w:numPr>
          <w:ilvl w:val="0"/>
          <w:numId w:val="78"/>
        </w:numPr>
        <w:suppressLineNumbers w:val="0"/>
        <w:kinsoku/>
        <w:wordWrap/>
        <w:overflowPunct/>
        <w:topLinePunct/>
        <w:autoSpaceDE w:val="0"/>
        <w:autoSpaceDN/>
        <w:bidi w:val="0"/>
        <w:adjustRightInd w:val="0"/>
        <w:snapToGrid/>
        <w:spacing w:before="0" w:beforeAutospacing="0" w:after="0" w:afterAutospacing="0" w:line="500" w:lineRule="exact"/>
        <w:ind w:left="0" w:leftChars="0" w:right="0" w:firstLine="560" w:firstLineChars="200"/>
        <w:jc w:val="left"/>
        <w:textAlignment w:val="auto"/>
        <w:rPr>
          <w:rFonts w:ascii="宋体" w:hAnsi="宋体" w:eastAsia="宋体" w:cs="Times New Roman"/>
        </w:rPr>
      </w:pPr>
      <w:r>
        <w:rPr>
          <w:rFonts w:ascii="宋体" w:hAnsi="宋体" w:eastAsia="宋体" w:cs="Times New Roman"/>
        </w:rPr>
        <w:t>涉及的压力容器或压力管道上安装的压力表维护不当或未定期</w:t>
      </w:r>
      <w:r>
        <w:rPr>
          <w:rFonts w:hint="eastAsia" w:ascii="宋体" w:hAnsi="宋体" w:eastAsia="宋体" w:cs="Times New Roman"/>
        </w:rPr>
        <w:t>检定</w:t>
      </w:r>
      <w:r>
        <w:rPr>
          <w:rFonts w:ascii="宋体" w:hAnsi="宋体" w:eastAsia="宋体" w:cs="Times New Roman"/>
        </w:rPr>
        <w:t>或损坏，可能出现错误指示（特别是在实际压力过高未正确指示），遇安全阀不能开启卸压，</w:t>
      </w:r>
      <w:r>
        <w:rPr>
          <w:rFonts w:hint="eastAsia" w:ascii="宋体" w:hAnsi="宋体" w:eastAsia="宋体" w:cs="Times New Roman"/>
        </w:rPr>
        <w:t>会</w:t>
      </w:r>
      <w:r>
        <w:rPr>
          <w:rFonts w:ascii="宋体" w:hAnsi="宋体" w:eastAsia="宋体" w:cs="Times New Roman"/>
        </w:rPr>
        <w:t>造成压力容器及压力管道爆炸事故。</w:t>
      </w:r>
    </w:p>
    <w:p w14:paraId="6F4820DA">
      <w:pPr>
        <w:keepNext w:val="0"/>
        <w:keepLines w:val="0"/>
        <w:pageBreakBefore w:val="0"/>
        <w:widowControl w:val="0"/>
        <w:numPr>
          <w:ilvl w:val="0"/>
          <w:numId w:val="78"/>
        </w:numPr>
        <w:suppressLineNumbers w:val="0"/>
        <w:kinsoku/>
        <w:wordWrap/>
        <w:overflowPunct/>
        <w:topLinePunct/>
        <w:autoSpaceDE w:val="0"/>
        <w:autoSpaceDN/>
        <w:bidi w:val="0"/>
        <w:adjustRightInd w:val="0"/>
        <w:snapToGrid/>
        <w:spacing w:before="0" w:beforeAutospacing="0" w:after="0" w:afterAutospacing="0" w:line="500" w:lineRule="exact"/>
        <w:ind w:left="0" w:leftChars="0" w:right="0" w:firstLine="560" w:firstLineChars="200"/>
        <w:jc w:val="left"/>
        <w:textAlignment w:val="auto"/>
        <w:rPr>
          <w:rFonts w:ascii="宋体" w:hAnsi="宋体" w:eastAsia="宋体" w:cs="Times New Roman"/>
        </w:rPr>
      </w:pPr>
      <w:r>
        <w:rPr>
          <w:rFonts w:ascii="宋体" w:hAnsi="宋体" w:eastAsia="宋体" w:cs="Times New Roman"/>
        </w:rPr>
        <w:t>各装置区未设可燃气体或有毒气体检测装置，或检测报警装置失灵或未定期进行检测、检验，或在检验期间现场无备用的检测报警装置，而不能及时报警，一旦装置及其管道内易燃、易爆物料泄漏不能及时发现，可能发生中毒、窒息、火灾、爆炸等重大事故。</w:t>
      </w:r>
    </w:p>
    <w:p w14:paraId="1278AC0D">
      <w:pPr>
        <w:keepNext w:val="0"/>
        <w:keepLines w:val="0"/>
        <w:pageBreakBefore w:val="0"/>
        <w:widowControl w:val="0"/>
        <w:numPr>
          <w:ilvl w:val="0"/>
          <w:numId w:val="78"/>
        </w:numPr>
        <w:suppressLineNumbers w:val="0"/>
        <w:kinsoku/>
        <w:wordWrap/>
        <w:overflowPunct/>
        <w:topLinePunct/>
        <w:autoSpaceDE w:val="0"/>
        <w:autoSpaceDN/>
        <w:bidi w:val="0"/>
        <w:adjustRightInd w:val="0"/>
        <w:snapToGrid/>
        <w:spacing w:before="0" w:beforeAutospacing="0" w:after="0" w:afterAutospacing="0" w:line="500" w:lineRule="exact"/>
        <w:ind w:left="0" w:leftChars="0" w:right="0" w:firstLine="560" w:firstLineChars="200"/>
        <w:jc w:val="left"/>
        <w:textAlignment w:val="auto"/>
        <w:rPr>
          <w:rFonts w:hint="eastAsia" w:ascii="宋体" w:hAnsi="宋体" w:eastAsia="宋体" w:cs="Times New Roman"/>
          <w:lang w:val="en-US" w:eastAsia="zh-CN"/>
        </w:rPr>
      </w:pPr>
      <w:r>
        <w:rPr>
          <w:rFonts w:ascii="宋体" w:hAnsi="宋体" w:eastAsia="宋体" w:cs="Times New Roman"/>
        </w:rPr>
        <w:t>如发生</w:t>
      </w:r>
      <w:r>
        <w:rPr>
          <w:rFonts w:hint="eastAsia" w:ascii="宋体" w:hAnsi="宋体" w:eastAsia="宋体" w:cs="Times New Roman"/>
          <w:lang w:eastAsia="zh-CN"/>
        </w:rPr>
        <w:t>停电或通信</w:t>
      </w:r>
      <w:r>
        <w:rPr>
          <w:rFonts w:ascii="宋体" w:hAnsi="宋体" w:eastAsia="宋体" w:cs="Times New Roman"/>
        </w:rPr>
        <w:t>系统故障，未设置UPS应急电源等，将导致控制系统瘫痪，造成设备失控，造成人员伤亡或设备损坏。</w:t>
      </w:r>
    </w:p>
    <w:p w14:paraId="5F83CA7A">
      <w:pPr>
        <w:pStyle w:val="3"/>
        <w:keepNext w:val="0"/>
        <w:keepLines w:val="0"/>
        <w:pageBreakBefore w:val="0"/>
        <w:widowControl w:val="0"/>
        <w:kinsoku/>
        <w:bidi w:val="0"/>
        <w:rPr>
          <w:rFonts w:hint="eastAsia"/>
        </w:rPr>
      </w:pPr>
      <w:bookmarkStart w:id="778" w:name="_Toc17763"/>
      <w:r>
        <w:rPr>
          <w:rFonts w:hint="eastAsia"/>
        </w:rPr>
        <w:t>物料储运过程危险性分析</w:t>
      </w:r>
      <w:bookmarkEnd w:id="769"/>
      <w:bookmarkEnd w:id="770"/>
      <w:bookmarkEnd w:id="771"/>
      <w:bookmarkEnd w:id="772"/>
      <w:bookmarkEnd w:id="773"/>
      <w:bookmarkEnd w:id="774"/>
      <w:bookmarkEnd w:id="775"/>
      <w:bookmarkEnd w:id="776"/>
      <w:bookmarkEnd w:id="777"/>
      <w:bookmarkEnd w:id="778"/>
    </w:p>
    <w:p w14:paraId="17676ED5">
      <w:pPr>
        <w:pStyle w:val="4"/>
        <w:bidi w:val="0"/>
        <w:rPr>
          <w:rFonts w:hint="default"/>
          <w:lang w:val="en-US" w:eastAsia="zh-CN"/>
        </w:rPr>
      </w:pPr>
      <w:bookmarkStart w:id="779" w:name="_Toc16231"/>
      <w:r>
        <w:rPr>
          <w:rFonts w:hint="eastAsia"/>
          <w:lang w:val="en-US" w:eastAsia="zh-CN"/>
        </w:rPr>
        <w:t>危险化学品</w:t>
      </w:r>
      <w:r>
        <w:rPr>
          <w:rFonts w:hint="eastAsia" w:ascii="宋体" w:hAnsi="宋体" w:eastAsia="宋体" w:cs="Times New Roman"/>
          <w:lang w:val="en-US" w:eastAsia="zh-CN"/>
        </w:rPr>
        <w:t>储存、装卸、搬运</w:t>
      </w:r>
      <w:r>
        <w:rPr>
          <w:rFonts w:hint="eastAsia" w:cs="Times New Roman"/>
          <w:lang w:val="en-US" w:eastAsia="zh-CN"/>
        </w:rPr>
        <w:t>作业过程的危险性</w:t>
      </w:r>
      <w:bookmarkEnd w:id="779"/>
    </w:p>
    <w:p w14:paraId="1F0B2F3B">
      <w:pPr>
        <w:keepNext w:val="0"/>
        <w:keepLines w:val="0"/>
        <w:pageBreakBefore w:val="0"/>
        <w:widowControl w:val="0"/>
        <w:numPr>
          <w:ilvl w:val="0"/>
          <w:numId w:val="79"/>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盐酸具有腐蚀性</w:t>
      </w:r>
      <w:r>
        <w:rPr>
          <w:rFonts w:hint="eastAsia" w:cs="Times New Roman"/>
          <w:lang w:val="en-US" w:eastAsia="zh-CN"/>
        </w:rPr>
        <w:t>。</w:t>
      </w:r>
      <w:r>
        <w:rPr>
          <w:rFonts w:hint="eastAsia" w:ascii="宋体" w:hAnsi="宋体" w:eastAsia="宋体" w:cs="Times New Roman"/>
          <w:lang w:val="en-US" w:eastAsia="zh-CN"/>
        </w:rPr>
        <w:t>若作业人员不了解和掌握危险物品的理化特性和安全操作规程，在储存、装卸、搬运过程中未采用正确方法，没有轻装轻卸，或由于操作不当而损坏容器，最终引起泄漏危险。造成灼烫伤害。发生事故时，若不能制定正确的应急救援措施，不能使发生的事故得到正确有效</w:t>
      </w:r>
      <w:r>
        <w:rPr>
          <w:rFonts w:hint="eastAsia" w:cs="Times New Roman"/>
          <w:lang w:val="en-US" w:eastAsia="zh-CN"/>
        </w:rPr>
        <w:t>地</w:t>
      </w:r>
      <w:r>
        <w:rPr>
          <w:rFonts w:hint="eastAsia" w:ascii="宋体" w:hAnsi="宋体" w:eastAsia="宋体" w:cs="Times New Roman"/>
          <w:lang w:val="en-US" w:eastAsia="zh-CN"/>
        </w:rPr>
        <w:t>处理及控制，可能造成进一步的伤害。</w:t>
      </w:r>
    </w:p>
    <w:p w14:paraId="495535F1">
      <w:pPr>
        <w:keepNext w:val="0"/>
        <w:keepLines w:val="0"/>
        <w:pageBreakBefore w:val="0"/>
        <w:widowControl w:val="0"/>
        <w:numPr>
          <w:ilvl w:val="0"/>
          <w:numId w:val="79"/>
        </w:numPr>
        <w:kinsoku/>
        <w:wordWrap/>
        <w:overflowPunct/>
        <w:topLinePunct w:val="0"/>
        <w:autoSpaceDE/>
        <w:autoSpaceDN/>
        <w:bidi w:val="0"/>
        <w:adjustRightInd/>
        <w:snapToGrid/>
        <w:ind w:left="0" w:leftChars="0" w:firstLine="560" w:firstLineChars="200"/>
        <w:textAlignment w:val="auto"/>
        <w:rPr>
          <w:rFonts w:hint="eastAsia" w:eastAsia="宋体" w:cs="Times New Roman"/>
          <w:lang w:val="en-US" w:eastAsia="zh-CN"/>
        </w:rPr>
      </w:pPr>
      <w:r>
        <w:rPr>
          <w:rFonts w:hint="eastAsia" w:eastAsia="宋体" w:cs="Times New Roman"/>
          <w:lang w:val="en-US" w:eastAsia="zh-CN"/>
        </w:rPr>
        <w:t>性质相互抵触的</w:t>
      </w:r>
      <w:r>
        <w:rPr>
          <w:rFonts w:hint="eastAsia" w:cs="Times New Roman"/>
          <w:lang w:val="en-US" w:eastAsia="zh-CN"/>
        </w:rPr>
        <w:t>危险化学品</w:t>
      </w:r>
      <w:r>
        <w:rPr>
          <w:rFonts w:hint="eastAsia" w:eastAsia="宋体" w:cs="Times New Roman"/>
          <w:lang w:val="en-US" w:eastAsia="zh-CN"/>
        </w:rPr>
        <w:t>混合储存</w:t>
      </w:r>
      <w:r>
        <w:rPr>
          <w:rFonts w:hint="eastAsia" w:cs="Times New Roman"/>
          <w:lang w:val="en-US" w:eastAsia="zh-CN"/>
        </w:rPr>
        <w:t>。</w:t>
      </w:r>
      <w:r>
        <w:rPr>
          <w:rFonts w:hint="eastAsia" w:eastAsia="宋体" w:cs="Times New Roman"/>
          <w:lang w:val="en-US" w:eastAsia="zh-CN"/>
        </w:rPr>
        <w:t>由于管理人员缺乏专业的知识，导致将性质相抵触的危险化学品混合储存引起的火灾、爆炸危险。</w:t>
      </w:r>
    </w:p>
    <w:p w14:paraId="1399490E">
      <w:pPr>
        <w:keepNext w:val="0"/>
        <w:keepLines w:val="0"/>
        <w:pageBreakBefore w:val="0"/>
        <w:widowControl w:val="0"/>
        <w:numPr>
          <w:ilvl w:val="0"/>
          <w:numId w:val="79"/>
        </w:numPr>
        <w:kinsoku/>
        <w:wordWrap/>
        <w:overflowPunct/>
        <w:topLinePunct w:val="0"/>
        <w:autoSpaceDE/>
        <w:autoSpaceDN/>
        <w:bidi w:val="0"/>
        <w:adjustRightInd/>
        <w:snapToGrid/>
        <w:ind w:left="0" w:leftChars="0" w:firstLine="560" w:firstLineChars="200"/>
        <w:textAlignment w:val="auto"/>
        <w:rPr>
          <w:rFonts w:hint="eastAsia" w:cs="Times New Roman"/>
          <w:lang w:val="en-US" w:eastAsia="zh-CN"/>
        </w:rPr>
      </w:pPr>
      <w:r>
        <w:rPr>
          <w:rFonts w:hint="eastAsia" w:eastAsia="宋体" w:cs="Times New Roman"/>
          <w:lang w:val="en-US" w:eastAsia="zh-CN"/>
        </w:rPr>
        <w:t>若危险物品</w:t>
      </w:r>
      <w:r>
        <w:rPr>
          <w:rFonts w:hint="eastAsia" w:ascii="宋体" w:hAnsi="宋体" w:eastAsia="宋体" w:cs="Times New Roman"/>
          <w:lang w:val="en-US" w:eastAsia="zh-CN"/>
        </w:rPr>
        <w:t>储存场所</w:t>
      </w:r>
      <w:r>
        <w:rPr>
          <w:rFonts w:hint="eastAsia" w:cs="Times New Roman"/>
          <w:lang w:val="en-US" w:eastAsia="zh-CN"/>
        </w:rPr>
        <w:t>与其他</w:t>
      </w:r>
      <w:r>
        <w:rPr>
          <w:rFonts w:hint="eastAsia" w:ascii="宋体" w:hAnsi="宋体" w:eastAsia="宋体" w:cs="Times New Roman"/>
          <w:lang w:val="en-US" w:eastAsia="zh-CN"/>
        </w:rPr>
        <w:t>建构筑物防火间距不足，可能因两建筑物相互影响造成事故或在发生事故时事故后果扩大化。</w:t>
      </w:r>
    </w:p>
    <w:p w14:paraId="1891D8BD">
      <w:pPr>
        <w:pStyle w:val="4"/>
        <w:bidi w:val="0"/>
        <w:rPr>
          <w:rFonts w:hint="default"/>
          <w:lang w:val="en-US" w:eastAsia="zh-CN"/>
        </w:rPr>
      </w:pPr>
      <w:bookmarkStart w:id="780" w:name="_Toc11743"/>
      <w:r>
        <w:rPr>
          <w:rFonts w:hint="eastAsia" w:ascii="宋体" w:hAnsi="宋体" w:eastAsia="宋体" w:cs="Times New Roman"/>
          <w:lang w:val="en-US" w:eastAsia="zh-CN"/>
        </w:rPr>
        <w:t>一般物料储存</w:t>
      </w:r>
      <w:r>
        <w:rPr>
          <w:rFonts w:hint="eastAsia"/>
          <w:lang w:val="en-US" w:eastAsia="zh-CN"/>
        </w:rPr>
        <w:t>过程的危险性</w:t>
      </w:r>
      <w:bookmarkEnd w:id="780"/>
    </w:p>
    <w:p w14:paraId="11237C51">
      <w:pPr>
        <w:keepNext w:val="0"/>
        <w:keepLines w:val="0"/>
        <w:pageBreakBefore w:val="0"/>
        <w:widowControl w:val="0"/>
        <w:numPr>
          <w:ilvl w:val="0"/>
          <w:numId w:val="8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若包装材料储存时不加强火源管理，随意吸烟或动火，可能导致火灾事故，若堆码过高，未采取固定措施，可能发生倒塌，发生物体打击事故。</w:t>
      </w:r>
    </w:p>
    <w:p w14:paraId="36FC6B97">
      <w:pPr>
        <w:keepNext w:val="0"/>
        <w:keepLines w:val="0"/>
        <w:pageBreakBefore w:val="0"/>
        <w:widowControl w:val="0"/>
        <w:numPr>
          <w:ilvl w:val="0"/>
          <w:numId w:val="8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包装材料、石油焦等可燃物料储存区域若灭火器材配备不足、失效、放置地点不显眼，在发生事故时将造成不能及时应急，致使事故后果扩大化。</w:t>
      </w:r>
    </w:p>
    <w:p w14:paraId="70D979D0">
      <w:pPr>
        <w:keepNext w:val="0"/>
        <w:keepLines w:val="0"/>
        <w:pageBreakBefore w:val="0"/>
        <w:widowControl w:val="0"/>
        <w:numPr>
          <w:ilvl w:val="0"/>
          <w:numId w:val="8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若物料储存时堆码过高，未采取固定措施，物料转运过程中，不按照从上到下依次取料，装载货物的车辆由于撞击、倾翻，或撞击设备、设施、堆垛等导致物料倾倒打击伤人，严重时料堆坍塌造成对人员的掩埋。</w:t>
      </w:r>
    </w:p>
    <w:p w14:paraId="73217EC5">
      <w:pPr>
        <w:pStyle w:val="4"/>
        <w:bidi w:val="0"/>
        <w:rPr>
          <w:rFonts w:hint="eastAsia"/>
          <w:lang w:val="en-US" w:eastAsia="zh-CN"/>
        </w:rPr>
      </w:pPr>
      <w:bookmarkStart w:id="781" w:name="_Toc18457"/>
      <w:r>
        <w:rPr>
          <w:rFonts w:hint="eastAsia"/>
          <w:lang w:val="en-US" w:eastAsia="zh-CN"/>
        </w:rPr>
        <w:t>物料装卸、转运作业过程的危险性</w:t>
      </w:r>
      <w:bookmarkEnd w:id="781"/>
    </w:p>
    <w:p w14:paraId="5B078D2E">
      <w:pPr>
        <w:rPr>
          <w:rFonts w:hint="eastAsia" w:hAnsi="宋体"/>
          <w:bCs/>
          <w:szCs w:val="28"/>
        </w:rPr>
      </w:pPr>
      <w:r>
        <w:rPr>
          <w:rFonts w:hint="eastAsia" w:hAnsi="宋体"/>
          <w:bCs/>
          <w:szCs w:val="28"/>
        </w:rPr>
        <w:t>本项目厂区内部运输主要采用</w:t>
      </w:r>
      <w:r>
        <w:rPr>
          <w:rFonts w:hint="eastAsia"/>
          <w:bCs/>
          <w:szCs w:val="28"/>
          <w:lang w:val="en-US" w:eastAsia="zh-CN"/>
        </w:rPr>
        <w:t>叉车和起重机</w:t>
      </w:r>
      <w:r>
        <w:rPr>
          <w:rFonts w:hint="eastAsia" w:hAnsi="宋体"/>
          <w:bCs/>
          <w:szCs w:val="28"/>
          <w:lang w:eastAsia="zh-CN"/>
        </w:rPr>
        <w:t>。</w:t>
      </w:r>
      <w:r>
        <w:rPr>
          <w:rFonts w:hint="eastAsia" w:hAnsi="宋体"/>
          <w:bCs/>
          <w:szCs w:val="28"/>
        </w:rPr>
        <w:t>厂内运输存在以下危险因素：</w:t>
      </w:r>
    </w:p>
    <w:p w14:paraId="071EC4AD">
      <w:pPr>
        <w:keepNext w:val="0"/>
        <w:keepLines w:val="0"/>
        <w:pageBreakBefore w:val="0"/>
        <w:widowControl w:val="0"/>
        <w:numPr>
          <w:ilvl w:val="0"/>
          <w:numId w:val="81"/>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起重伤害</w:t>
      </w:r>
    </w:p>
    <w:p w14:paraId="1673126C">
      <w:pPr>
        <w:bidi w:val="0"/>
        <w:rPr>
          <w:rFonts w:hint="eastAsia"/>
        </w:rPr>
      </w:pPr>
      <w:r>
        <w:rPr>
          <w:rFonts w:hint="eastAsia"/>
          <w:lang w:val="en-US" w:eastAsia="zh-CN"/>
        </w:rPr>
        <w:t>公司原辅料配料混料转运、更换石墨电极、成品装车和设备检修</w:t>
      </w:r>
      <w:r>
        <w:rPr>
          <w:rFonts w:hint="eastAsia"/>
        </w:rPr>
        <w:t>需要频繁使用起重设备吊运</w:t>
      </w:r>
      <w:r>
        <w:rPr>
          <w:rFonts w:hint="eastAsia"/>
          <w:lang w:eastAsia="zh-CN"/>
        </w:rPr>
        <w:t>，</w:t>
      </w:r>
      <w:r>
        <w:rPr>
          <w:rFonts w:hint="eastAsia"/>
        </w:rPr>
        <w:t>作业</w:t>
      </w:r>
      <w:r>
        <w:rPr>
          <w:rFonts w:hint="eastAsia"/>
          <w:lang w:val="en-US" w:eastAsia="zh-CN"/>
        </w:rPr>
        <w:t>过程中</w:t>
      </w:r>
      <w:r>
        <w:rPr>
          <w:rFonts w:hint="eastAsia"/>
        </w:rPr>
        <w:t>可能造成起重伤害事故。</w:t>
      </w:r>
    </w:p>
    <w:p w14:paraId="5B3E21CE">
      <w:pPr>
        <w:keepNext w:val="0"/>
        <w:keepLines w:val="0"/>
        <w:pageBreakBefore w:val="0"/>
        <w:widowControl w:val="0"/>
        <w:numPr>
          <w:ilvl w:val="0"/>
          <w:numId w:val="81"/>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车辆伤害</w:t>
      </w:r>
    </w:p>
    <w:p w14:paraId="52D519ED">
      <w:pPr>
        <w:bidi w:val="0"/>
        <w:rPr>
          <w:rFonts w:hint="eastAsia"/>
          <w:lang w:val="en-US" w:eastAsia="zh-CN"/>
        </w:rPr>
      </w:pPr>
      <w:r>
        <w:rPr>
          <w:rFonts w:hint="eastAsia"/>
          <w:lang w:val="en-US" w:eastAsia="zh-CN"/>
        </w:rPr>
        <w:t>微硅粉料袋转运、成品转运和堆垛需要频繁使用</w:t>
      </w:r>
      <w:r>
        <w:rPr>
          <w:rFonts w:hint="eastAsia"/>
        </w:rPr>
        <w:t>叉车</w:t>
      </w:r>
      <w:r>
        <w:rPr>
          <w:rFonts w:hint="eastAsia"/>
          <w:lang w:eastAsia="zh-CN"/>
        </w:rPr>
        <w:t>，</w:t>
      </w:r>
      <w:r>
        <w:rPr>
          <w:rFonts w:hint="eastAsia"/>
        </w:rPr>
        <w:t>在使用过程中若超载、举升过高、运行速度过快、作业人员操作不当，有可能导致叉车失稳倾翻，从而致使人员伤亡、财产损失。</w:t>
      </w:r>
    </w:p>
    <w:p w14:paraId="3E45D715">
      <w:pPr>
        <w:pStyle w:val="3"/>
        <w:keepNext w:val="0"/>
        <w:keepLines w:val="0"/>
        <w:pageBreakBefore w:val="0"/>
        <w:widowControl w:val="0"/>
        <w:kinsoku/>
        <w:bidi w:val="0"/>
        <w:rPr>
          <w:rFonts w:hint="eastAsia"/>
        </w:rPr>
      </w:pPr>
      <w:bookmarkStart w:id="782" w:name="_Toc55945288"/>
      <w:bookmarkEnd w:id="782"/>
      <w:bookmarkStart w:id="783" w:name="_Toc46697222"/>
      <w:bookmarkEnd w:id="783"/>
      <w:bookmarkStart w:id="784" w:name="_Toc55033378"/>
      <w:bookmarkEnd w:id="784"/>
      <w:bookmarkStart w:id="785" w:name="_Toc55945285"/>
      <w:bookmarkEnd w:id="785"/>
      <w:bookmarkStart w:id="786" w:name="_Toc352552114"/>
      <w:bookmarkEnd w:id="786"/>
      <w:bookmarkStart w:id="787" w:name="_Toc393462872"/>
      <w:bookmarkEnd w:id="787"/>
      <w:bookmarkStart w:id="788" w:name="_Toc60925383"/>
      <w:bookmarkEnd w:id="788"/>
      <w:bookmarkStart w:id="789" w:name="_Toc531271100"/>
      <w:bookmarkEnd w:id="789"/>
      <w:bookmarkStart w:id="790" w:name="_Toc55945281"/>
      <w:bookmarkEnd w:id="790"/>
      <w:bookmarkStart w:id="791" w:name="_Toc60925397"/>
      <w:bookmarkEnd w:id="791"/>
      <w:bookmarkStart w:id="792" w:name="_Toc393463060"/>
      <w:bookmarkEnd w:id="792"/>
      <w:bookmarkStart w:id="793" w:name="_Toc60925384"/>
      <w:bookmarkEnd w:id="793"/>
      <w:bookmarkStart w:id="794" w:name="_Toc477116154"/>
      <w:bookmarkEnd w:id="794"/>
      <w:bookmarkStart w:id="795" w:name="_Toc413501878"/>
      <w:bookmarkEnd w:id="795"/>
      <w:bookmarkStart w:id="796" w:name="_Toc314213642"/>
      <w:bookmarkEnd w:id="796"/>
      <w:bookmarkStart w:id="797" w:name="_Toc20233"/>
      <w:bookmarkEnd w:id="797"/>
      <w:bookmarkStart w:id="798" w:name="_Toc16382"/>
      <w:bookmarkEnd w:id="798"/>
      <w:bookmarkStart w:id="799" w:name="_Toc55567410"/>
      <w:bookmarkEnd w:id="799"/>
      <w:bookmarkStart w:id="800" w:name="_Toc314213644"/>
      <w:bookmarkEnd w:id="800"/>
      <w:bookmarkStart w:id="801" w:name="_Toc413501912"/>
      <w:bookmarkEnd w:id="801"/>
      <w:bookmarkStart w:id="802" w:name="_Toc26847"/>
      <w:bookmarkEnd w:id="802"/>
      <w:bookmarkStart w:id="803" w:name="_Toc26166"/>
      <w:bookmarkEnd w:id="803"/>
      <w:bookmarkStart w:id="804" w:name="_Toc531271131"/>
      <w:bookmarkEnd w:id="804"/>
      <w:bookmarkStart w:id="805" w:name="_Toc522811525"/>
      <w:bookmarkEnd w:id="805"/>
      <w:bookmarkStart w:id="806" w:name="_Toc353966389"/>
      <w:bookmarkEnd w:id="806"/>
      <w:bookmarkStart w:id="807" w:name="_Toc60925394"/>
      <w:bookmarkEnd w:id="807"/>
      <w:bookmarkStart w:id="808" w:name="_Toc55945275"/>
      <w:bookmarkEnd w:id="808"/>
      <w:bookmarkStart w:id="809" w:name="_Toc413501910"/>
      <w:bookmarkEnd w:id="809"/>
      <w:bookmarkStart w:id="810" w:name="_Toc60925390"/>
      <w:bookmarkEnd w:id="810"/>
      <w:bookmarkStart w:id="811" w:name="_Toc498519799"/>
      <w:bookmarkEnd w:id="811"/>
      <w:bookmarkStart w:id="812" w:name="_Toc46697198"/>
      <w:bookmarkEnd w:id="812"/>
      <w:bookmarkStart w:id="813" w:name="_Toc402282273"/>
      <w:bookmarkEnd w:id="813"/>
      <w:bookmarkStart w:id="814" w:name="_Toc46697219"/>
      <w:bookmarkEnd w:id="814"/>
      <w:bookmarkStart w:id="815" w:name="_Toc55945278"/>
      <w:bookmarkEnd w:id="815"/>
      <w:bookmarkStart w:id="816" w:name="_Toc477116181"/>
      <w:bookmarkEnd w:id="816"/>
      <w:bookmarkStart w:id="817" w:name="_Toc500007149"/>
      <w:bookmarkEnd w:id="817"/>
      <w:bookmarkStart w:id="818" w:name="_Toc498519809"/>
      <w:bookmarkEnd w:id="818"/>
      <w:bookmarkStart w:id="819" w:name="_Toc378002260"/>
      <w:bookmarkEnd w:id="819"/>
      <w:bookmarkStart w:id="820" w:name="_Toc378322731"/>
      <w:bookmarkEnd w:id="820"/>
      <w:bookmarkStart w:id="821" w:name="_Toc908"/>
      <w:bookmarkEnd w:id="821"/>
      <w:bookmarkStart w:id="822" w:name="_Toc55567436"/>
      <w:bookmarkEnd w:id="822"/>
      <w:bookmarkStart w:id="823" w:name="_Toc60925385"/>
      <w:bookmarkEnd w:id="823"/>
      <w:bookmarkStart w:id="824" w:name="_Toc4336"/>
      <w:bookmarkEnd w:id="824"/>
      <w:bookmarkStart w:id="825" w:name="_Toc55033347"/>
      <w:bookmarkEnd w:id="825"/>
      <w:bookmarkStart w:id="826" w:name="_Toc500007145"/>
      <w:bookmarkEnd w:id="826"/>
      <w:bookmarkStart w:id="827" w:name="_Toc25383"/>
      <w:bookmarkStart w:id="828" w:name="_Toc325717184"/>
      <w:bookmarkStart w:id="829" w:name="_Toc289946480"/>
      <w:bookmarkStart w:id="830" w:name="_Toc25947"/>
      <w:bookmarkStart w:id="831" w:name="_Toc246965479"/>
      <w:bookmarkStart w:id="832" w:name="_Toc232381470"/>
      <w:bookmarkStart w:id="833" w:name="_Toc5882"/>
      <w:bookmarkStart w:id="834" w:name="_Toc498299329"/>
      <w:bookmarkStart w:id="835" w:name="_Toc414103540"/>
      <w:r>
        <w:rPr>
          <w:rFonts w:hint="eastAsia"/>
        </w:rPr>
        <w:t>检修过程危险性分析</w:t>
      </w:r>
      <w:bookmarkEnd w:id="827"/>
      <w:bookmarkEnd w:id="828"/>
      <w:bookmarkEnd w:id="829"/>
      <w:bookmarkEnd w:id="830"/>
      <w:bookmarkEnd w:id="831"/>
      <w:bookmarkEnd w:id="832"/>
      <w:bookmarkEnd w:id="833"/>
    </w:p>
    <w:p w14:paraId="00A1F931">
      <w:pPr>
        <w:pStyle w:val="4"/>
        <w:bidi w:val="0"/>
        <w:rPr>
          <w:rFonts w:hint="eastAsia"/>
        </w:rPr>
      </w:pPr>
      <w:bookmarkStart w:id="836" w:name="_Toc12929"/>
      <w:bookmarkStart w:id="837" w:name="_Toc9821"/>
      <w:r>
        <w:rPr>
          <w:rFonts w:hint="eastAsia"/>
        </w:rPr>
        <w:t>设备设施检修危险性分析</w:t>
      </w:r>
      <w:bookmarkEnd w:id="836"/>
      <w:bookmarkEnd w:id="837"/>
    </w:p>
    <w:p w14:paraId="4D10ECB3">
      <w:pPr>
        <w:keepNext w:val="0"/>
        <w:keepLines w:val="0"/>
        <w:pageBreakBefore w:val="0"/>
        <w:widowControl w:val="0"/>
        <w:numPr>
          <w:ilvl w:val="0"/>
          <w:numId w:val="82"/>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设备设施检修时，生产方和检修方若未严格执行交接手续，不能确保检修安全，容易发生事故。</w:t>
      </w:r>
    </w:p>
    <w:p w14:paraId="220E4446">
      <w:pPr>
        <w:keepNext w:val="0"/>
        <w:keepLines w:val="0"/>
        <w:pageBreakBefore w:val="0"/>
        <w:widowControl w:val="0"/>
        <w:numPr>
          <w:ilvl w:val="0"/>
          <w:numId w:val="82"/>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检修前若未制定安全检修方案或未按检修方案执行，可能发生检修事故。</w:t>
      </w:r>
    </w:p>
    <w:p w14:paraId="7B410251">
      <w:pPr>
        <w:keepNext w:val="0"/>
        <w:keepLines w:val="0"/>
        <w:pageBreakBefore w:val="0"/>
        <w:widowControl w:val="0"/>
        <w:numPr>
          <w:ilvl w:val="0"/>
          <w:numId w:val="82"/>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设备检修时，必须停机检修，设备的活动部件应固定牢固，否则，可能发生机械伤害、物体打击</w:t>
      </w:r>
      <w:r>
        <w:rPr>
          <w:rFonts w:hint="eastAsia" w:cs="Times New Roman"/>
          <w:lang w:eastAsia="zh-CN"/>
        </w:rPr>
        <w:t>或其他</w:t>
      </w:r>
      <w:r>
        <w:rPr>
          <w:rFonts w:hint="eastAsia" w:eastAsia="宋体" w:cs="Times New Roman"/>
        </w:rPr>
        <w:t>事故。</w:t>
      </w:r>
    </w:p>
    <w:p w14:paraId="239C22BB">
      <w:pPr>
        <w:keepNext w:val="0"/>
        <w:keepLines w:val="0"/>
        <w:pageBreakBefore w:val="0"/>
        <w:widowControl w:val="0"/>
        <w:numPr>
          <w:ilvl w:val="0"/>
          <w:numId w:val="82"/>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lang w:val="zh-CN"/>
        </w:rPr>
        <w:t>检修过程中，若未在适当位置放置适当消防器材，发生事故时不能及时扑救。</w:t>
      </w:r>
      <w:r>
        <w:rPr>
          <w:rFonts w:hint="eastAsia" w:eastAsia="宋体" w:cs="Times New Roman"/>
        </w:rPr>
        <w:t xml:space="preserve"> </w:t>
      </w:r>
    </w:p>
    <w:p w14:paraId="6CDE3648">
      <w:pPr>
        <w:keepNext w:val="0"/>
        <w:keepLines w:val="0"/>
        <w:pageBreakBefore w:val="0"/>
        <w:widowControl w:val="0"/>
        <w:numPr>
          <w:ilvl w:val="0"/>
          <w:numId w:val="82"/>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在高处进行检修时，若无可靠的立足点，未采取安全防护措施，容易发生高空坠落。</w:t>
      </w:r>
    </w:p>
    <w:p w14:paraId="1CDB5E8A">
      <w:pPr>
        <w:keepNext w:val="0"/>
        <w:keepLines w:val="0"/>
        <w:pageBreakBefore w:val="0"/>
        <w:widowControl w:val="0"/>
        <w:numPr>
          <w:ilvl w:val="0"/>
          <w:numId w:val="82"/>
        </w:numPr>
        <w:kinsoku/>
        <w:wordWrap/>
        <w:overflowPunct/>
        <w:topLinePunct w:val="0"/>
        <w:autoSpaceDE/>
        <w:autoSpaceDN/>
        <w:bidi w:val="0"/>
        <w:adjustRightInd/>
        <w:snapToGrid/>
        <w:ind w:left="0" w:leftChars="0" w:firstLine="560" w:firstLineChars="200"/>
        <w:textAlignment w:val="auto"/>
        <w:rPr>
          <w:rFonts w:hint="eastAsia" w:eastAsia="宋体" w:cs="Times New Roman"/>
        </w:rPr>
      </w:pPr>
      <w:r>
        <w:rPr>
          <w:rFonts w:hint="eastAsia" w:eastAsia="宋体" w:cs="Times New Roman"/>
        </w:rPr>
        <w:t>检修完毕后，若未对检修场所进行清扫，容易发生检修工具遗留在现场或设备内，可能造成事故。</w:t>
      </w:r>
    </w:p>
    <w:p w14:paraId="3F720D68">
      <w:pPr>
        <w:pStyle w:val="4"/>
        <w:bidi w:val="0"/>
        <w:rPr>
          <w:rFonts w:hint="eastAsia"/>
        </w:rPr>
      </w:pPr>
      <w:bookmarkStart w:id="838" w:name="_Toc18111"/>
      <w:bookmarkStart w:id="839" w:name="_Toc17933"/>
      <w:r>
        <w:rPr>
          <w:rFonts w:hint="eastAsia"/>
        </w:rPr>
        <w:t>电气设施检修危险性分析</w:t>
      </w:r>
      <w:bookmarkEnd w:id="838"/>
      <w:bookmarkEnd w:id="839"/>
    </w:p>
    <w:p w14:paraId="387DB033">
      <w:pPr>
        <w:keepNext w:val="0"/>
        <w:keepLines w:val="0"/>
        <w:pageBreakBefore w:val="0"/>
        <w:widowControl w:val="0"/>
        <w:numPr>
          <w:ilvl w:val="0"/>
          <w:numId w:val="8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eastAsia="宋体" w:cs="Times New Roman"/>
          <w:lang w:val="en-US" w:eastAsia="zh-CN"/>
        </w:rPr>
        <w:t>电气工作人员若未取得特种作业人员操作证，容易发生供电操作和触电事故</w:t>
      </w:r>
      <w:r>
        <w:rPr>
          <w:rFonts w:hint="eastAsia" w:ascii="宋体" w:hAnsi="宋体" w:eastAsia="宋体" w:cs="Times New Roman"/>
          <w:lang w:val="en-US" w:eastAsia="zh-CN"/>
        </w:rPr>
        <w:t>，甚至发生错送错停电事故，而引起设备损坏，及电气火灾。</w:t>
      </w:r>
    </w:p>
    <w:p w14:paraId="4E947F4D">
      <w:pPr>
        <w:keepNext w:val="0"/>
        <w:keepLines w:val="0"/>
        <w:pageBreakBefore w:val="0"/>
        <w:widowControl w:val="0"/>
        <w:numPr>
          <w:ilvl w:val="0"/>
          <w:numId w:val="8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电气工作人员若未严格执行电气安全操作规程，容易发生电器设备损坏和触电事故。</w:t>
      </w:r>
    </w:p>
    <w:p w14:paraId="7073A462">
      <w:pPr>
        <w:keepNext w:val="0"/>
        <w:keepLines w:val="0"/>
        <w:pageBreakBefore w:val="0"/>
        <w:widowControl w:val="0"/>
        <w:numPr>
          <w:ilvl w:val="0"/>
          <w:numId w:val="8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电气工作人员检修时，未设置警告牌，或取下、移开和遮盖，未采取临时接地措施，容易发生触电事故。</w:t>
      </w:r>
    </w:p>
    <w:p w14:paraId="168DCA6B">
      <w:pPr>
        <w:keepNext w:val="0"/>
        <w:keepLines w:val="0"/>
        <w:pageBreakBefore w:val="0"/>
        <w:widowControl w:val="0"/>
        <w:numPr>
          <w:ilvl w:val="0"/>
          <w:numId w:val="8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在进行电气操作时，若未按要求做到两人进行（一人工作一人监护），容易发生触电事故。</w:t>
      </w:r>
    </w:p>
    <w:p w14:paraId="2AF19244">
      <w:pPr>
        <w:keepNext w:val="0"/>
        <w:keepLines w:val="0"/>
        <w:pageBreakBefore w:val="0"/>
        <w:widowControl w:val="0"/>
        <w:numPr>
          <w:ilvl w:val="0"/>
          <w:numId w:val="8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用绝缘棒拉合各种开关，若未戴绝缘手套，容易发生触电事故。</w:t>
      </w:r>
    </w:p>
    <w:p w14:paraId="296D781B">
      <w:pPr>
        <w:pStyle w:val="3"/>
        <w:keepNext w:val="0"/>
        <w:keepLines w:val="0"/>
        <w:pageBreakBefore w:val="0"/>
        <w:widowControl w:val="0"/>
        <w:kinsoku/>
        <w:bidi w:val="0"/>
        <w:rPr>
          <w:rFonts w:hint="eastAsia"/>
        </w:rPr>
      </w:pPr>
      <w:bookmarkStart w:id="840" w:name="_Toc30628"/>
      <w:r>
        <w:rPr>
          <w:rFonts w:hint="eastAsia"/>
        </w:rPr>
        <w:t>安全管理影响辨识与分析</w:t>
      </w:r>
      <w:bookmarkEnd w:id="834"/>
      <w:bookmarkEnd w:id="840"/>
    </w:p>
    <w:p w14:paraId="1DA8D940">
      <w:pPr>
        <w:keepNext w:val="0"/>
        <w:keepLines w:val="0"/>
        <w:pageBreakBefore w:val="0"/>
        <w:widowControl w:val="0"/>
        <w:suppressLineNumbers w:val="0"/>
        <w:kinsoku/>
        <w:wordWrap/>
        <w:overflowPunct/>
        <w:topLinePunct/>
        <w:autoSpaceDN/>
        <w:bidi w:val="0"/>
        <w:adjustRightInd w:val="0"/>
        <w:snapToGrid w:val="0"/>
        <w:spacing w:before="0" w:beforeAutospacing="0" w:after="0" w:afterAutospacing="0" w:line="500" w:lineRule="exact"/>
        <w:ind w:left="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安全管理是为保证及时、有效地实现既定的安全目标，是在预测、分析的基础上进行的计划、组织、协调、检查等工作，是预防故障和人员失误发生的有效手段，因此，管理缺陷是影响运行失控发生的重要因素。由于安全管理缺陷，现场监管不到位，可能导致安全事故发生。管理缺陷主要体现在以下几方面：</w:t>
      </w:r>
    </w:p>
    <w:p w14:paraId="203F3CE6">
      <w:pPr>
        <w:keepNext w:val="0"/>
        <w:keepLines w:val="0"/>
        <w:pageBreakBefore w:val="0"/>
        <w:widowControl w:val="0"/>
        <w:numPr>
          <w:ilvl w:val="0"/>
          <w:numId w:val="84"/>
        </w:numPr>
        <w:suppressLineNumbers w:val="0"/>
        <w:kinsoku/>
        <w:wordWrap/>
        <w:overflowPunct/>
        <w:topLinePunct/>
        <w:autoSpaceDE w:val="0"/>
        <w:autoSpaceDN/>
        <w:bidi w:val="0"/>
        <w:adjustRightInd w:val="0"/>
        <w:spacing w:before="0" w:beforeAutospacing="0" w:after="0" w:afterAutospacing="0" w:line="500" w:lineRule="exact"/>
        <w:ind w:left="0" w:leftChars="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安全管理组织缺陷，如安全管理组织机构的结构、人员组成不适应生产系统；未按要求配备足额的管理人员，造成安全管理工作中存在衔接不当、管理空白、专业不全等；人员职权交叉，造成管理混乱；在解决重大问题上由最高领导一人凭借经验作决策，没有征求大多数人的意见；</w:t>
      </w:r>
    </w:p>
    <w:p w14:paraId="197D8304">
      <w:pPr>
        <w:keepNext w:val="0"/>
        <w:keepLines w:val="0"/>
        <w:pageBreakBefore w:val="0"/>
        <w:widowControl w:val="0"/>
        <w:numPr>
          <w:ilvl w:val="0"/>
          <w:numId w:val="84"/>
        </w:numPr>
        <w:suppressLineNumbers w:val="0"/>
        <w:kinsoku/>
        <w:wordWrap/>
        <w:overflowPunct/>
        <w:topLinePunct/>
        <w:autoSpaceDE w:val="0"/>
        <w:autoSpaceDN/>
        <w:bidi w:val="0"/>
        <w:adjustRightInd w:val="0"/>
        <w:spacing w:before="0" w:beforeAutospacing="0" w:after="0" w:afterAutospacing="0" w:line="500" w:lineRule="exact"/>
        <w:ind w:left="0" w:leftChars="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安全规章管理制度存在缺陷，如未根据自身特点制定、完善安全生产责任制、安全生产管理制度，造成工作中无章可循，生产秩序混乱；安全生产责任制未落实到每个环节、每个岗位、每个人，各自职责不明确或职能部门；不同的安全规章管理制度之间缺少相互配合和促进机制；安全规章管理制度流于形式，内容不完善、不全面；安全规章管理制度要求与实际工作脱节等；</w:t>
      </w:r>
    </w:p>
    <w:p w14:paraId="2E237399">
      <w:pPr>
        <w:keepNext w:val="0"/>
        <w:keepLines w:val="0"/>
        <w:pageBreakBefore w:val="0"/>
        <w:widowControl w:val="0"/>
        <w:numPr>
          <w:ilvl w:val="0"/>
          <w:numId w:val="84"/>
        </w:numPr>
        <w:suppressLineNumbers w:val="0"/>
        <w:kinsoku/>
        <w:wordWrap/>
        <w:overflowPunct/>
        <w:topLinePunct/>
        <w:autoSpaceDE w:val="0"/>
        <w:autoSpaceDN/>
        <w:bidi w:val="0"/>
        <w:adjustRightInd w:val="0"/>
        <w:spacing w:before="0" w:beforeAutospacing="0" w:after="0" w:afterAutospacing="0" w:line="500" w:lineRule="exact"/>
        <w:ind w:left="0" w:leftChars="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对从业人员的安全教育培训不足，如安全管理人员和基层操作人员未经过培训考核或培训学时不足，不具备相应的安全生产知识和上岗能力；员工素质低下，知识陈旧，观念落后，致使人员安全意识差、不安全行为数量增多；忽视对外协用工、外来参观、学习人员的安全教育培训等；</w:t>
      </w:r>
    </w:p>
    <w:p w14:paraId="06493E80">
      <w:pPr>
        <w:keepNext w:val="0"/>
        <w:keepLines w:val="0"/>
        <w:pageBreakBefore w:val="0"/>
        <w:widowControl w:val="0"/>
        <w:numPr>
          <w:ilvl w:val="0"/>
          <w:numId w:val="84"/>
        </w:numPr>
        <w:suppressLineNumbers w:val="0"/>
        <w:kinsoku/>
        <w:wordWrap/>
        <w:overflowPunct/>
        <w:topLinePunct/>
        <w:autoSpaceDE w:val="0"/>
        <w:autoSpaceDN/>
        <w:bidi w:val="0"/>
        <w:adjustRightInd w:val="0"/>
        <w:spacing w:before="0" w:beforeAutospacing="0" w:after="0" w:afterAutospacing="0" w:line="500" w:lineRule="exact"/>
        <w:ind w:left="0" w:leftChars="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应急救援失效，如对突发事故无预见性，事故发生后无法及时组织救援；事故应急救援不迅速；事故判断不准确，导致采取的应急救援行动和战术决策不准确；事故救援缺乏有效性；应急响应过程中公众恐慌心理增加救援难度等；</w:t>
      </w:r>
    </w:p>
    <w:p w14:paraId="56E7C4F9">
      <w:pPr>
        <w:keepNext w:val="0"/>
        <w:keepLines w:val="0"/>
        <w:pageBreakBefore w:val="0"/>
        <w:widowControl w:val="0"/>
        <w:numPr>
          <w:ilvl w:val="0"/>
          <w:numId w:val="84"/>
        </w:numPr>
        <w:suppressLineNumbers w:val="0"/>
        <w:kinsoku/>
        <w:wordWrap/>
        <w:overflowPunct/>
        <w:topLinePunct/>
        <w:autoSpaceDE w:val="0"/>
        <w:autoSpaceDN/>
        <w:bidi w:val="0"/>
        <w:adjustRightInd w:val="0"/>
        <w:spacing w:before="0" w:beforeAutospacing="0" w:after="0" w:afterAutospacing="0" w:line="500" w:lineRule="exact"/>
        <w:ind w:left="0" w:leftChars="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管理人员监督检查力度不足，有禁不止，有令不行，滋生违章行为等；</w:t>
      </w:r>
    </w:p>
    <w:p w14:paraId="27E9D90B">
      <w:pPr>
        <w:keepNext w:val="0"/>
        <w:keepLines w:val="0"/>
        <w:pageBreakBefore w:val="0"/>
        <w:widowControl w:val="0"/>
        <w:numPr>
          <w:ilvl w:val="0"/>
          <w:numId w:val="84"/>
        </w:numPr>
        <w:suppressLineNumbers w:val="0"/>
        <w:kinsoku/>
        <w:wordWrap/>
        <w:overflowPunct/>
        <w:topLinePunct/>
        <w:autoSpaceDE w:val="0"/>
        <w:autoSpaceDN/>
        <w:bidi w:val="0"/>
        <w:adjustRightInd w:val="0"/>
        <w:spacing w:before="0" w:beforeAutospacing="0" w:after="0" w:afterAutospacing="0" w:line="500" w:lineRule="exact"/>
        <w:ind w:left="0" w:leftChars="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安全管理基础工作差，底子弱，安全管理体系未形成“PDCA”的良性循环模式；</w:t>
      </w:r>
    </w:p>
    <w:p w14:paraId="73E167EB">
      <w:pPr>
        <w:keepNext w:val="0"/>
        <w:keepLines w:val="0"/>
        <w:pageBreakBefore w:val="0"/>
        <w:widowControl w:val="0"/>
        <w:numPr>
          <w:ilvl w:val="0"/>
          <w:numId w:val="84"/>
        </w:numPr>
        <w:suppressLineNumbers w:val="0"/>
        <w:kinsoku/>
        <w:wordWrap/>
        <w:overflowPunct/>
        <w:topLinePunct/>
        <w:autoSpaceDE w:val="0"/>
        <w:autoSpaceDN/>
        <w:bidi w:val="0"/>
        <w:adjustRightInd w:val="0"/>
        <w:spacing w:before="0" w:beforeAutospacing="0" w:after="0" w:afterAutospacing="0" w:line="500" w:lineRule="exact"/>
        <w:ind w:left="0" w:leftChars="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企业新建项目未按要求办理安全设施“三同时”审批手续，造成安全生产条件的先天不足；</w:t>
      </w:r>
    </w:p>
    <w:p w14:paraId="706D7F66">
      <w:pPr>
        <w:keepNext w:val="0"/>
        <w:keepLines w:val="0"/>
        <w:pageBreakBefore w:val="0"/>
        <w:widowControl w:val="0"/>
        <w:numPr>
          <w:ilvl w:val="0"/>
          <w:numId w:val="84"/>
        </w:numPr>
        <w:suppressLineNumbers w:val="0"/>
        <w:kinsoku/>
        <w:wordWrap/>
        <w:overflowPunct/>
        <w:topLinePunct/>
        <w:autoSpaceDE w:val="0"/>
        <w:autoSpaceDN/>
        <w:bidi w:val="0"/>
        <w:adjustRightInd w:val="0"/>
        <w:spacing w:before="0" w:beforeAutospacing="0" w:after="0" w:afterAutospacing="0" w:line="500" w:lineRule="exact"/>
        <w:ind w:left="0" w:leftChars="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安全资金投入不足，安全教育培训不够、个人防护不到位、安全设施配备不足、未提供事故隐患排查治理所需的资金等导致事故的发生；</w:t>
      </w:r>
    </w:p>
    <w:p w14:paraId="38DB48F9">
      <w:pPr>
        <w:keepNext w:val="0"/>
        <w:keepLines w:val="0"/>
        <w:pageBreakBefore w:val="0"/>
        <w:widowControl w:val="0"/>
        <w:numPr>
          <w:ilvl w:val="0"/>
          <w:numId w:val="84"/>
        </w:numPr>
        <w:suppressLineNumbers w:val="0"/>
        <w:kinsoku/>
        <w:wordWrap/>
        <w:overflowPunct/>
        <w:topLinePunct/>
        <w:autoSpaceDE w:val="0"/>
        <w:autoSpaceDN/>
        <w:bidi w:val="0"/>
        <w:adjustRightInd w:val="0"/>
        <w:spacing w:before="0" w:beforeAutospacing="0" w:after="0" w:afterAutospacing="0" w:line="500" w:lineRule="exact"/>
        <w:ind w:left="0" w:leftChars="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为节约成本，不提供符合要求的安全防护设施和个人使用的劳动防护用品；</w:t>
      </w:r>
    </w:p>
    <w:p w14:paraId="4292EA42">
      <w:pPr>
        <w:keepNext w:val="0"/>
        <w:keepLines w:val="0"/>
        <w:pageBreakBefore w:val="0"/>
        <w:widowControl w:val="0"/>
        <w:numPr>
          <w:ilvl w:val="0"/>
          <w:numId w:val="84"/>
        </w:numPr>
        <w:suppressLineNumbers w:val="0"/>
        <w:kinsoku/>
        <w:wordWrap/>
        <w:overflowPunct/>
        <w:topLinePunct/>
        <w:autoSpaceDE w:val="0"/>
        <w:autoSpaceDN/>
        <w:bidi w:val="0"/>
        <w:adjustRightInd w:val="0"/>
        <w:spacing w:before="0" w:beforeAutospacing="0" w:after="0" w:afterAutospacing="0" w:line="500" w:lineRule="exact"/>
        <w:ind w:left="0" w:leftChars="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隐患排查不彻底，治理措施不得当；</w:t>
      </w:r>
    </w:p>
    <w:p w14:paraId="43AD7BE1">
      <w:pPr>
        <w:keepNext w:val="0"/>
        <w:keepLines w:val="0"/>
        <w:pageBreakBefore w:val="0"/>
        <w:widowControl w:val="0"/>
        <w:numPr>
          <w:ilvl w:val="0"/>
          <w:numId w:val="84"/>
        </w:numPr>
        <w:suppressLineNumbers w:val="0"/>
        <w:kinsoku/>
        <w:wordWrap/>
        <w:overflowPunct/>
        <w:topLinePunct/>
        <w:autoSpaceDE w:val="0"/>
        <w:autoSpaceDN/>
        <w:bidi w:val="0"/>
        <w:adjustRightInd w:val="0"/>
        <w:spacing w:before="0" w:beforeAutospacing="0" w:after="0" w:afterAutospacing="0" w:line="500" w:lineRule="exact"/>
        <w:ind w:left="0" w:leftChars="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未建立安全生产记录档案，不利于及时、全面系统地掌握企业安全生产情况，及时反映安全生产动态；不利于分析安全生产中的危险因素和作出安全管理决策；</w:t>
      </w:r>
    </w:p>
    <w:p w14:paraId="0FC83555">
      <w:pPr>
        <w:keepNext w:val="0"/>
        <w:keepLines w:val="0"/>
        <w:pageBreakBefore w:val="0"/>
        <w:widowControl w:val="0"/>
        <w:numPr>
          <w:ilvl w:val="0"/>
          <w:numId w:val="84"/>
        </w:numPr>
        <w:suppressLineNumbers w:val="0"/>
        <w:kinsoku/>
        <w:wordWrap/>
        <w:overflowPunct/>
        <w:topLinePunct/>
        <w:autoSpaceDE w:val="0"/>
        <w:autoSpaceDN/>
        <w:bidi w:val="0"/>
        <w:adjustRightInd w:val="0"/>
        <w:spacing w:before="0" w:beforeAutospacing="0" w:after="0" w:afterAutospacing="0" w:line="500" w:lineRule="exact"/>
        <w:ind w:left="0" w:leftChars="0" w:right="0" w:firstLine="560" w:firstLineChars="200"/>
        <w:jc w:val="left"/>
        <w:textAlignment w:val="auto"/>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对事故管理不当，使事故恶化，如迟报、漏报、谎报或瞒报事故，事故原因没有调查清楚，群众没有受到教育等。</w:t>
      </w:r>
    </w:p>
    <w:p w14:paraId="594D8CA2">
      <w:pPr>
        <w:pStyle w:val="3"/>
        <w:keepNext w:val="0"/>
        <w:keepLines w:val="0"/>
        <w:pageBreakBefore w:val="0"/>
        <w:widowControl w:val="0"/>
        <w:kinsoku/>
        <w:bidi w:val="0"/>
        <w:rPr>
          <w:rFonts w:hint="eastAsia"/>
        </w:rPr>
      </w:pPr>
      <w:bookmarkStart w:id="841" w:name="_Toc498299339"/>
      <w:bookmarkStart w:id="842" w:name="_Toc14573"/>
      <w:bookmarkStart w:id="843" w:name="_Toc605"/>
      <w:r>
        <w:rPr>
          <w:rFonts w:hint="eastAsia"/>
        </w:rPr>
        <w:t>其他危险有害因素</w:t>
      </w:r>
      <w:bookmarkEnd w:id="841"/>
      <w:bookmarkEnd w:id="842"/>
      <w:r>
        <w:rPr>
          <w:rFonts w:hint="eastAsia"/>
        </w:rPr>
        <w:t>危险性分析</w:t>
      </w:r>
      <w:bookmarkEnd w:id="843"/>
    </w:p>
    <w:p w14:paraId="2389AA6A">
      <w:pPr>
        <w:pStyle w:val="4"/>
        <w:bidi w:val="0"/>
        <w:ind w:left="720" w:leftChars="0" w:hanging="720" w:firstLineChars="0"/>
      </w:pPr>
      <w:bookmarkStart w:id="844" w:name="_Toc60925395"/>
      <w:bookmarkStart w:id="845" w:name="_Toc498299340"/>
      <w:bookmarkStart w:id="846" w:name="_Toc25753"/>
      <w:bookmarkStart w:id="847" w:name="_Toc498519810"/>
      <w:bookmarkStart w:id="848" w:name="_Toc55945286"/>
      <w:bookmarkStart w:id="849" w:name="_Toc46697220"/>
      <w:bookmarkStart w:id="850" w:name="_Toc500007150"/>
      <w:bookmarkStart w:id="851" w:name="_Toc20326"/>
      <w:r>
        <w:rPr>
          <w:rFonts w:hint="eastAsia"/>
        </w:rPr>
        <w:t>空气质量、温度、湿度</w:t>
      </w:r>
      <w:bookmarkEnd w:id="844"/>
      <w:bookmarkEnd w:id="845"/>
      <w:bookmarkEnd w:id="846"/>
      <w:bookmarkEnd w:id="847"/>
      <w:bookmarkEnd w:id="848"/>
      <w:bookmarkEnd w:id="849"/>
      <w:bookmarkEnd w:id="850"/>
      <w:bookmarkEnd w:id="851"/>
    </w:p>
    <w:p w14:paraId="0A135494">
      <w:pPr>
        <w:keepNext w:val="0"/>
        <w:keepLines w:val="0"/>
        <w:pageBreakBefore w:val="0"/>
        <w:widowControl w:val="0"/>
        <w:kinsoku/>
        <w:wordWrap/>
        <w:bidi w:val="0"/>
      </w:pPr>
      <w:r>
        <w:rPr>
          <w:rFonts w:hint="eastAsia"/>
        </w:rPr>
        <w:t>作业环境如温度、湿度、通风、照明、噪声、采光等因素的变化均可能导致人的情绪异常而引发误操作，从而引发事故。本项目</w:t>
      </w:r>
      <w:r>
        <w:rPr>
          <w:rFonts w:hint="eastAsia"/>
          <w:lang w:val="en-US" w:eastAsia="zh-CN"/>
        </w:rPr>
        <w:t>电弧炉</w:t>
      </w:r>
      <w:r>
        <w:rPr>
          <w:rFonts w:hint="eastAsia"/>
        </w:rPr>
        <w:t>现场操作属于高温作业，高温作业时人体可出现一系列生理功能改变，主要为体温调节、水盐代谢、循环系统、消化系统、神经系统、泌尿系统等方面的适应性变化。在高温环境下，由于热平衡或水盐代谢紊乱等可引起以中枢神经系统或心血管系统障碍为主要表现的急性热致疾病</w:t>
      </w:r>
      <w:r>
        <w:rPr>
          <w:rFonts w:hint="eastAsia"/>
          <w:lang w:eastAsia="zh-CN"/>
        </w:rPr>
        <w:t>－</w:t>
      </w:r>
      <w:r>
        <w:rPr>
          <w:rFonts w:hint="eastAsia"/>
        </w:rPr>
        <w:t>中暑。中暑按发病机理可分为三种类型：热射病、热痉挛、热衰竭；按其临床症状的轻重可分为轻症和重症。生产性中暑不同于一般性中暑，生产性中暑体温较高，为代谢性酸中毒，横纹肌溶解多见，弥散性血管内凝血显著，急性肾功能衰竭常见，高尿酸血症显著，酶水平显著增高等。</w:t>
      </w:r>
    </w:p>
    <w:p w14:paraId="5A8E9159">
      <w:pPr>
        <w:pStyle w:val="4"/>
        <w:bidi w:val="0"/>
        <w:ind w:left="720" w:leftChars="0" w:hanging="720" w:firstLineChars="0"/>
      </w:pPr>
      <w:bookmarkStart w:id="852" w:name="_Toc55945287"/>
      <w:bookmarkStart w:id="853" w:name="_Toc60925396"/>
      <w:bookmarkStart w:id="854" w:name="_Toc46697221"/>
      <w:bookmarkStart w:id="855" w:name="_Toc500007151"/>
      <w:bookmarkStart w:id="856" w:name="_Toc31805"/>
      <w:bookmarkStart w:id="857" w:name="_Toc498519811"/>
      <w:bookmarkStart w:id="858" w:name="_Toc498299341"/>
      <w:bookmarkStart w:id="859" w:name="_Toc32162"/>
      <w:r>
        <w:rPr>
          <w:rFonts w:hint="eastAsia"/>
        </w:rPr>
        <w:t>采光、照明</w:t>
      </w:r>
      <w:bookmarkEnd w:id="852"/>
      <w:bookmarkEnd w:id="853"/>
      <w:bookmarkEnd w:id="854"/>
      <w:bookmarkEnd w:id="855"/>
      <w:bookmarkEnd w:id="856"/>
      <w:bookmarkEnd w:id="857"/>
      <w:bookmarkEnd w:id="858"/>
      <w:bookmarkEnd w:id="859"/>
    </w:p>
    <w:p w14:paraId="7215A8E1">
      <w:pPr>
        <w:keepNext w:val="0"/>
        <w:keepLines w:val="0"/>
        <w:pageBreakBefore w:val="0"/>
        <w:widowControl w:val="0"/>
        <w:kinsoku/>
        <w:wordWrap/>
        <w:bidi w:val="0"/>
        <w:rPr>
          <w:rFonts w:hint="eastAsia"/>
        </w:rPr>
      </w:pPr>
      <w:r>
        <w:rPr>
          <w:rFonts w:hint="eastAsia"/>
        </w:rPr>
        <w:t>光照的亮度和照度不足对操作的影响劳动组织和劳动过程不合理、劳动强度过大、过度精神或心理紧张、劳动时个别器官或系统过度紧张、长时间不良体位、劳动工具不合理等。连续</w:t>
      </w:r>
      <w:r>
        <w:rPr>
          <w:rFonts w:hint="eastAsia"/>
          <w:lang w:val="en-US" w:eastAsia="zh-CN"/>
        </w:rPr>
        <w:t>12</w:t>
      </w:r>
      <w:r>
        <w:t>h</w:t>
      </w:r>
      <w:r>
        <w:rPr>
          <w:rFonts w:hint="eastAsia"/>
        </w:rPr>
        <w:t>单调作业工作制，容易造成工人精神疲劳、视觉疲劳和强制体位，导致生产能力下降、工伤事故增多。</w:t>
      </w:r>
    </w:p>
    <w:p w14:paraId="0419D9D7">
      <w:pPr>
        <w:pStyle w:val="3"/>
        <w:keepNext w:val="0"/>
        <w:keepLines w:val="0"/>
        <w:pageBreakBefore w:val="0"/>
        <w:widowControl w:val="0"/>
        <w:kinsoku/>
        <w:bidi w:val="0"/>
        <w:rPr>
          <w:rFonts w:hint="eastAsia"/>
        </w:rPr>
      </w:pPr>
      <w:bookmarkStart w:id="860" w:name="_Toc23572"/>
      <w:r>
        <w:rPr>
          <w:rFonts w:hint="eastAsia"/>
        </w:rPr>
        <w:t>危险、危害因素辨识结果</w:t>
      </w:r>
      <w:bookmarkEnd w:id="835"/>
      <w:bookmarkEnd w:id="860"/>
    </w:p>
    <w:p w14:paraId="202C04C4">
      <w:pPr>
        <w:keepNext w:val="0"/>
        <w:keepLines w:val="0"/>
        <w:pageBreakBefore w:val="0"/>
        <w:widowControl w:val="0"/>
        <w:kinsoku/>
        <w:bidi w:val="0"/>
        <w:rPr>
          <w:rFonts w:hint="eastAsia"/>
        </w:rPr>
      </w:pPr>
      <w:bookmarkStart w:id="861" w:name="_Hlk3220149"/>
      <w:bookmarkEnd w:id="861"/>
      <w:r>
        <w:rPr>
          <w:rFonts w:hint="eastAsia"/>
          <w:lang w:val="en-US" w:eastAsia="zh-CN"/>
        </w:rPr>
        <w:t>经以上分析可知，本项目生产过程中存在的主要风险有：</w:t>
      </w:r>
      <w:r>
        <w:rPr>
          <w:rFonts w:hint="eastAsia"/>
        </w:rPr>
        <w:t>物体打击、车辆伤害、机械伤害、</w:t>
      </w:r>
      <w:r>
        <w:rPr>
          <w:rFonts w:hint="eastAsia"/>
          <w:lang w:val="en-US" w:eastAsia="zh-CN"/>
        </w:rPr>
        <w:t>起重伤害、</w:t>
      </w:r>
      <w:r>
        <w:rPr>
          <w:rFonts w:hint="eastAsia"/>
        </w:rPr>
        <w:t>触电、</w:t>
      </w:r>
      <w:r>
        <w:rPr>
          <w:rFonts w:hint="eastAsia"/>
          <w:lang w:val="en-US" w:eastAsia="zh-CN"/>
        </w:rPr>
        <w:t>淹溺、灼烫、</w:t>
      </w:r>
      <w:r>
        <w:rPr>
          <w:rFonts w:hint="eastAsia"/>
        </w:rPr>
        <w:t>火灾、</w:t>
      </w:r>
      <w:r>
        <w:rPr>
          <w:rFonts w:hint="eastAsia"/>
          <w:lang w:val="en-US" w:eastAsia="zh-CN"/>
        </w:rPr>
        <w:t>高处坠落、坍塌、容器爆炸、其他爆炸、中毒和</w:t>
      </w:r>
      <w:r>
        <w:rPr>
          <w:rFonts w:hint="eastAsia"/>
        </w:rPr>
        <w:t>窒息、</w:t>
      </w:r>
      <w:r>
        <w:rPr>
          <w:rFonts w:hint="eastAsia"/>
          <w:lang w:val="en-US" w:eastAsia="zh-CN"/>
        </w:rPr>
        <w:t>其他伤害</w:t>
      </w:r>
      <w:r>
        <w:rPr>
          <w:rFonts w:hint="eastAsia"/>
        </w:rPr>
        <w:t>等。</w:t>
      </w:r>
    </w:p>
    <w:p w14:paraId="391C701A">
      <w:pPr>
        <w:keepNext w:val="0"/>
        <w:keepLines w:val="0"/>
        <w:pageBreakBefore w:val="0"/>
        <w:widowControl w:val="0"/>
        <w:kinsoku/>
        <w:bidi w:val="0"/>
        <w:spacing w:line="360" w:lineRule="auto"/>
        <w:jc w:val="center"/>
        <w:rPr>
          <w:rFonts w:hint="eastAsia" w:ascii="宋体" w:hAnsi="宋体" w:eastAsia="宋体" w:cs="Times New Roman"/>
          <w:b/>
          <w:bCs/>
          <w:color w:val="000000"/>
          <w:sz w:val="24"/>
          <w:szCs w:val="24"/>
        </w:rPr>
      </w:pPr>
      <w:bookmarkStart w:id="862" w:name="_Toc60925389"/>
      <w:bookmarkEnd w:id="862"/>
      <w:bookmarkStart w:id="863" w:name="_Toc10811"/>
      <w:bookmarkEnd w:id="863"/>
      <w:bookmarkStart w:id="864" w:name="_Toc314213597"/>
      <w:bookmarkEnd w:id="864"/>
      <w:bookmarkStart w:id="865" w:name="_Toc55945280"/>
      <w:bookmarkEnd w:id="865"/>
      <w:r>
        <w:rPr>
          <w:rFonts w:ascii="宋体" w:hAnsi="宋体" w:eastAsia="宋体" w:cs="Times New Roman"/>
          <w:b/>
          <w:bCs/>
          <w:color w:val="000000"/>
          <w:sz w:val="24"/>
          <w:szCs w:val="24"/>
        </w:rPr>
        <w:t>表</w:t>
      </w:r>
      <w:r>
        <w:rPr>
          <w:rFonts w:hint="eastAsia" w:ascii="宋体" w:hAnsi="宋体" w:eastAsia="宋体" w:cs="Times New Roman"/>
          <w:b/>
          <w:bCs/>
          <w:color w:val="000000"/>
          <w:sz w:val="24"/>
          <w:szCs w:val="24"/>
        </w:rPr>
        <w:t>3</w:t>
      </w:r>
      <w:r>
        <w:rPr>
          <w:rFonts w:hint="eastAsia" w:ascii="宋体" w:hAnsi="宋体" w:eastAsia="宋体" w:cs="Times New Roman"/>
          <w:b/>
          <w:bCs/>
          <w:color w:val="000000"/>
          <w:sz w:val="24"/>
          <w:szCs w:val="24"/>
          <w:lang w:val="en-US" w:eastAsia="zh-CN"/>
        </w:rPr>
        <w:t>.3</w:t>
      </w:r>
      <w:r>
        <w:rPr>
          <w:rFonts w:ascii="宋体" w:hAnsi="宋体" w:eastAsia="宋体" w:cs="Times New Roman"/>
          <w:b/>
          <w:bCs/>
          <w:color w:val="000000"/>
          <w:sz w:val="24"/>
          <w:szCs w:val="24"/>
        </w:rPr>
        <w:t>-</w:t>
      </w:r>
      <w:r>
        <w:rPr>
          <w:rFonts w:hint="eastAsia" w:ascii="宋体" w:hAnsi="宋体" w:eastAsia="宋体" w:cs="Times New Roman"/>
          <w:b/>
          <w:bCs/>
          <w:color w:val="000000"/>
          <w:sz w:val="24"/>
          <w:szCs w:val="24"/>
          <w:lang w:val="en-US" w:eastAsia="zh-CN"/>
        </w:rPr>
        <w:t>1</w:t>
      </w:r>
      <w:r>
        <w:rPr>
          <w:rFonts w:hint="eastAsia" w:ascii="宋体" w:hAnsi="宋体" w:eastAsia="宋体" w:cs="Times New Roman"/>
          <w:b/>
          <w:bCs/>
          <w:color w:val="000000"/>
          <w:sz w:val="24"/>
          <w:szCs w:val="24"/>
        </w:rPr>
        <w:t xml:space="preserve"> 危险有害因素分析汇总表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1359"/>
        <w:gridCol w:w="5898"/>
      </w:tblGrid>
      <w:tr w14:paraId="6A822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392A85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sz w:val="21"/>
                <w:szCs w:val="21"/>
              </w:rPr>
            </w:pPr>
            <w:r>
              <w:rPr>
                <w:rFonts w:hint="eastAsia"/>
                <w:sz w:val="21"/>
                <w:szCs w:val="21"/>
              </w:rPr>
              <w:t>序号</w:t>
            </w:r>
          </w:p>
        </w:tc>
        <w:tc>
          <w:tcPr>
            <w:tcW w:w="1359" w:type="dxa"/>
            <w:noWrap w:val="0"/>
            <w:vAlign w:val="center"/>
          </w:tcPr>
          <w:p w14:paraId="203E12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sz w:val="21"/>
                <w:szCs w:val="21"/>
              </w:rPr>
            </w:pPr>
            <w:r>
              <w:rPr>
                <w:rFonts w:hint="eastAsia"/>
                <w:sz w:val="21"/>
                <w:szCs w:val="21"/>
              </w:rPr>
              <w:t>事故类型</w:t>
            </w:r>
          </w:p>
        </w:tc>
        <w:tc>
          <w:tcPr>
            <w:tcW w:w="5898" w:type="dxa"/>
            <w:noWrap w:val="0"/>
            <w:vAlign w:val="center"/>
          </w:tcPr>
          <w:p w14:paraId="052ADF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sz w:val="21"/>
                <w:szCs w:val="21"/>
              </w:rPr>
            </w:pPr>
            <w:r>
              <w:rPr>
                <w:rFonts w:hint="eastAsia"/>
                <w:sz w:val="21"/>
                <w:szCs w:val="21"/>
              </w:rPr>
              <w:t>存在部位/场所</w:t>
            </w:r>
          </w:p>
        </w:tc>
      </w:tr>
      <w:tr w14:paraId="13B7B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6CFDEDED">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eastAsia" w:eastAsia="宋体"/>
                <w:sz w:val="21"/>
                <w:szCs w:val="21"/>
                <w:lang w:val="en-US" w:eastAsia="zh-CN"/>
              </w:rPr>
            </w:pPr>
            <w:r>
              <w:rPr>
                <w:rFonts w:hint="eastAsia"/>
                <w:sz w:val="21"/>
                <w:szCs w:val="21"/>
                <w:lang w:val="en-US" w:eastAsia="zh-CN"/>
              </w:rPr>
              <w:t>1</w:t>
            </w:r>
          </w:p>
        </w:tc>
        <w:tc>
          <w:tcPr>
            <w:tcW w:w="1359" w:type="dxa"/>
            <w:noWrap w:val="0"/>
            <w:vAlign w:val="center"/>
          </w:tcPr>
          <w:p w14:paraId="3C1348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sz w:val="21"/>
                <w:szCs w:val="21"/>
              </w:rPr>
            </w:pPr>
            <w:r>
              <w:rPr>
                <w:rFonts w:hint="eastAsia" w:ascii="宋体" w:hAnsi="宋体" w:eastAsia="宋体" w:cs="Times New Roman"/>
                <w:sz w:val="21"/>
                <w:szCs w:val="21"/>
              </w:rPr>
              <w:t>物体打击</w:t>
            </w:r>
          </w:p>
        </w:tc>
        <w:tc>
          <w:tcPr>
            <w:tcW w:w="5898" w:type="dxa"/>
            <w:noWrap w:val="0"/>
            <w:vAlign w:val="center"/>
          </w:tcPr>
          <w:p w14:paraId="675195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sz w:val="21"/>
                <w:szCs w:val="21"/>
                <w:lang w:val="en-US" w:eastAsia="zh-CN"/>
              </w:rPr>
            </w:pPr>
            <w:r>
              <w:rPr>
                <w:rFonts w:hint="eastAsia"/>
                <w:sz w:val="21"/>
                <w:szCs w:val="21"/>
                <w:lang w:val="en-US" w:eastAsia="zh-CN"/>
              </w:rPr>
              <w:t>高处的物体坠落、物料的转运过程中落下击中人员；设备安装、调试、检修时造成的物体打击</w:t>
            </w:r>
          </w:p>
        </w:tc>
      </w:tr>
      <w:tr w14:paraId="3BD67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1FA1B26F">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2</w:t>
            </w:r>
          </w:p>
        </w:tc>
        <w:tc>
          <w:tcPr>
            <w:tcW w:w="1359" w:type="dxa"/>
            <w:noWrap w:val="0"/>
            <w:vAlign w:val="center"/>
          </w:tcPr>
          <w:p w14:paraId="4117BF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sz w:val="21"/>
                <w:szCs w:val="21"/>
              </w:rPr>
            </w:pPr>
            <w:r>
              <w:rPr>
                <w:rFonts w:hint="eastAsia" w:ascii="宋体" w:hAnsi="宋体" w:eastAsia="宋体" w:cs="Times New Roman"/>
                <w:sz w:val="21"/>
                <w:szCs w:val="21"/>
              </w:rPr>
              <w:t>车辆伤害</w:t>
            </w:r>
          </w:p>
        </w:tc>
        <w:tc>
          <w:tcPr>
            <w:tcW w:w="5898" w:type="dxa"/>
            <w:noWrap w:val="0"/>
            <w:vAlign w:val="center"/>
          </w:tcPr>
          <w:p w14:paraId="4B8389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sz w:val="21"/>
                <w:szCs w:val="21"/>
                <w:lang w:val="en-US" w:eastAsia="zh-CN"/>
              </w:rPr>
            </w:pPr>
            <w:r>
              <w:rPr>
                <w:rFonts w:hint="eastAsia"/>
                <w:sz w:val="21"/>
                <w:szCs w:val="21"/>
                <w:lang w:val="en-US" w:eastAsia="zh-CN"/>
              </w:rPr>
              <w:t>汽车装卸场地、叉车转运物料</w:t>
            </w:r>
          </w:p>
        </w:tc>
      </w:tr>
      <w:tr w14:paraId="26814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4D6DA969">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3</w:t>
            </w:r>
          </w:p>
        </w:tc>
        <w:tc>
          <w:tcPr>
            <w:tcW w:w="1359" w:type="dxa"/>
            <w:noWrap w:val="0"/>
            <w:vAlign w:val="center"/>
          </w:tcPr>
          <w:p w14:paraId="34C279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sz w:val="21"/>
                <w:szCs w:val="21"/>
                <w:lang w:val="en-US" w:eastAsia="zh-CN"/>
              </w:rPr>
            </w:pPr>
            <w:r>
              <w:rPr>
                <w:rFonts w:hint="eastAsia" w:ascii="宋体" w:hAnsi="宋体" w:eastAsia="宋体" w:cs="Times New Roman"/>
                <w:sz w:val="21"/>
                <w:szCs w:val="21"/>
              </w:rPr>
              <w:t>机械伤害</w:t>
            </w:r>
          </w:p>
        </w:tc>
        <w:tc>
          <w:tcPr>
            <w:tcW w:w="5898" w:type="dxa"/>
            <w:noWrap w:val="0"/>
            <w:vAlign w:val="center"/>
          </w:tcPr>
          <w:p w14:paraId="065760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sz w:val="21"/>
                <w:szCs w:val="21"/>
                <w:lang w:val="en-US" w:eastAsia="zh-CN"/>
              </w:rPr>
            </w:pPr>
            <w:r>
              <w:rPr>
                <w:rFonts w:hint="eastAsia"/>
                <w:sz w:val="21"/>
                <w:szCs w:val="21"/>
                <w:lang w:val="en-US" w:eastAsia="zh-CN"/>
              </w:rPr>
              <w:t>生产车间作业场所的机械设备</w:t>
            </w:r>
          </w:p>
        </w:tc>
      </w:tr>
      <w:tr w14:paraId="4AF6F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34DC1383">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4</w:t>
            </w:r>
          </w:p>
        </w:tc>
        <w:tc>
          <w:tcPr>
            <w:tcW w:w="1359" w:type="dxa"/>
            <w:noWrap w:val="0"/>
            <w:vAlign w:val="center"/>
          </w:tcPr>
          <w:p w14:paraId="093889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eastAsia="宋体"/>
                <w:sz w:val="21"/>
                <w:szCs w:val="21"/>
                <w:lang w:val="en-US" w:eastAsia="zh-CN"/>
              </w:rPr>
            </w:pPr>
            <w:r>
              <w:rPr>
                <w:rFonts w:hint="eastAsia"/>
                <w:sz w:val="21"/>
                <w:szCs w:val="21"/>
                <w:lang w:val="en-US" w:eastAsia="zh-CN"/>
              </w:rPr>
              <w:t>起重伤害</w:t>
            </w:r>
          </w:p>
        </w:tc>
        <w:tc>
          <w:tcPr>
            <w:tcW w:w="5898" w:type="dxa"/>
            <w:noWrap w:val="0"/>
            <w:vAlign w:val="center"/>
          </w:tcPr>
          <w:p w14:paraId="482FE8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sz w:val="21"/>
                <w:szCs w:val="21"/>
                <w:lang w:val="en-US" w:eastAsia="zh-CN"/>
              </w:rPr>
            </w:pPr>
            <w:r>
              <w:rPr>
                <w:rFonts w:hint="eastAsia"/>
                <w:sz w:val="21"/>
                <w:szCs w:val="21"/>
                <w:lang w:val="en-US" w:eastAsia="zh-CN"/>
              </w:rPr>
              <w:t>起重机械</w:t>
            </w:r>
          </w:p>
        </w:tc>
      </w:tr>
      <w:tr w14:paraId="2B200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22542707">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5</w:t>
            </w:r>
          </w:p>
        </w:tc>
        <w:tc>
          <w:tcPr>
            <w:tcW w:w="1359" w:type="dxa"/>
            <w:noWrap w:val="0"/>
            <w:vAlign w:val="center"/>
          </w:tcPr>
          <w:p w14:paraId="7E8510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kern w:val="2"/>
                <w:sz w:val="21"/>
                <w:szCs w:val="21"/>
                <w:lang w:val="en-US" w:eastAsia="zh-CN" w:bidi="ar-SA"/>
              </w:rPr>
            </w:pPr>
            <w:r>
              <w:rPr>
                <w:rFonts w:hint="eastAsia"/>
                <w:sz w:val="21"/>
                <w:szCs w:val="21"/>
              </w:rPr>
              <w:t>触电</w:t>
            </w:r>
          </w:p>
        </w:tc>
        <w:tc>
          <w:tcPr>
            <w:tcW w:w="5898" w:type="dxa"/>
            <w:noWrap w:val="0"/>
            <w:vAlign w:val="center"/>
          </w:tcPr>
          <w:p w14:paraId="609B5C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sz w:val="21"/>
                <w:szCs w:val="21"/>
                <w:lang w:val="en-US" w:eastAsia="zh-CN"/>
              </w:rPr>
            </w:pPr>
            <w:r>
              <w:rPr>
                <w:rFonts w:hint="eastAsia"/>
                <w:sz w:val="21"/>
                <w:szCs w:val="21"/>
                <w:lang w:val="en-US" w:eastAsia="zh-CN"/>
              </w:rPr>
              <w:t>各用电场所的电气设备、变电站、配电室、雷击引起的触电</w:t>
            </w:r>
          </w:p>
        </w:tc>
      </w:tr>
      <w:tr w14:paraId="7330F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76706EC0">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6</w:t>
            </w:r>
          </w:p>
        </w:tc>
        <w:tc>
          <w:tcPr>
            <w:tcW w:w="1359" w:type="dxa"/>
            <w:noWrap w:val="0"/>
            <w:vAlign w:val="center"/>
          </w:tcPr>
          <w:p w14:paraId="0CAB1F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kern w:val="2"/>
                <w:sz w:val="21"/>
                <w:szCs w:val="21"/>
                <w:lang w:val="en-US" w:eastAsia="zh-CN" w:bidi="ar-SA"/>
              </w:rPr>
            </w:pPr>
            <w:r>
              <w:rPr>
                <w:rFonts w:hint="eastAsia"/>
                <w:sz w:val="21"/>
                <w:szCs w:val="21"/>
              </w:rPr>
              <w:t>淹溺</w:t>
            </w:r>
          </w:p>
        </w:tc>
        <w:tc>
          <w:tcPr>
            <w:tcW w:w="5898" w:type="dxa"/>
            <w:noWrap w:val="0"/>
            <w:vAlign w:val="center"/>
          </w:tcPr>
          <w:p w14:paraId="35AE23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sz w:val="21"/>
                <w:szCs w:val="21"/>
                <w:lang w:val="en-US" w:eastAsia="zh-CN"/>
              </w:rPr>
            </w:pPr>
            <w:r>
              <w:rPr>
                <w:rFonts w:hint="eastAsia"/>
                <w:sz w:val="21"/>
                <w:szCs w:val="21"/>
                <w:lang w:val="en-US" w:eastAsia="zh-CN"/>
              </w:rPr>
              <w:t>循环水池、冷却池</w:t>
            </w:r>
          </w:p>
        </w:tc>
      </w:tr>
      <w:tr w14:paraId="5E590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47142463">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7</w:t>
            </w:r>
          </w:p>
        </w:tc>
        <w:tc>
          <w:tcPr>
            <w:tcW w:w="1359" w:type="dxa"/>
            <w:noWrap w:val="0"/>
            <w:vAlign w:val="center"/>
          </w:tcPr>
          <w:p w14:paraId="4707EC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灼烫</w:t>
            </w:r>
          </w:p>
        </w:tc>
        <w:tc>
          <w:tcPr>
            <w:tcW w:w="5898" w:type="dxa"/>
            <w:noWrap w:val="0"/>
            <w:vAlign w:val="center"/>
          </w:tcPr>
          <w:p w14:paraId="593BE4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sz w:val="21"/>
                <w:szCs w:val="21"/>
                <w:lang w:val="en-US" w:eastAsia="zh-CN"/>
              </w:rPr>
            </w:pPr>
            <w:r>
              <w:rPr>
                <w:rFonts w:hint="eastAsia"/>
                <w:sz w:val="21"/>
                <w:szCs w:val="21"/>
                <w:lang w:val="en-US" w:eastAsia="zh-CN"/>
              </w:rPr>
              <w:t>化验室、电弧炉</w:t>
            </w:r>
          </w:p>
        </w:tc>
      </w:tr>
      <w:tr w14:paraId="5A5C6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00D03388">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8</w:t>
            </w:r>
          </w:p>
        </w:tc>
        <w:tc>
          <w:tcPr>
            <w:tcW w:w="1359" w:type="dxa"/>
            <w:noWrap w:val="0"/>
            <w:vAlign w:val="center"/>
          </w:tcPr>
          <w:p w14:paraId="3FB13D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sz w:val="21"/>
                <w:szCs w:val="21"/>
                <w:lang w:val="en-US" w:eastAsia="zh-CN"/>
              </w:rPr>
            </w:pPr>
            <w:r>
              <w:rPr>
                <w:rFonts w:hint="eastAsia" w:ascii="宋体" w:hAnsi="宋体" w:eastAsia="宋体" w:cs="Times New Roman"/>
                <w:sz w:val="21"/>
                <w:szCs w:val="21"/>
              </w:rPr>
              <w:t>火灾</w:t>
            </w:r>
          </w:p>
        </w:tc>
        <w:tc>
          <w:tcPr>
            <w:tcW w:w="5898" w:type="dxa"/>
            <w:noWrap w:val="0"/>
            <w:vAlign w:val="center"/>
          </w:tcPr>
          <w:p w14:paraId="446384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Times New Roman"/>
                <w:kern w:val="2"/>
                <w:sz w:val="21"/>
                <w:szCs w:val="21"/>
                <w:lang w:val="en-US" w:eastAsia="zh-CN" w:bidi="ar-SA"/>
              </w:rPr>
            </w:pPr>
            <w:r>
              <w:rPr>
                <w:rFonts w:hint="eastAsia"/>
                <w:sz w:val="21"/>
                <w:szCs w:val="21"/>
              </w:rPr>
              <w:t>包装材料等物料的储存场所；电气火灾</w:t>
            </w:r>
            <w:r>
              <w:rPr>
                <w:rFonts w:hint="eastAsia"/>
                <w:sz w:val="21"/>
                <w:szCs w:val="21"/>
                <w:lang w:eastAsia="zh-CN"/>
              </w:rPr>
              <w:t>；</w:t>
            </w:r>
            <w:r>
              <w:rPr>
                <w:rFonts w:hint="eastAsia"/>
                <w:sz w:val="21"/>
                <w:szCs w:val="21"/>
                <w:lang w:val="en-US" w:eastAsia="zh-CN"/>
              </w:rPr>
              <w:t>动火作业场所；配电室；变电站</w:t>
            </w:r>
          </w:p>
        </w:tc>
      </w:tr>
      <w:tr w14:paraId="321E0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72D27BF2">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9</w:t>
            </w:r>
          </w:p>
        </w:tc>
        <w:tc>
          <w:tcPr>
            <w:tcW w:w="1359" w:type="dxa"/>
            <w:noWrap w:val="0"/>
            <w:vAlign w:val="center"/>
          </w:tcPr>
          <w:p w14:paraId="63B297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高处坠落</w:t>
            </w:r>
          </w:p>
        </w:tc>
        <w:tc>
          <w:tcPr>
            <w:tcW w:w="5898" w:type="dxa"/>
            <w:noWrap w:val="0"/>
            <w:vAlign w:val="center"/>
          </w:tcPr>
          <w:p w14:paraId="5ACC20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Times New Roman"/>
                <w:sz w:val="21"/>
                <w:szCs w:val="21"/>
              </w:rPr>
            </w:pPr>
            <w:r>
              <w:rPr>
                <w:rFonts w:hint="eastAsia" w:ascii="宋体" w:hAnsi="宋体" w:eastAsia="宋体" w:cs="Times New Roman"/>
                <w:sz w:val="21"/>
                <w:szCs w:val="21"/>
              </w:rPr>
              <w:t>在2m以上高度（含2m）作业过程</w:t>
            </w:r>
          </w:p>
        </w:tc>
      </w:tr>
      <w:tr w14:paraId="759B8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4FFB4F9F">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10</w:t>
            </w:r>
          </w:p>
        </w:tc>
        <w:tc>
          <w:tcPr>
            <w:tcW w:w="1359" w:type="dxa"/>
            <w:noWrap w:val="0"/>
            <w:vAlign w:val="center"/>
          </w:tcPr>
          <w:p w14:paraId="0E3C15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坍塌</w:t>
            </w:r>
          </w:p>
        </w:tc>
        <w:tc>
          <w:tcPr>
            <w:tcW w:w="5898" w:type="dxa"/>
            <w:noWrap w:val="0"/>
            <w:vAlign w:val="center"/>
          </w:tcPr>
          <w:p w14:paraId="36AF43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rPr>
              <w:t>原料、成品堆放场所，建构筑物</w:t>
            </w:r>
          </w:p>
        </w:tc>
      </w:tr>
      <w:tr w14:paraId="0BB9C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208EE98A">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11</w:t>
            </w:r>
          </w:p>
        </w:tc>
        <w:tc>
          <w:tcPr>
            <w:tcW w:w="1359" w:type="dxa"/>
            <w:noWrap w:val="0"/>
            <w:vAlign w:val="center"/>
          </w:tcPr>
          <w:p w14:paraId="528C40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kern w:val="2"/>
                <w:sz w:val="21"/>
                <w:szCs w:val="21"/>
                <w:lang w:val="en-US" w:eastAsia="zh-CN" w:bidi="ar-SA"/>
              </w:rPr>
            </w:pPr>
            <w:r>
              <w:rPr>
                <w:rFonts w:hint="eastAsia"/>
                <w:sz w:val="21"/>
                <w:szCs w:val="21"/>
              </w:rPr>
              <w:t>容器爆炸</w:t>
            </w:r>
          </w:p>
        </w:tc>
        <w:tc>
          <w:tcPr>
            <w:tcW w:w="5898" w:type="dxa"/>
            <w:noWrap w:val="0"/>
            <w:vAlign w:val="center"/>
          </w:tcPr>
          <w:p w14:paraId="39E5C8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Times New Roman"/>
                <w:kern w:val="2"/>
                <w:sz w:val="21"/>
                <w:szCs w:val="21"/>
                <w:lang w:val="en-US" w:eastAsia="zh-CN" w:bidi="ar-SA"/>
              </w:rPr>
            </w:pPr>
            <w:r>
              <w:rPr>
                <w:rFonts w:hint="eastAsia"/>
                <w:sz w:val="21"/>
                <w:szCs w:val="21"/>
              </w:rPr>
              <w:t>压缩空气储罐</w:t>
            </w:r>
          </w:p>
        </w:tc>
      </w:tr>
      <w:tr w14:paraId="4D636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0F0CD854">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12</w:t>
            </w:r>
          </w:p>
        </w:tc>
        <w:tc>
          <w:tcPr>
            <w:tcW w:w="1359" w:type="dxa"/>
            <w:noWrap w:val="0"/>
            <w:vAlign w:val="center"/>
          </w:tcPr>
          <w:p w14:paraId="179AEF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sz w:val="21"/>
                <w:szCs w:val="21"/>
              </w:rPr>
            </w:pPr>
            <w:r>
              <w:rPr>
                <w:rFonts w:hint="eastAsia" w:ascii="宋体" w:hAnsi="宋体" w:eastAsia="宋体" w:cs="Times New Roman"/>
                <w:sz w:val="21"/>
                <w:szCs w:val="21"/>
              </w:rPr>
              <w:t>中毒</w:t>
            </w:r>
            <w:r>
              <w:rPr>
                <w:rFonts w:hint="eastAsia" w:ascii="宋体" w:hAnsi="宋体" w:eastAsia="宋体" w:cs="Times New Roman"/>
                <w:sz w:val="21"/>
                <w:szCs w:val="21"/>
                <w:lang w:val="en-US" w:eastAsia="zh-CN"/>
              </w:rPr>
              <w:t>和</w:t>
            </w:r>
            <w:r>
              <w:rPr>
                <w:rFonts w:hint="eastAsia" w:ascii="宋体" w:hAnsi="宋体" w:eastAsia="宋体" w:cs="Times New Roman"/>
                <w:sz w:val="21"/>
                <w:szCs w:val="21"/>
              </w:rPr>
              <w:t>窒息</w:t>
            </w:r>
          </w:p>
        </w:tc>
        <w:tc>
          <w:tcPr>
            <w:tcW w:w="5898" w:type="dxa"/>
            <w:noWrap w:val="0"/>
            <w:vAlign w:val="center"/>
          </w:tcPr>
          <w:p w14:paraId="5DBA26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eastAsia="宋体"/>
                <w:sz w:val="21"/>
                <w:szCs w:val="21"/>
                <w:lang w:val="en-US" w:eastAsia="zh-CN"/>
              </w:rPr>
            </w:pPr>
            <w:r>
              <w:rPr>
                <w:rFonts w:hint="eastAsia"/>
                <w:sz w:val="21"/>
                <w:szCs w:val="21"/>
                <w:lang w:val="en-US" w:eastAsia="zh-CN"/>
              </w:rPr>
              <w:t>有限空间、电弧炉控制室、电弧炉周边有CO溢出的区域</w:t>
            </w:r>
          </w:p>
        </w:tc>
      </w:tr>
      <w:tr w14:paraId="75126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2E02C174">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13</w:t>
            </w:r>
          </w:p>
        </w:tc>
        <w:tc>
          <w:tcPr>
            <w:tcW w:w="1359" w:type="dxa"/>
            <w:noWrap w:val="0"/>
            <w:vAlign w:val="center"/>
          </w:tcPr>
          <w:p w14:paraId="26CC0C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eastAsia="宋体"/>
                <w:sz w:val="21"/>
                <w:szCs w:val="21"/>
                <w:lang w:val="en-US" w:eastAsia="zh-CN"/>
              </w:rPr>
            </w:pPr>
            <w:r>
              <w:rPr>
                <w:rFonts w:hint="eastAsia" w:ascii="宋体" w:hAnsi="宋体" w:eastAsia="宋体" w:cs="Times New Roman"/>
                <w:sz w:val="21"/>
                <w:szCs w:val="21"/>
                <w:lang w:val="en-US" w:eastAsia="zh-CN"/>
              </w:rPr>
              <w:t>其他爆炸</w:t>
            </w:r>
          </w:p>
        </w:tc>
        <w:tc>
          <w:tcPr>
            <w:tcW w:w="5898" w:type="dxa"/>
            <w:noWrap w:val="0"/>
            <w:vAlign w:val="center"/>
          </w:tcPr>
          <w:p w14:paraId="3E5B57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eastAsia="宋体"/>
                <w:sz w:val="21"/>
                <w:szCs w:val="21"/>
                <w:lang w:val="en-US" w:eastAsia="zh-CN"/>
              </w:rPr>
            </w:pPr>
            <w:r>
              <w:rPr>
                <w:rFonts w:hint="eastAsia"/>
                <w:sz w:val="21"/>
                <w:szCs w:val="21"/>
                <w:lang w:val="en-US" w:eastAsia="zh-CN"/>
              </w:rPr>
              <w:t>电弧炉、气瓶</w:t>
            </w:r>
          </w:p>
        </w:tc>
      </w:tr>
      <w:tr w14:paraId="2B2BD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45" w:type="dxa"/>
            <w:noWrap w:val="0"/>
            <w:vAlign w:val="center"/>
          </w:tcPr>
          <w:p w14:paraId="4DFF1C44">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14</w:t>
            </w:r>
          </w:p>
        </w:tc>
        <w:tc>
          <w:tcPr>
            <w:tcW w:w="1359" w:type="dxa"/>
            <w:noWrap w:val="0"/>
            <w:vAlign w:val="center"/>
          </w:tcPr>
          <w:p w14:paraId="67B3D6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kern w:val="2"/>
                <w:sz w:val="21"/>
                <w:szCs w:val="21"/>
                <w:lang w:val="en-US" w:eastAsia="zh-CN" w:bidi="ar-SA"/>
              </w:rPr>
            </w:pPr>
            <w:r>
              <w:rPr>
                <w:rFonts w:hint="eastAsia"/>
                <w:sz w:val="21"/>
                <w:szCs w:val="21"/>
              </w:rPr>
              <w:t>其它伤害</w:t>
            </w:r>
          </w:p>
        </w:tc>
        <w:tc>
          <w:tcPr>
            <w:tcW w:w="5898" w:type="dxa"/>
            <w:noWrap w:val="0"/>
            <w:vAlign w:val="center"/>
          </w:tcPr>
          <w:p w14:paraId="237208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eastAsia="宋体"/>
                <w:sz w:val="21"/>
                <w:szCs w:val="21"/>
                <w:lang w:val="en-US" w:eastAsia="zh-CN"/>
              </w:rPr>
            </w:pPr>
            <w:r>
              <w:rPr>
                <w:rFonts w:hint="eastAsia"/>
                <w:sz w:val="21"/>
                <w:szCs w:val="21"/>
              </w:rPr>
              <w:t>①噪声、振动</w:t>
            </w:r>
            <w:r>
              <w:rPr>
                <w:rFonts w:hint="eastAsia"/>
                <w:sz w:val="21"/>
                <w:szCs w:val="21"/>
                <w:lang w:eastAsia="zh-CN"/>
              </w:rPr>
              <w:t>、</w:t>
            </w:r>
            <w:r>
              <w:rPr>
                <w:rFonts w:hint="eastAsia"/>
                <w:sz w:val="21"/>
                <w:szCs w:val="21"/>
                <w:lang w:val="en-US" w:eastAsia="zh-CN"/>
              </w:rPr>
              <w:t>粉尘</w:t>
            </w:r>
            <w:r>
              <w:rPr>
                <w:rFonts w:hint="eastAsia"/>
                <w:sz w:val="21"/>
                <w:szCs w:val="21"/>
              </w:rPr>
              <w:t>：各生产设备、空压机</w:t>
            </w:r>
            <w:r>
              <w:rPr>
                <w:rFonts w:hint="eastAsia"/>
                <w:sz w:val="21"/>
                <w:szCs w:val="21"/>
                <w:lang w:eastAsia="zh-CN"/>
              </w:rPr>
              <w:t>、</w:t>
            </w:r>
            <w:r>
              <w:rPr>
                <w:rFonts w:hint="eastAsia"/>
                <w:sz w:val="21"/>
                <w:szCs w:val="21"/>
                <w:lang w:val="en-US" w:eastAsia="zh-CN"/>
              </w:rPr>
              <w:t>除尘器</w:t>
            </w:r>
            <w:r>
              <w:rPr>
                <w:rFonts w:hint="eastAsia"/>
                <w:sz w:val="21"/>
                <w:szCs w:val="21"/>
              </w:rPr>
              <w:t>等设备</w:t>
            </w:r>
          </w:p>
          <w:p w14:paraId="001C26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Times New Roman"/>
                <w:kern w:val="2"/>
                <w:sz w:val="21"/>
                <w:szCs w:val="21"/>
                <w:lang w:val="en-US" w:eastAsia="zh-CN" w:bidi="ar-SA"/>
              </w:rPr>
            </w:pPr>
            <w:r>
              <w:rPr>
                <w:rFonts w:hint="eastAsia"/>
                <w:sz w:val="21"/>
                <w:szCs w:val="21"/>
              </w:rPr>
              <w:t>②</w:t>
            </w:r>
            <w:r>
              <w:rPr>
                <w:rFonts w:hint="eastAsia"/>
                <w:sz w:val="21"/>
                <w:szCs w:val="21"/>
                <w:lang w:val="en-US" w:eastAsia="zh-CN"/>
              </w:rPr>
              <w:t>电磁辐射：电弧炉、配电室</w:t>
            </w:r>
          </w:p>
        </w:tc>
      </w:tr>
    </w:tbl>
    <w:p w14:paraId="62A6CC7E">
      <w:pPr>
        <w:pStyle w:val="3"/>
        <w:keepNext w:val="0"/>
        <w:keepLines w:val="0"/>
        <w:pageBreakBefore w:val="0"/>
        <w:widowControl w:val="0"/>
        <w:kinsoku/>
        <w:bidi w:val="0"/>
        <w:rPr>
          <w:rFonts w:hint="eastAsia"/>
        </w:rPr>
      </w:pPr>
      <w:bookmarkStart w:id="866" w:name="_Toc18874"/>
      <w:r>
        <w:rPr>
          <w:rFonts w:hint="eastAsia"/>
        </w:rPr>
        <w:t>事故案例</w:t>
      </w:r>
      <w:bookmarkEnd w:id="866"/>
    </w:p>
    <w:p w14:paraId="0C07EA50">
      <w:pPr>
        <w:pStyle w:val="4"/>
        <w:keepNext w:val="0"/>
        <w:keepLines w:val="0"/>
        <w:pageBreakBefore w:val="0"/>
        <w:widowControl w:val="0"/>
        <w:kinsoku/>
        <w:bidi w:val="0"/>
        <w:rPr>
          <w:rFonts w:hint="eastAsia"/>
          <w:lang w:val="en-US" w:eastAsia="zh-CN"/>
        </w:rPr>
      </w:pPr>
      <w:bookmarkStart w:id="867" w:name="_Toc31745"/>
      <w:bookmarkEnd w:id="867"/>
      <w:bookmarkStart w:id="868" w:name="_Toc22658"/>
      <w:r>
        <w:rPr>
          <w:rFonts w:hint="eastAsia"/>
          <w:lang w:val="en-US" w:eastAsia="zh-CN"/>
        </w:rPr>
        <w:t>惠东县华业铸造厂“2·18”电弧炉爆炸较大事故</w:t>
      </w:r>
      <w:bookmarkEnd w:id="868"/>
    </w:p>
    <w:p w14:paraId="0FA89E65">
      <w:pPr>
        <w:keepNext w:val="0"/>
        <w:keepLines w:val="0"/>
        <w:pageBreakBefore w:val="0"/>
        <w:widowControl w:val="0"/>
        <w:kinsoku/>
        <w:wordWrap/>
        <w:overflowPunct/>
        <w:topLinePunct w:val="0"/>
        <w:autoSpaceDE/>
        <w:autoSpaceDN/>
        <w:bidi w:val="0"/>
        <w:adjustRightInd/>
        <w:snapToGrid/>
        <w:ind w:left="0"/>
        <w:textAlignment w:val="auto"/>
        <w:rPr>
          <w:rFonts w:hint="eastAsia" w:ascii="宋体" w:hAnsi="宋体" w:eastAsia="宋体" w:cs="宋体"/>
          <w:sz w:val="28"/>
          <w:szCs w:val="28"/>
        </w:rPr>
      </w:pPr>
      <w:bookmarkStart w:id="869" w:name="_Toc19477"/>
      <w:r>
        <w:rPr>
          <w:rFonts w:hint="eastAsia" w:ascii="宋体" w:hAnsi="宋体" w:eastAsia="宋体" w:cs="宋体"/>
          <w:sz w:val="28"/>
          <w:szCs w:val="28"/>
        </w:rPr>
        <w:t>2022年2月18日10时23分许，位于惠东县多祝镇三角长鸡洪自然村的惠东县华业铸造厂炼钢车间2号电弧炉发生爆炸，造成3人死亡、2人重伤、13人轻微伤，直接经济损失890.67万元。</w:t>
      </w:r>
    </w:p>
    <w:p w14:paraId="6C7331AB">
      <w:pPr>
        <w:keepNext w:val="0"/>
        <w:keepLines w:val="0"/>
        <w:pageBreakBefore w:val="0"/>
        <w:widowControl w:val="0"/>
        <w:numPr>
          <w:ilvl w:val="0"/>
          <w:numId w:val="85"/>
        </w:numPr>
        <w:kinsoku/>
        <w:wordWrap/>
        <w:overflowPunct/>
        <w:topLinePunct w:val="0"/>
        <w:autoSpaceDE/>
        <w:autoSpaceDN/>
        <w:bidi w:val="0"/>
        <w:adjustRightInd/>
        <w:snapToGrid/>
        <w:ind w:left="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事故发生经过</w:t>
      </w:r>
    </w:p>
    <w:p w14:paraId="76A6FF4D">
      <w:pPr>
        <w:keepNext w:val="0"/>
        <w:keepLines w:val="0"/>
        <w:pageBreakBefore w:val="0"/>
        <w:widowControl w:val="0"/>
        <w:numPr>
          <w:ilvl w:val="0"/>
          <w:numId w:val="0"/>
        </w:numPr>
        <w:kinsoku/>
        <w:wordWrap/>
        <w:overflowPunct/>
        <w:topLinePunct w:val="0"/>
        <w:autoSpaceDE/>
        <w:autoSpaceDN/>
        <w:bidi w:val="0"/>
        <w:adjustRightInd/>
        <w:snapToGrid/>
        <w:ind w:lef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2022年1月7日至2月12日惠东县华业铸造厂（以下简称“华业铸造厂”）处于春节停产状态，2022年2月13日复工复产。</w:t>
      </w:r>
    </w:p>
    <w:p w14:paraId="25DBBFDA">
      <w:pPr>
        <w:keepNext w:val="0"/>
        <w:keepLines w:val="0"/>
        <w:pageBreakBefore w:val="0"/>
        <w:widowControl w:val="0"/>
        <w:numPr>
          <w:ilvl w:val="0"/>
          <w:numId w:val="0"/>
        </w:numPr>
        <w:kinsoku/>
        <w:wordWrap/>
        <w:overflowPunct/>
        <w:topLinePunct w:val="0"/>
        <w:autoSpaceDE/>
        <w:autoSpaceDN/>
        <w:bidi w:val="0"/>
        <w:adjustRightInd/>
        <w:snapToGrid/>
        <w:ind w:lef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月18日上午7时30分交班后，7时32分至8时26分，炼钢车间2号电弧炉冶炼完第一炉钢。9时08分，2号电弧炉冶炼完第二炉钢。出钢水时，当班炉长杨大磊在炉门口观察发现异常，怀疑炉中有漏水，遂立即将情况报告车间主任熊海军。熊海军接到报告后，赶到炉门口查看，发现2号炉壁纯氧枪枪头有不明显漏水情况，随即通知当班调度刘绍顺停用2号炉壁纯氧枪，并决定在冶炼第三炉钢后更换炉壁纯氧枪。期间，刘绍顺派人关闭了2号炉壁纯氧枪冷却水与氧气阀门，并通知电钳工班长黄沙做好氧枪更换准备工作，黄沙通知钳工蓝福才去仓库领取备用炉壁纯氧枪。</w:t>
      </w:r>
    </w:p>
    <w:p w14:paraId="3501ED5B">
      <w:pPr>
        <w:keepNext w:val="0"/>
        <w:keepLines w:val="0"/>
        <w:pageBreakBefore w:val="0"/>
        <w:widowControl w:val="0"/>
        <w:numPr>
          <w:ilvl w:val="0"/>
          <w:numId w:val="0"/>
        </w:numPr>
        <w:kinsoku/>
        <w:wordWrap/>
        <w:overflowPunct/>
        <w:topLinePunct w:val="0"/>
        <w:autoSpaceDE/>
        <w:autoSpaceDN/>
        <w:bidi w:val="0"/>
        <w:adjustRightInd/>
        <w:snapToGrid/>
        <w:ind w:lef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9时28分，开始2号电弧炉第三炉钢冶炼。</w:t>
      </w:r>
    </w:p>
    <w:p w14:paraId="455301CC">
      <w:pPr>
        <w:keepNext w:val="0"/>
        <w:keepLines w:val="0"/>
        <w:pageBreakBefore w:val="0"/>
        <w:widowControl w:val="0"/>
        <w:numPr>
          <w:ilvl w:val="0"/>
          <w:numId w:val="0"/>
        </w:numPr>
        <w:kinsoku/>
        <w:wordWrap/>
        <w:overflowPunct/>
        <w:topLinePunct w:val="0"/>
        <w:autoSpaceDE/>
        <w:autoSpaceDN/>
        <w:bidi w:val="0"/>
        <w:adjustRightInd/>
        <w:snapToGrid/>
        <w:ind w:lef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9时30分许，蓝福才从仓库领取3支炉壁纯氧枪（炉壁纯氧枪型号：∅114mm；1支更换，2支备用），并送至电弧炉区域。</w:t>
      </w:r>
    </w:p>
    <w:p w14:paraId="013860DC">
      <w:pPr>
        <w:keepNext w:val="0"/>
        <w:keepLines w:val="0"/>
        <w:pageBreakBefore w:val="0"/>
        <w:widowControl w:val="0"/>
        <w:numPr>
          <w:ilvl w:val="0"/>
          <w:numId w:val="0"/>
        </w:numPr>
        <w:kinsoku/>
        <w:wordWrap/>
        <w:overflowPunct/>
        <w:topLinePunct w:val="0"/>
        <w:autoSpaceDE/>
        <w:autoSpaceDN/>
        <w:bidi w:val="0"/>
        <w:adjustRightInd/>
        <w:snapToGrid/>
        <w:ind w:lef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10时00分，第三炉钢测温为1594摄氏度，倾动炉体出钢水。</w:t>
      </w:r>
    </w:p>
    <w:p w14:paraId="6FDCF9A4">
      <w:pPr>
        <w:keepNext w:val="0"/>
        <w:keepLines w:val="0"/>
        <w:pageBreakBefore w:val="0"/>
        <w:widowControl w:val="0"/>
        <w:numPr>
          <w:ilvl w:val="0"/>
          <w:numId w:val="0"/>
        </w:numPr>
        <w:kinsoku/>
        <w:wordWrap/>
        <w:overflowPunct/>
        <w:topLinePunct w:val="0"/>
        <w:autoSpaceDE/>
        <w:autoSpaceDN/>
        <w:bidi w:val="0"/>
        <w:adjustRightInd/>
        <w:snapToGrid/>
        <w:ind w:lef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10时02分，第三炉出钢后，炉中余留钢水约49.4吨，电钳工班开始更换2号炉壁纯氧枪。黄沙与钳工朱世龙拆下损坏的炉壁纯氧枪（炉壁纯氧枪因冷却水关闭被烧坏变短，拆卸耗时较短）。10时04分许，黄沙与朱世龙将新炉壁纯氧枪焊接固定后，连接原冷却水金属软管时发现其已损坏无法使用，于是朱世龙去仓库领取新冷却水金属软管。期间，新炉壁纯氧枪在无冷却水循环降温情况下置于炉中高温钢水上方烘烤。10时08分许，朱世龙在仓库领出新的冷却水金属软管。10时13分许，朱世龙将新的冷却水金属软管送到现场并开始安装。</w:t>
      </w:r>
    </w:p>
    <w:p w14:paraId="1DE2AD6D">
      <w:pPr>
        <w:keepNext w:val="0"/>
        <w:keepLines w:val="0"/>
        <w:pageBreakBefore w:val="0"/>
        <w:widowControl w:val="0"/>
        <w:numPr>
          <w:ilvl w:val="0"/>
          <w:numId w:val="0"/>
        </w:numPr>
        <w:kinsoku/>
        <w:wordWrap/>
        <w:overflowPunct/>
        <w:topLinePunct w:val="0"/>
        <w:autoSpaceDE/>
        <w:autoSpaceDN/>
        <w:bidi w:val="0"/>
        <w:adjustRightInd/>
        <w:snapToGrid/>
        <w:ind w:lef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10时23分许，新炉壁纯氧枪冷却水金属软管连接完成（此时新安装的炉壁纯氧枪一直被炉内约49.4吨1500余摄氏度的高温钢水烘烤约19分钟，炉壁纯氧枪铜质喷头与钢管连接部分的强度性能下降）。朱世龙随即打开2号炉壁纯氧枪进、回冷却水阀门，冷却水在枪身高温状态下快速汽化形成蒸汽压力，并与原冷却水压力（0.6兆帕）相互叠加形成合力，炉壁纯氧枪无缝钢管10靠近铜质喷头处在压力作用下发生爆裂（裂缝尺寸为40mm×4mm），同时铜质喷头脱离枪身并与冷却水先后高速喷射进入高温钢水内部，与高温钢水相遇，冷却水急剧汽化膨胀引起电弧炉中初始爆炸，炉体相关水冷件被爆炸损坏，导致大量冷却水进入炉内引发二次爆炸。</w:t>
      </w:r>
    </w:p>
    <w:p w14:paraId="7EEF5BA3">
      <w:pPr>
        <w:keepNext w:val="0"/>
        <w:keepLines w:val="0"/>
        <w:pageBreakBefore w:val="0"/>
        <w:widowControl w:val="0"/>
        <w:numPr>
          <w:ilvl w:val="0"/>
          <w:numId w:val="85"/>
        </w:numPr>
        <w:kinsoku/>
        <w:wordWrap/>
        <w:overflowPunct/>
        <w:topLinePunct w:val="0"/>
        <w:autoSpaceDE/>
        <w:autoSpaceDN/>
        <w:bidi w:val="0"/>
        <w:adjustRightInd/>
        <w:snapToGrid/>
        <w:ind w:left="0" w:leftChars="0" w:firstLine="562" w:firstLineChars="200"/>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事故应急处置情况</w:t>
      </w:r>
    </w:p>
    <w:p w14:paraId="58B7624B">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月18日10时23分许，华业铸造厂炼钢车间电弧炉爆炸。华业铸造厂总经理金敬良带领公司有关负责人先后到达事故现场组织救援。行政部负责人组织厂内人员、车辆将涉事伤员陆续送往惠东县第三人民医院救治，炼钢车间负责人同时排查车间隐患，采取断水、断电、断气等措施，全厂逐步停止生产，疏散员工，拉警戒线，保护现场，以防范次生、衍生事故。</w:t>
      </w:r>
    </w:p>
    <w:p w14:paraId="795B631C">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市、县医疗系统紧急调度医疗救护力量实施救援。刘绍顺、朱世龙、杨大磊分别于当日11时25分、11时35分和11时39分经抢救无效，被宣告临床死亡。</w:t>
      </w:r>
    </w:p>
    <w:p w14:paraId="5BA64E55">
      <w:pPr>
        <w:keepNext w:val="0"/>
        <w:keepLines w:val="0"/>
        <w:pageBreakBefore w:val="0"/>
        <w:widowControl w:val="0"/>
        <w:numPr>
          <w:ilvl w:val="0"/>
          <w:numId w:val="85"/>
        </w:numPr>
        <w:kinsoku/>
        <w:wordWrap/>
        <w:overflowPunct/>
        <w:topLinePunct w:val="0"/>
        <w:autoSpaceDE/>
        <w:autoSpaceDN/>
        <w:bidi w:val="0"/>
        <w:adjustRightInd/>
        <w:snapToGrid/>
        <w:ind w:left="0" w:leftChars="0" w:firstLine="562" w:firstLineChars="200"/>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事故信息报送核查情况</w:t>
      </w:r>
    </w:p>
    <w:p w14:paraId="2B5899A8">
      <w:pPr>
        <w:keepNext w:val="0"/>
        <w:keepLines w:val="0"/>
        <w:pageBreakBefore w:val="0"/>
        <w:widowControl w:val="0"/>
        <w:numPr>
          <w:ilvl w:val="0"/>
          <w:numId w:val="86"/>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事故信息处置情况</w:t>
      </w:r>
    </w:p>
    <w:p w14:paraId="2B826E3A">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华业铸造厂获悉事故造成3人死亡情况后，仍向惠东县应急管理局报告仅有2人受伤，不如实报告事故伤亡情况，存在谎报行为。</w:t>
      </w:r>
    </w:p>
    <w:p w14:paraId="799749AA">
      <w:pPr>
        <w:keepNext w:val="0"/>
        <w:keepLines w:val="0"/>
        <w:pageBreakBefore w:val="0"/>
        <w:widowControl w:val="0"/>
        <w:numPr>
          <w:ilvl w:val="0"/>
          <w:numId w:val="86"/>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删除事故现场监控视频的情况</w:t>
      </w:r>
    </w:p>
    <w:p w14:paraId="637CE8B2">
      <w:pPr>
        <w:keepNext w:val="0"/>
        <w:keepLines w:val="0"/>
        <w:pageBreakBefore w:val="0"/>
        <w:widowControl w:val="0"/>
        <w:kinsoku/>
        <w:wordWrap/>
        <w:overflowPunct/>
        <w:topLinePunct w:val="0"/>
        <w:autoSpaceDE/>
        <w:autoSpaceDN/>
        <w:bidi w:val="0"/>
        <w:adjustRightInd/>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事故发生后，事故现场监控视频被破坏，经调查，2月18日10时58分许，华业铸造厂总经理助理陈斌电话通知网络监控员饶日波回到厂内，要求把储存监控视频的硬盘格式化，然后将硬盘拆除。2月21日6时许，惠东县公安机关侦查人员在佛山找到并控制饶日波等人。</w:t>
      </w:r>
    </w:p>
    <w:p w14:paraId="365534D7">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事故直接损失情况根据《企业职工伤亡事故经济损失统计标准》（GB6721）等规定，经事故发生企业统计、惠东县人民政府确认，调查组核定事故直接经济损失为890.67万元。</w:t>
      </w:r>
    </w:p>
    <w:p w14:paraId="06A46EEF">
      <w:pPr>
        <w:keepNext w:val="0"/>
        <w:keepLines w:val="0"/>
        <w:pageBreakBefore w:val="0"/>
        <w:widowControl w:val="0"/>
        <w:numPr>
          <w:ilvl w:val="0"/>
          <w:numId w:val="85"/>
        </w:numPr>
        <w:kinsoku/>
        <w:wordWrap/>
        <w:overflowPunct/>
        <w:topLinePunct w:val="0"/>
        <w:autoSpaceDE/>
        <w:autoSpaceDN/>
        <w:bidi w:val="0"/>
        <w:adjustRightInd/>
        <w:snapToGrid/>
        <w:ind w:left="0" w:leftChars="0" w:firstLine="562" w:firstLineChars="200"/>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事故直接原因</w:t>
      </w:r>
    </w:p>
    <w:p w14:paraId="58DAD5B8">
      <w:pPr>
        <w:keepNext w:val="0"/>
        <w:keepLines w:val="0"/>
        <w:pageBreakBefore w:val="0"/>
        <w:widowControl w:val="0"/>
        <w:numPr>
          <w:ilvl w:val="0"/>
          <w:numId w:val="87"/>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直接原因</w:t>
      </w:r>
    </w:p>
    <w:p w14:paraId="5199E27F">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eastAsia="zh-CN"/>
        </w:rPr>
      </w:pPr>
      <w:r>
        <w:rPr>
          <w:rFonts w:hint="eastAsia" w:ascii="宋体" w:hAnsi="宋体" w:eastAsia="宋体" w:cs="宋体"/>
          <w:lang w:val="en-US" w:eastAsia="zh-CN"/>
        </w:rPr>
        <w:t>事故调查组通过深入调查和专家论证，认定事故的直接原因是：2号炉壁纯氧枪被电弧炉内49.4吨1500余摄氏度的高温钢水烘烤约19分钟，氧枪铜质喷头与钢管连接部分的强度性能下降。当作业人员打开氧枪冷却水阀门通水之后，冷却水在枪身高温状态下快速汽化，在蒸汽压力与冷却水压力（0.6兆帕）相互叠加作用下，铜质喷头脱离枪身、并与冷却水先后高速喷射进入高温钢水内部，与高温钢水相遇，冷却水急剧汽化膨胀引起炉中初始爆炸；炉体相关水冷件被爆炸损坏，导致大量冷却水进入炉内引发二次爆炸。</w:t>
      </w:r>
    </w:p>
    <w:p w14:paraId="285B6EBF">
      <w:pPr>
        <w:keepNext w:val="0"/>
        <w:keepLines w:val="0"/>
        <w:pageBreakBefore w:val="0"/>
        <w:widowControl w:val="0"/>
        <w:numPr>
          <w:ilvl w:val="0"/>
          <w:numId w:val="87"/>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直接原因判定分析</w:t>
      </w:r>
    </w:p>
    <w:p w14:paraId="5F753EB6">
      <w:pPr>
        <w:keepNext w:val="0"/>
        <w:keepLines w:val="0"/>
        <w:pageBreakBefore w:val="0"/>
        <w:widowControl w:val="0"/>
        <w:numPr>
          <w:ilvl w:val="0"/>
          <w:numId w:val="88"/>
        </w:numPr>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爆炸原因分析。</w:t>
      </w:r>
    </w:p>
    <w:p w14:paraId="4E47A84C">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通过现场勘查和监控视频确定输料小车在后退终止位置，爆炸前输料小车未开启，排除电弧炉爆炸是由加料中的密闭容器、爆炸物等造成的可能；经过问询现场相关作业人员并查看现场遗留的相关证据，推断爆炸是打开2号炉壁纯氧枪冷却水阀门后随即发生。</w:t>
      </w:r>
    </w:p>
    <w:p w14:paraId="01C34091">
      <w:pPr>
        <w:keepNext w:val="0"/>
        <w:keepLines w:val="0"/>
        <w:pageBreakBefore w:val="0"/>
        <w:widowControl w:val="0"/>
        <w:numPr>
          <w:ilvl w:val="0"/>
          <w:numId w:val="88"/>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爆炸过程分析。</w:t>
      </w:r>
    </w:p>
    <w:p w14:paraId="3DC60B4B">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通过现场勘察，炉体倾角仪电脑记录显示2月18日10时09分倾动电弧炉炉体至水平位置后，至爆炸发生前（10时23分）未再倾动炉体；现场查看炉体前后支撑均在水平位置，排除爆炸前炉体倾动的可能。现场查看输料小车在后退终止位置，确认爆炸前输料小车处于停止工作状态，排除电弧炉爆炸是由加料搅动钢水造成的可能。综上，此次电弧炉爆炸发生在停炉维修作业过程中，造成水与高温钢水直接接触的原因为：炉体相关水冷件漏水后，在外力作用下，使冷却水穿过表面高温钢渣与下层高温液态钢水相遇。</w:t>
      </w:r>
    </w:p>
    <w:p w14:paraId="55F62E37">
      <w:pPr>
        <w:keepNext w:val="0"/>
        <w:keepLines w:val="0"/>
        <w:pageBreakBefore w:val="0"/>
        <w:widowControl w:val="0"/>
        <w:numPr>
          <w:ilvl w:val="0"/>
          <w:numId w:val="88"/>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漏水物件判定。</w:t>
      </w:r>
    </w:p>
    <w:p w14:paraId="4428730E">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爆炸发生在出钢水完成后，此时炉前氧枪已移至电弧炉外，排除炉前氧枪漏水的可能。现场勘查发现，爆炸后现场遗留的1号炉壁纯氧枪枪身与铜质喷头完好，排除1号炉壁纯氧枪漏水的可能。现场遗留的2号炉壁纯氧枪长度为1030mm，铜质喷头已缺失，且枪身钢管与铜质喷头焊接处十分光滑；测量同型号炉壁纯氧枪长度为1100mm，铜质喷头与焊缝长度为70mm，两个长度相减，刚好等于现场遗留炉壁纯氧枪长度。综上，判定2号炉壁纯氧枪为漏水物件。</w:t>
      </w:r>
    </w:p>
    <w:p w14:paraId="037C5D94">
      <w:pPr>
        <w:keepNext w:val="0"/>
        <w:keepLines w:val="0"/>
        <w:pageBreakBefore w:val="0"/>
        <w:widowControl w:val="0"/>
        <w:numPr>
          <w:ilvl w:val="0"/>
          <w:numId w:val="88"/>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外力要素判定。</w:t>
      </w:r>
    </w:p>
    <w:p w14:paraId="2D6A038A">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通过现场勘察和查阅相关资料，确认氧枪铜质喷头焊接方式为先氩弧焊打底，再使用铜焊接；铜质材料熔点为1083摄氏度。通过问询相关作业人员、查阅相关材料和监控视频确认，2号炉壁纯氧枪在没有冷却水的情况下，被电弧炉内约49.4吨1500余摄氏度的高温钢水烘烤约19分钟。据此判定，在高温钢水烘烤下，炉壁纯氧枪铜质喷头与钢管连接部分的强度性能下降。通过现场勘察，2号炉壁纯氧枪靠近铜质喷头处的外层水冷管壁向外鼓起爆裂（裂缝尺寸为40mm×4mm），且枪身钢管与铜质喷头焊接处十分光滑，据此可排除2号氧枪铜质喷头缺失系由爆炸外力引起；同时，可判定冷却水通入2号炉壁纯氧枪后，在枪身高温状态下快速汽化形成蒸汽压力，并与冷却水压力（0.6兆帕）相互叠加形成合力，炉壁纯氧枪无缝钢管在压力作用下发生爆裂，同时铜质喷头脱离枪身并与冷却水先后高速喷射进入高温钢水内部。同时，电弧炉虽设置了炉体冷却水进回水流量差报警及联锁（60m</w:t>
      </w:r>
      <w:r>
        <w:rPr>
          <w:rFonts w:hint="eastAsia" w:ascii="宋体" w:hAnsi="宋体" w:eastAsia="宋体" w:cs="宋体"/>
          <w:vertAlign w:val="superscript"/>
          <w:lang w:val="en-US" w:eastAsia="zh-CN"/>
        </w:rPr>
        <w:t>3</w:t>
      </w:r>
      <w:r>
        <w:rPr>
          <w:rFonts w:hint="eastAsia" w:ascii="宋体" w:hAnsi="宋体" w:eastAsia="宋体" w:cs="宋体"/>
          <w:lang w:val="en-US" w:eastAsia="zh-CN"/>
        </w:rPr>
        <w:t>/h报警且联锁电极高压电跳闸），但氧枪未单独设置冷却水进回水流量报警及联锁，增加了事故风险。</w:t>
      </w:r>
    </w:p>
    <w:p w14:paraId="1B994495">
      <w:pPr>
        <w:keepNext w:val="0"/>
        <w:keepLines w:val="0"/>
        <w:pageBreakBefore w:val="0"/>
        <w:widowControl w:val="0"/>
        <w:numPr>
          <w:ilvl w:val="0"/>
          <w:numId w:val="85"/>
        </w:numPr>
        <w:kinsoku/>
        <w:wordWrap/>
        <w:overflowPunct/>
        <w:topLinePunct w:val="0"/>
        <w:autoSpaceDE/>
        <w:autoSpaceDN/>
        <w:bidi w:val="0"/>
        <w:adjustRightInd/>
        <w:snapToGrid/>
        <w:ind w:left="0" w:leftChars="0" w:firstLine="562" w:firstLineChars="200"/>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事故发生企业存在的问题</w:t>
      </w:r>
    </w:p>
    <w:p w14:paraId="40B9C60F">
      <w:pPr>
        <w:keepNext w:val="0"/>
        <w:keepLines w:val="0"/>
        <w:pageBreakBefore w:val="0"/>
        <w:widowControl w:val="0"/>
        <w:numPr>
          <w:ilvl w:val="0"/>
          <w:numId w:val="89"/>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安全风险辨识管控不到位。</w:t>
      </w:r>
    </w:p>
    <w:p w14:paraId="60C5C622">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违反《安全生产法》第四十一条《开展工贸企业较大危险因素辨识管控提升防范事故能力行动计划的通知》有关规定，对更换炉壁纯氧枪的风险辨识不清，期间在炉前区域同步安排其他检维修作业。在更换水管过程中，未将炉壁纯氧枪拆除，致使炉壁纯氧枪长时间被炉中高温钢水烘烤，氧枪铜质喷头与枪身钢管连接部位强度性能下降。更换作业完成后启用前未按要求测试其安全性能。危险因素辨识和排查不彻底不规范，未将氧枪漏水的危险因素辨识管控编制在《危险源辨识风险评价风险控制表》，未发现冷却水管接头损坏并提前做好应对措施。</w:t>
      </w:r>
    </w:p>
    <w:p w14:paraId="19BAEB5F">
      <w:pPr>
        <w:keepNext w:val="0"/>
        <w:keepLines w:val="0"/>
        <w:pageBreakBefore w:val="0"/>
        <w:widowControl w:val="0"/>
        <w:numPr>
          <w:ilvl w:val="0"/>
          <w:numId w:val="89"/>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重大事故隐患排查整改不到位。</w:t>
      </w:r>
    </w:p>
    <w:p w14:paraId="7F0F2CF4">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违反《安全生产法》第四十六条规定，新增的炉壁纯氧枪未单独设置冷却水进回水流量差检测、报警和安全联锁装置，违反本单位操作规程进行更换炉壁纯氧枪作业，存在重大事故隐患。在处理华业铸造厂电炉设备监控系统的故障报警后，未确认复位形成闭环，作业人员日常安全检查对报警提示视而不见，安全检查流于形式。</w:t>
      </w:r>
    </w:p>
    <w:p w14:paraId="56DE7511">
      <w:pPr>
        <w:keepNext w:val="0"/>
        <w:keepLines w:val="0"/>
        <w:pageBreakBefore w:val="0"/>
        <w:widowControl w:val="0"/>
        <w:numPr>
          <w:ilvl w:val="0"/>
          <w:numId w:val="89"/>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动火作业审批不到位。</w:t>
      </w:r>
    </w:p>
    <w:p w14:paraId="46468F06">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违反《安全生产法》第四十三条规定，作业人员在拆卸安装炉壁纯氧枪时，未经动火审批作业，违反炼钢安全规程，且未安排专门人员进行现场安全管理。</w:t>
      </w:r>
    </w:p>
    <w:p w14:paraId="5F858F95">
      <w:pPr>
        <w:keepNext w:val="0"/>
        <w:keepLines w:val="0"/>
        <w:pageBreakBefore w:val="0"/>
        <w:widowControl w:val="0"/>
        <w:numPr>
          <w:ilvl w:val="0"/>
          <w:numId w:val="89"/>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安全教育培训流于形式。</w:t>
      </w:r>
    </w:p>
    <w:p w14:paraId="3887EBCD">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违反《安全生产法》第四条第一款规定，安排未取得资质的工人从事特种作业，聘请的注册安全工程师仅作为安全顾问提供咨询。未按要求组织安全生产教育培训考核、如实规范填写培训记录。法定代表人长期缺岗，未参与企业日常管理，未履行本单位安全生产第一责任人职责。2022年春节后复工复产安全生产“六个一”工作流于形式。</w:t>
      </w:r>
    </w:p>
    <w:p w14:paraId="487CC1B3">
      <w:pPr>
        <w:keepNext w:val="0"/>
        <w:keepLines w:val="0"/>
        <w:pageBreakBefore w:val="0"/>
        <w:widowControl w:val="0"/>
        <w:numPr>
          <w:ilvl w:val="0"/>
          <w:numId w:val="89"/>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主体责任不落实。</w:t>
      </w:r>
    </w:p>
    <w:p w14:paraId="20052704">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违反《炼钢工程设计规范》有关规定，事故发生前2号电弧炉内留有钢水49.4吨，超过设计最大留钢量。违反《建设项目安全设施“三同时”监督管理办法》第十二条规定，技改建设项目安全设施设计完成后，未按规定向监管部门提出审查申请。</w:t>
      </w:r>
    </w:p>
    <w:p w14:paraId="210FD3AA">
      <w:pPr>
        <w:keepNext w:val="0"/>
        <w:keepLines w:val="0"/>
        <w:pageBreakBefore w:val="0"/>
        <w:widowControl w:val="0"/>
        <w:numPr>
          <w:ilvl w:val="0"/>
          <w:numId w:val="89"/>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不如实报告事故伤亡人数。</w:t>
      </w:r>
    </w:p>
    <w:p w14:paraId="08E8FD61">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违反《生产安全事故报告和调查处理条例》第四条、第十三条规定，2月18日11时40分获悉3人死亡情况后，未如实报告，存在谎报行为。</w:t>
      </w:r>
    </w:p>
    <w:p w14:paraId="5E1F961C">
      <w:pPr>
        <w:keepNext w:val="0"/>
        <w:keepLines w:val="0"/>
        <w:pageBreakBefore w:val="0"/>
        <w:widowControl w:val="0"/>
        <w:numPr>
          <w:ilvl w:val="0"/>
          <w:numId w:val="89"/>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未依法执行劳动工时制度。</w:t>
      </w:r>
    </w:p>
    <w:p w14:paraId="2630B250">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违反《中华人民共和国劳动法》第三十六条规定30，安排炉前工人每日连续12小时作业，未合理安排工人休息时间，每周平均工作时长超过80小时。</w:t>
      </w:r>
    </w:p>
    <w:p w14:paraId="5DAFAFCF">
      <w:pPr>
        <w:keepNext w:val="0"/>
        <w:keepLines w:val="0"/>
        <w:pageBreakBefore w:val="0"/>
        <w:widowControl w:val="0"/>
        <w:numPr>
          <w:ilvl w:val="0"/>
          <w:numId w:val="85"/>
        </w:numPr>
        <w:kinsoku/>
        <w:wordWrap/>
        <w:overflowPunct/>
        <w:topLinePunct w:val="0"/>
        <w:autoSpaceDE/>
        <w:autoSpaceDN/>
        <w:bidi w:val="0"/>
        <w:adjustRightInd/>
        <w:snapToGrid/>
        <w:ind w:left="0" w:leftChars="0" w:firstLine="562" w:firstLineChars="200"/>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对事故有关单位及责任人的处理建议</w:t>
      </w:r>
    </w:p>
    <w:p w14:paraId="771CC60F">
      <w:pPr>
        <w:keepNext w:val="0"/>
        <w:keepLines w:val="0"/>
        <w:pageBreakBefore w:val="0"/>
        <w:widowControl w:val="0"/>
        <w:numPr>
          <w:ilvl w:val="0"/>
          <w:numId w:val="9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免予追究责任人员（3人）</w:t>
      </w:r>
    </w:p>
    <w:p w14:paraId="4295EC2B">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1．朱世龙，华业铸造厂维修部电钳工班组钳工，负责电炉、连铸等机械设备维修工作。在更换氧枪作业中，违反操作规程，对事故发生负有直接责任，鉴于其在事故中死亡，免予追究责任。</w:t>
      </w:r>
    </w:p>
    <w:p w14:paraId="59E4B2AD">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2．刘绍顺，华业铸造厂炼钢车间调度班组总调度，负责操控室的管理和操控系统操作，协调处理炼钢车间生产进度问题和其他异常情况。2月18日事故发生时，协调安排电钳工班组更换氧枪设备，未及时发现并制止违规操作的安全隐患，对事故的发生负有直接责任。鉴于其在事故中死亡，免予追究责任。</w:t>
      </w:r>
    </w:p>
    <w:p w14:paraId="6F09DE56">
      <w:pPr>
        <w:keepNext w:val="0"/>
        <w:keepLines w:val="0"/>
        <w:pageBreakBefore w:val="0"/>
        <w:widowControl w:val="0"/>
        <w:kinsoku/>
        <w:wordWrap/>
        <w:overflowPunct/>
        <w:topLinePunct w:val="0"/>
        <w:autoSpaceDE/>
        <w:autoSpaceDN/>
        <w:bidi w:val="0"/>
        <w:adjustRightInd/>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3．杨大磊，华业铸造厂炼钢车间电弧炉班组炉长，负责操控台的电炉系统操作及当班现场各岗位生产人员的生产操作、安全、产品质量、劳动纪律、考勤等事项的统一指挥管理。未及时发现并制止作业过程中违反安全操作规程的行为，对事故的发生负有责任。鉴于其在事故中死亡，免予追究责任。</w:t>
      </w:r>
    </w:p>
    <w:p w14:paraId="67957EF1">
      <w:pPr>
        <w:keepNext w:val="0"/>
        <w:keepLines w:val="0"/>
        <w:pageBreakBefore w:val="0"/>
        <w:widowControl w:val="0"/>
        <w:numPr>
          <w:ilvl w:val="0"/>
          <w:numId w:val="9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司法机关已采取措施人员（5人）</w:t>
      </w:r>
    </w:p>
    <w:p w14:paraId="4976B2C2">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公安机关已采取强制措施共4人，另建议移送司法机关依法追究刑事责任1人。具体如下：</w:t>
      </w:r>
    </w:p>
    <w:p w14:paraId="4C9D492C">
      <w:pPr>
        <w:keepNext w:val="0"/>
        <w:keepLines w:val="0"/>
        <w:pageBreakBefore w:val="0"/>
        <w:widowControl w:val="0"/>
        <w:numPr>
          <w:ilvl w:val="0"/>
          <w:numId w:val="91"/>
        </w:numPr>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金敬良，华业铸造厂总经理，作为公司的主要负责人和实际控制人，对事故发生负有主要责任，对事故单位谎报行为负有主要责任。因涉嫌重大责任事故罪，于2022年2月21日被公安机关立案侦查，现已移送检察机关。</w:t>
      </w:r>
    </w:p>
    <w:p w14:paraId="0A188879">
      <w:pPr>
        <w:keepNext w:val="0"/>
        <w:keepLines w:val="0"/>
        <w:pageBreakBefore w:val="0"/>
        <w:widowControl w:val="0"/>
        <w:numPr>
          <w:ilvl w:val="0"/>
          <w:numId w:val="91"/>
        </w:numPr>
        <w:kinsoku/>
        <w:wordWrap/>
        <w:overflowPunct/>
        <w:topLinePunct w:val="0"/>
        <w:autoSpaceDE/>
        <w:autoSpaceDN/>
        <w:bidi w:val="0"/>
        <w:snapToGrid/>
        <w:ind w:left="0"/>
        <w:textAlignment w:val="auto"/>
        <w:rPr>
          <w:rFonts w:hint="eastAsia" w:ascii="宋体" w:hAnsi="宋体" w:eastAsia="宋体" w:cs="宋体"/>
          <w:lang w:eastAsia="zh-CN"/>
        </w:rPr>
      </w:pPr>
      <w:r>
        <w:rPr>
          <w:rFonts w:hint="eastAsia" w:ascii="宋体" w:hAnsi="宋体" w:eastAsia="宋体" w:cs="宋体"/>
          <w:lang w:val="en-US" w:eastAsia="zh-CN"/>
        </w:rPr>
        <w:t>林纯设，作为华业铸造厂法定代表人，华业铸造厂安全生产第一责任人，对事故发生负有责任。因涉嫌重大责任事故罪，于2022年2月21日被公安机关立案侦查。</w:t>
      </w:r>
    </w:p>
    <w:p w14:paraId="35B2EB01">
      <w:pPr>
        <w:keepNext w:val="0"/>
        <w:keepLines w:val="0"/>
        <w:pageBreakBefore w:val="0"/>
        <w:widowControl w:val="0"/>
        <w:numPr>
          <w:ilvl w:val="0"/>
          <w:numId w:val="91"/>
        </w:numPr>
        <w:kinsoku/>
        <w:wordWrap/>
        <w:overflowPunct/>
        <w:topLinePunct w:val="0"/>
        <w:autoSpaceDE/>
        <w:autoSpaceDN/>
        <w:bidi w:val="0"/>
        <w:snapToGrid/>
        <w:ind w:left="0"/>
        <w:textAlignment w:val="auto"/>
        <w:rPr>
          <w:rFonts w:hint="eastAsia" w:ascii="宋体" w:hAnsi="宋体" w:eastAsia="宋体" w:cs="宋体"/>
          <w:lang w:eastAsia="zh-CN"/>
        </w:rPr>
      </w:pPr>
      <w:r>
        <w:rPr>
          <w:rFonts w:hint="eastAsia" w:ascii="宋体" w:hAnsi="宋体" w:eastAsia="宋体" w:cs="宋体"/>
          <w:lang w:val="en-US" w:eastAsia="zh-CN"/>
        </w:rPr>
        <w:t>王清玲，华业铸造厂副总经理，负责炼钢车间和轧钢车间生产工作，对事故发生负有责任。因涉嫌重大责任事故罪，于2022年2月21日被公安机关立案侦查，现已移送检察机关。</w:t>
      </w:r>
    </w:p>
    <w:p w14:paraId="1E061009">
      <w:pPr>
        <w:keepNext w:val="0"/>
        <w:keepLines w:val="0"/>
        <w:pageBreakBefore w:val="0"/>
        <w:widowControl w:val="0"/>
        <w:numPr>
          <w:ilvl w:val="0"/>
          <w:numId w:val="91"/>
        </w:numPr>
        <w:kinsoku/>
        <w:wordWrap/>
        <w:overflowPunct/>
        <w:topLinePunct w:val="0"/>
        <w:autoSpaceDE/>
        <w:autoSpaceDN/>
        <w:bidi w:val="0"/>
        <w:snapToGrid/>
        <w:ind w:left="0"/>
        <w:textAlignment w:val="auto"/>
        <w:rPr>
          <w:rFonts w:hint="eastAsia" w:ascii="宋体" w:hAnsi="宋体" w:eastAsia="宋体" w:cs="宋体"/>
          <w:lang w:eastAsia="zh-CN"/>
        </w:rPr>
      </w:pPr>
      <w:r>
        <w:rPr>
          <w:rFonts w:hint="eastAsia" w:ascii="宋体" w:hAnsi="宋体" w:eastAsia="宋体" w:cs="宋体"/>
          <w:lang w:val="en-US" w:eastAsia="zh-CN"/>
        </w:rPr>
        <w:t>陈斌，华业铸造厂总经理助理，负责企业安全生产和环保工作，对事故发生负有责任，指使工作人员销毁事故相关数据、信息。因涉嫌重大责任事故罪，于2022年2月21日被公安机关立案侦查，现已移送检察机关。</w:t>
      </w:r>
    </w:p>
    <w:p w14:paraId="4A6A6FA2">
      <w:pPr>
        <w:keepNext w:val="0"/>
        <w:keepLines w:val="0"/>
        <w:pageBreakBefore w:val="0"/>
        <w:widowControl w:val="0"/>
        <w:numPr>
          <w:ilvl w:val="0"/>
          <w:numId w:val="91"/>
        </w:numPr>
        <w:kinsoku/>
        <w:wordWrap/>
        <w:overflowPunct/>
        <w:topLinePunct w:val="0"/>
        <w:autoSpaceDE/>
        <w:autoSpaceDN/>
        <w:bidi w:val="0"/>
        <w:snapToGrid/>
        <w:ind w:left="0"/>
        <w:textAlignment w:val="auto"/>
        <w:rPr>
          <w:rFonts w:hint="eastAsia" w:ascii="宋体" w:hAnsi="宋体" w:eastAsia="宋体" w:cs="宋体"/>
          <w:lang w:eastAsia="zh-CN"/>
        </w:rPr>
      </w:pPr>
      <w:r>
        <w:rPr>
          <w:rFonts w:hint="eastAsia" w:ascii="宋体" w:hAnsi="宋体" w:eastAsia="宋体" w:cs="宋体"/>
          <w:lang w:val="en-US" w:eastAsia="zh-CN"/>
        </w:rPr>
        <w:t>黄沙，华业铸造厂维修部电钳工班组班长，负责炼钢车间电炉设备维修工作，对事故发生负有直接责任。事故中重伤在院治疗，建议在身体条件允许后进行调查，由司法机关依法追究刑事责任。</w:t>
      </w:r>
    </w:p>
    <w:p w14:paraId="66570576">
      <w:pPr>
        <w:keepNext w:val="0"/>
        <w:keepLines w:val="0"/>
        <w:pageBreakBefore w:val="0"/>
        <w:widowControl w:val="0"/>
        <w:numPr>
          <w:ilvl w:val="0"/>
          <w:numId w:val="9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建议给予行政处罚单位惠东县华业铸造厂</w:t>
      </w:r>
    </w:p>
    <w:p w14:paraId="6C06DE27">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新增氧枪未单独设置进出水流量差检测、报警和安全联锁装置；维修后氧枪启动前未检查管件紧密性。安全生产主体责任落实不到位，法定代表人长期缺岗，隐患排查治理制度未完全落实，安全生产教育和培训、应急救援演练流于形式，不如实报告事故伤亡人数，对事故发生和事故谎报负有责任，建议由市应急管理局依据《安全生产法》第一百一十四条第一款第（二）项和《生产安全事故报告和调查处理条例》第三十六条第一款第（一）项的规定进行行政处罚，纳入联合惩戒对象，纳入安全生产不良记录“黑名单”管理，并由市应急管理局根据《对安全生产领域失信行为开展联合惩戒的实施办法》第二条第（一）项的规定将其纳入安全生产领域失信行为联合惩戒对象。</w:t>
      </w:r>
    </w:p>
    <w:p w14:paraId="371CD969">
      <w:pPr>
        <w:keepNext w:val="0"/>
        <w:keepLines w:val="0"/>
        <w:pageBreakBefore w:val="0"/>
        <w:widowControl w:val="0"/>
        <w:numPr>
          <w:ilvl w:val="0"/>
          <w:numId w:val="9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建议给予行政处罚的人员（1人）</w:t>
      </w:r>
    </w:p>
    <w:p w14:paraId="61303BB0">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金敬良，华业铸造厂总经理，公司的主要负责人和实际控制人，履行主要负责人安全生产管理责任不到位，对事故发生和谎报负有主要责任。建议市应急管理局依照《安全生产法》第九十四条、第九十五条和《生产安全事故罚款处罚规定（试行）》第十三条第（二）项的规定，对其进行行政处罚。</w:t>
      </w:r>
    </w:p>
    <w:p w14:paraId="50E4B1F0">
      <w:pPr>
        <w:keepNext w:val="0"/>
        <w:keepLines w:val="0"/>
        <w:pageBreakBefore w:val="0"/>
        <w:widowControl w:val="0"/>
        <w:numPr>
          <w:ilvl w:val="0"/>
          <w:numId w:val="90"/>
        </w:numPr>
        <w:kinsoku/>
        <w:wordWrap/>
        <w:overflowPunct/>
        <w:topLinePunct w:val="0"/>
        <w:autoSpaceDE/>
        <w:autoSpaceDN/>
        <w:bidi w:val="0"/>
        <w:adjustRightInd/>
        <w:snapToGrid/>
        <w:ind w:left="0" w:leftChars="0" w:firstLine="420" w:firstLine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建议企业内部给予处理的人员（3人）</w:t>
      </w:r>
    </w:p>
    <w:p w14:paraId="6CAD6249">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1．程礼望，华业铸造厂维修部主任，作为电钳工班组的管理人员，对事故发生负有责任。建议华业铸造厂依据有关规定进行内部处理。</w:t>
      </w:r>
    </w:p>
    <w:p w14:paraId="1FB7C9F8">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2．熊海军，华业铸造厂炼钢车间主任，负责车间调度班组、电炉班组、精炼班组的管理，对事故发生负有责任。建议华业铸造厂依据有关规定进行内部处理。</w:t>
      </w:r>
    </w:p>
    <w:p w14:paraId="13011D02">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3．李伟华，华业铸造厂炼钢车间电炉设备厂长，对事故发生负有责任。建议华业铸造厂依据有关规定进行内部处理。</w:t>
      </w:r>
    </w:p>
    <w:p w14:paraId="76EA9631">
      <w:pPr>
        <w:keepNext w:val="0"/>
        <w:keepLines w:val="0"/>
        <w:pageBreakBefore w:val="0"/>
        <w:widowControl w:val="0"/>
        <w:numPr>
          <w:ilvl w:val="0"/>
          <w:numId w:val="0"/>
        </w:numPr>
        <w:kinsoku/>
        <w:wordWrap/>
        <w:overflowPunct/>
        <w:topLinePunct w:val="0"/>
        <w:autoSpaceDE/>
        <w:autoSpaceDN/>
        <w:bidi w:val="0"/>
        <w:adjustRightInd/>
        <w:snapToGrid/>
        <w:ind w:left="0" w:leftChars="0"/>
        <w:textAlignment w:val="auto"/>
        <w:rPr>
          <w:rFonts w:hint="eastAsia" w:ascii="宋体" w:hAnsi="宋体" w:eastAsia="宋体" w:cs="宋体"/>
          <w:b/>
          <w:bCs/>
          <w:sz w:val="28"/>
          <w:szCs w:val="28"/>
          <w:lang w:eastAsia="zh-CN"/>
        </w:rPr>
      </w:pPr>
      <w:r>
        <w:rPr>
          <w:rFonts w:hint="eastAsia" w:ascii="宋体" w:hAnsi="宋体" w:eastAsia="宋体" w:cs="宋体"/>
          <w:b/>
          <w:bCs/>
          <w:color w:val="000000"/>
          <w:kern w:val="0"/>
          <w:sz w:val="28"/>
          <w:szCs w:val="28"/>
          <w:lang w:val="en-US" w:eastAsia="zh-CN" w:bidi="ar"/>
        </w:rPr>
        <w:t>七、事故的主要教训</w:t>
      </w:r>
    </w:p>
    <w:p w14:paraId="126DFA01">
      <w:pPr>
        <w:keepNext w:val="0"/>
        <w:keepLines w:val="0"/>
        <w:pageBreakBefore w:val="0"/>
        <w:widowControl w:val="0"/>
        <w:numPr>
          <w:ilvl w:val="0"/>
          <w:numId w:val="0"/>
        </w:numPr>
        <w:kinsoku/>
        <w:wordWrap/>
        <w:overflowPunct/>
        <w:topLinePunct w:val="0"/>
        <w:autoSpaceDE/>
        <w:autoSpaceDN/>
        <w:bidi w:val="0"/>
        <w:adjustRightInd/>
        <w:snapToGrid/>
        <w:ind w:left="0" w:leftChars="0"/>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（一）安全发展的理念缺失、安全风险辨识不到位</w:t>
      </w:r>
    </w:p>
    <w:p w14:paraId="0E5BFD60">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eastAsia="zh-CN"/>
        </w:rPr>
      </w:pPr>
      <w:r>
        <w:rPr>
          <w:rFonts w:hint="eastAsia" w:ascii="宋体" w:hAnsi="宋体" w:eastAsia="宋体" w:cs="宋体"/>
          <w:lang w:val="en-US" w:eastAsia="zh-CN"/>
        </w:rPr>
        <w:t>华业铸造厂出于提高生产效率的需要，在电弧炉自行新增2根炉壁纯氧枪，提高了冶炼效率，但是未按要求进行技术改造投资项目备案；新增的炉壁纯氧枪未单独设置进出水流量差检测、报警和安全联锁装置，为了效益牺牲了安全；辨识氧枪更换危险因素不到位，未制定氧枪更换的安全操作规程，增加了设备安全风险。</w:t>
      </w:r>
    </w:p>
    <w:p w14:paraId="0BD87927">
      <w:pPr>
        <w:keepNext w:val="0"/>
        <w:keepLines w:val="0"/>
        <w:pageBreakBefore w:val="0"/>
        <w:widowControl w:val="0"/>
        <w:numPr>
          <w:ilvl w:val="0"/>
          <w:numId w:val="0"/>
        </w:numPr>
        <w:kinsoku/>
        <w:wordWrap/>
        <w:overflowPunct/>
        <w:topLinePunct w:val="0"/>
        <w:autoSpaceDE/>
        <w:autoSpaceDN/>
        <w:bidi w:val="0"/>
        <w:adjustRightInd/>
        <w:snapToGrid/>
        <w:ind w:left="0" w:leftChars="0"/>
        <w:textAlignment w:val="auto"/>
        <w:rPr>
          <w:rFonts w:hint="eastAsia" w:ascii="宋体" w:hAnsi="宋体" w:eastAsia="宋体" w:cs="宋体"/>
          <w:sz w:val="28"/>
          <w:szCs w:val="28"/>
          <w:lang w:eastAsia="zh-CN"/>
        </w:rPr>
      </w:pPr>
      <w:r>
        <w:rPr>
          <w:rFonts w:hint="eastAsia" w:ascii="宋体" w:hAnsi="宋体" w:eastAsia="宋体" w:cs="宋体"/>
          <w:color w:val="000000"/>
          <w:kern w:val="0"/>
          <w:sz w:val="28"/>
          <w:szCs w:val="28"/>
          <w:lang w:val="en-US" w:eastAsia="zh-CN" w:bidi="ar"/>
        </w:rPr>
        <w:t>（二）违规野蛮作业，安全防范水平低</w:t>
      </w:r>
    </w:p>
    <w:p w14:paraId="18F25053">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华业铸造厂在事故发生时电弧炉内实际留钢量约49.4吨，超过炼钢电弧炉设计最大留钢量技术参数规定要求；节后复工复产“六个一”制度执行不严格，落实《中华人民共和国劳动法》有关规定不到位，片面追求多生产、高效益，为事故发生埋下隐患。</w:t>
      </w:r>
    </w:p>
    <w:p w14:paraId="0D52B15C">
      <w:pPr>
        <w:keepNext w:val="0"/>
        <w:keepLines w:val="0"/>
        <w:pageBreakBefore w:val="0"/>
        <w:widowControl w:val="0"/>
        <w:numPr>
          <w:ilvl w:val="0"/>
          <w:numId w:val="0"/>
        </w:numPr>
        <w:kinsoku/>
        <w:wordWrap/>
        <w:overflowPunct/>
        <w:topLinePunct w:val="0"/>
        <w:autoSpaceDE/>
        <w:autoSpaceDN/>
        <w:bidi w:val="0"/>
        <w:adjustRightInd/>
        <w:snapToGrid/>
        <w:ind w:left="0" w:leftChars="0"/>
        <w:textAlignment w:val="auto"/>
        <w:rPr>
          <w:rFonts w:hint="eastAsia" w:ascii="宋体" w:hAnsi="宋体" w:eastAsia="宋体" w:cs="宋体"/>
          <w:sz w:val="28"/>
          <w:szCs w:val="28"/>
          <w:lang w:eastAsia="zh-CN"/>
        </w:rPr>
      </w:pPr>
      <w:r>
        <w:rPr>
          <w:rFonts w:hint="eastAsia" w:ascii="宋体" w:hAnsi="宋体" w:eastAsia="宋体" w:cs="宋体"/>
          <w:color w:val="000000"/>
          <w:kern w:val="0"/>
          <w:sz w:val="28"/>
          <w:szCs w:val="28"/>
          <w:lang w:val="en-US" w:eastAsia="zh-CN" w:bidi="ar"/>
        </w:rPr>
        <w:t>（三）安全教育培训不到位，安全管理能力低下</w:t>
      </w:r>
    </w:p>
    <w:p w14:paraId="359C8B4E">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华业铸造厂法定代表人林纯设长期缺岗，未参与企业日常管理工作，未按规定履行安全生产工作职责；主要负责人金敬良文化水平低，无冶金、炼钢专业背景，安全知识匮乏，重效益、轻安全；未针对具体岗位开展危险因素、岗位安全操作规程、操作技能等安全培训，职工对本岗位和相关作业活动的潜在安全风险和控制措施掌握不足，炉长、副炉长、炉前工等重点操作岗位缺乏危险作业安全生产基本常识和基本操作技能；未按照规定组织应急演练并进行评估，缺少电弧炉漏水事故现场处置演练预案，未能有效处置生产异常情况，不能满足冶金生产安全基本需要。</w:t>
      </w:r>
    </w:p>
    <w:p w14:paraId="0B10A86D">
      <w:pPr>
        <w:keepNext w:val="0"/>
        <w:keepLines w:val="0"/>
        <w:pageBreakBefore w:val="0"/>
        <w:widowControl w:val="0"/>
        <w:numPr>
          <w:ilvl w:val="0"/>
          <w:numId w:val="0"/>
        </w:numPr>
        <w:kinsoku/>
        <w:wordWrap/>
        <w:overflowPunct/>
        <w:topLinePunct w:val="0"/>
        <w:autoSpaceDE/>
        <w:autoSpaceDN/>
        <w:bidi w:val="0"/>
        <w:adjustRightInd/>
        <w:snapToGrid/>
        <w:ind w:left="0" w:leftChars="0"/>
        <w:textAlignment w:val="auto"/>
        <w:rPr>
          <w:rFonts w:hint="eastAsia" w:ascii="宋体" w:hAnsi="宋体" w:eastAsia="宋体" w:cs="宋体"/>
          <w:sz w:val="28"/>
          <w:szCs w:val="28"/>
          <w:lang w:eastAsia="zh-CN"/>
        </w:rPr>
      </w:pPr>
      <w:r>
        <w:rPr>
          <w:rFonts w:hint="eastAsia" w:ascii="宋体" w:hAnsi="宋体" w:eastAsia="宋体" w:cs="宋体"/>
          <w:color w:val="000000"/>
          <w:kern w:val="0"/>
          <w:sz w:val="28"/>
          <w:szCs w:val="28"/>
          <w:lang w:val="en-US" w:eastAsia="zh-CN" w:bidi="ar"/>
        </w:rPr>
        <w:t>（四）漠视法律，谎报事故伤亡情况</w:t>
      </w:r>
    </w:p>
    <w:p w14:paraId="60C3397A">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val="en-US" w:eastAsia="zh-CN"/>
        </w:rPr>
      </w:pPr>
      <w:r>
        <w:rPr>
          <w:rFonts w:hint="eastAsia" w:ascii="宋体" w:hAnsi="宋体" w:eastAsia="宋体" w:cs="宋体"/>
          <w:lang w:val="en-US" w:eastAsia="zh-CN"/>
        </w:rPr>
        <w:t>华业铸造厂在获悉事故造成3人死亡的情况后，无视生产安全事故报告及安全生产相关法律规定，心存侥幸，事故发生后向县应急管理局报告仅有2人受伤，后在质询中才承认事故造成3人死亡；同时在事故发生后胆大妄为、删除事故发生现场视频监控，存在干预事故调查的事实。</w:t>
      </w:r>
    </w:p>
    <w:p w14:paraId="1F4FC212">
      <w:pPr>
        <w:keepNext w:val="0"/>
        <w:keepLines w:val="0"/>
        <w:pageBreakBefore w:val="0"/>
        <w:widowControl w:val="0"/>
        <w:numPr>
          <w:ilvl w:val="0"/>
          <w:numId w:val="0"/>
        </w:numPr>
        <w:kinsoku/>
        <w:wordWrap/>
        <w:overflowPunct/>
        <w:topLinePunct w:val="0"/>
        <w:autoSpaceDE/>
        <w:autoSpaceDN/>
        <w:bidi w:val="0"/>
        <w:adjustRightInd/>
        <w:snapToGrid/>
        <w:ind w:left="0" w:leftChars="0"/>
        <w:textAlignment w:val="auto"/>
        <w:rPr>
          <w:rFonts w:hint="eastAsia" w:ascii="宋体" w:hAnsi="宋体" w:eastAsia="宋体" w:cs="宋体"/>
          <w:b/>
          <w:bCs/>
          <w:sz w:val="28"/>
          <w:szCs w:val="28"/>
          <w:lang w:eastAsia="zh-CN"/>
        </w:rPr>
      </w:pPr>
      <w:r>
        <w:rPr>
          <w:rFonts w:hint="eastAsia" w:ascii="宋体" w:hAnsi="宋体" w:eastAsia="宋体" w:cs="宋体"/>
          <w:b/>
          <w:bCs/>
          <w:color w:val="000000"/>
          <w:kern w:val="0"/>
          <w:sz w:val="28"/>
          <w:szCs w:val="28"/>
          <w:lang w:val="en-US" w:eastAsia="zh-CN" w:bidi="ar"/>
        </w:rPr>
        <w:t>八、事故防范措施建议</w:t>
      </w:r>
    </w:p>
    <w:p w14:paraId="5C800906">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eastAsia="zh-CN"/>
        </w:rPr>
      </w:pPr>
      <w:r>
        <w:rPr>
          <w:rFonts w:hint="eastAsia" w:ascii="宋体" w:hAnsi="宋体" w:eastAsia="宋体" w:cs="宋体"/>
          <w:lang w:val="en-US" w:eastAsia="zh-CN"/>
        </w:rPr>
        <w:t>（一）牢固树立安全发展理念，坚决防范化解重大安全风险</w:t>
      </w:r>
    </w:p>
    <w:p w14:paraId="26F6A531">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eastAsia="zh-CN"/>
        </w:rPr>
      </w:pPr>
      <w:r>
        <w:rPr>
          <w:rFonts w:hint="eastAsia" w:ascii="宋体" w:hAnsi="宋体" w:eastAsia="宋体" w:cs="宋体"/>
          <w:lang w:val="en-US" w:eastAsia="zh-CN"/>
        </w:rPr>
        <w:t>（二）强化企业安全风险防范措施落实，常态化推动问题隐患整改</w:t>
      </w:r>
    </w:p>
    <w:p w14:paraId="53C4FEEA">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eastAsia="zh-CN"/>
        </w:rPr>
      </w:pPr>
      <w:r>
        <w:rPr>
          <w:rFonts w:hint="eastAsia" w:ascii="宋体" w:hAnsi="宋体" w:eastAsia="宋体" w:cs="宋体"/>
          <w:lang w:val="en-US" w:eastAsia="zh-CN"/>
        </w:rPr>
        <w:t>（三）狠抓安全生产主体责任落实</w:t>
      </w:r>
    </w:p>
    <w:p w14:paraId="4BEA9201">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eastAsia="zh-CN"/>
        </w:rPr>
      </w:pPr>
      <w:r>
        <w:rPr>
          <w:rFonts w:hint="eastAsia" w:ascii="宋体" w:hAnsi="宋体" w:eastAsia="宋体" w:cs="宋体"/>
          <w:lang w:val="en-US" w:eastAsia="zh-CN"/>
        </w:rPr>
        <w:t>（四）强化源头管控，深化建设项目安全设施“三同时”执法检查</w:t>
      </w:r>
    </w:p>
    <w:p w14:paraId="56B23C14">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eastAsia="zh-CN"/>
        </w:rPr>
      </w:pPr>
      <w:r>
        <w:rPr>
          <w:rFonts w:hint="eastAsia" w:ascii="宋体" w:hAnsi="宋体" w:eastAsia="宋体" w:cs="宋体"/>
          <w:lang w:val="en-US" w:eastAsia="zh-CN"/>
        </w:rPr>
        <w:t>（五）加强和改进突发事件信息处置工作，提高信息报送时效</w:t>
      </w:r>
    </w:p>
    <w:p w14:paraId="26E2350E">
      <w:pPr>
        <w:keepNext w:val="0"/>
        <w:keepLines w:val="0"/>
        <w:pageBreakBefore w:val="0"/>
        <w:widowControl w:val="0"/>
        <w:kinsoku/>
        <w:wordWrap/>
        <w:overflowPunct/>
        <w:topLinePunct w:val="0"/>
        <w:autoSpaceDE/>
        <w:autoSpaceDN/>
        <w:bidi w:val="0"/>
        <w:snapToGrid/>
        <w:ind w:left="0"/>
        <w:textAlignment w:val="auto"/>
        <w:rPr>
          <w:rFonts w:hint="eastAsia" w:ascii="宋体" w:hAnsi="宋体" w:eastAsia="宋体" w:cs="宋体"/>
          <w:lang w:eastAsia="zh-CN"/>
        </w:rPr>
      </w:pPr>
      <w:r>
        <w:rPr>
          <w:rFonts w:hint="eastAsia" w:ascii="宋体" w:hAnsi="宋体" w:eastAsia="宋体" w:cs="宋体"/>
          <w:lang w:val="en-US" w:eastAsia="zh-CN"/>
        </w:rPr>
        <w:t>（六）以案促改，加强警示教育，提高安全意识</w:t>
      </w:r>
    </w:p>
    <w:p w14:paraId="7C8A5D7C">
      <w:r>
        <w:rPr>
          <w:rFonts w:hint="eastAsia"/>
          <w:lang w:val="en-US" w:eastAsia="zh-CN"/>
        </w:rPr>
        <w:br w:type="page"/>
      </w:r>
    </w:p>
    <w:p w14:paraId="27A22DCF">
      <w:pPr>
        <w:pStyle w:val="2"/>
        <w:keepNext w:val="0"/>
        <w:keepLines w:val="0"/>
        <w:pageBreakBefore w:val="0"/>
        <w:widowControl w:val="0"/>
        <w:kinsoku/>
        <w:bidi w:val="0"/>
        <w:ind w:left="432" w:leftChars="0" w:hanging="432" w:firstLineChars="0"/>
      </w:pPr>
      <w:bookmarkStart w:id="870" w:name="_Toc3311"/>
      <w:r>
        <w:rPr>
          <w:rFonts w:hint="eastAsia"/>
          <w:lang w:val="en-US" w:eastAsia="zh-CN"/>
        </w:rPr>
        <w:t>评价</w:t>
      </w:r>
      <w:r>
        <w:rPr>
          <w:rFonts w:hint="eastAsia"/>
        </w:rPr>
        <w:t>单元划分及</w:t>
      </w:r>
      <w:r>
        <w:rPr>
          <w:rFonts w:hint="eastAsia"/>
          <w:lang w:val="en-US" w:eastAsia="zh-CN"/>
        </w:rPr>
        <w:t>评价</w:t>
      </w:r>
      <w:r>
        <w:rPr>
          <w:rFonts w:hint="eastAsia"/>
        </w:rPr>
        <w:t>方法选择</w:t>
      </w:r>
      <w:bookmarkEnd w:id="869"/>
      <w:bookmarkEnd w:id="870"/>
    </w:p>
    <w:p w14:paraId="35E54FA6">
      <w:pPr>
        <w:pStyle w:val="3"/>
        <w:keepNext w:val="0"/>
        <w:keepLines w:val="0"/>
        <w:pageBreakBefore w:val="0"/>
        <w:widowControl w:val="0"/>
        <w:kinsoku/>
        <w:bidi w:val="0"/>
        <w:ind w:left="575" w:leftChars="0" w:hanging="575" w:firstLineChars="0"/>
        <w:rPr>
          <w:rFonts w:hint="eastAsia"/>
          <w:lang w:eastAsia="zh-CN"/>
        </w:rPr>
      </w:pPr>
      <w:bookmarkStart w:id="871" w:name="_Toc28316"/>
      <w:bookmarkStart w:id="872" w:name="_Toc21900"/>
      <w:r>
        <w:rPr>
          <w:rFonts w:hint="eastAsia"/>
          <w:lang w:eastAsia="zh-CN"/>
        </w:rPr>
        <w:t>评价单元划分</w:t>
      </w:r>
      <w:bookmarkEnd w:id="871"/>
      <w:bookmarkEnd w:id="872"/>
    </w:p>
    <w:p w14:paraId="341DC2C6">
      <w:pPr>
        <w:pStyle w:val="4"/>
        <w:keepNext w:val="0"/>
        <w:keepLines w:val="0"/>
        <w:pageBreakBefore w:val="0"/>
        <w:widowControl w:val="0"/>
        <w:kinsoku/>
        <w:bidi w:val="0"/>
        <w:ind w:left="720" w:leftChars="0" w:hanging="720" w:firstLineChars="0"/>
      </w:pPr>
      <w:bookmarkStart w:id="873" w:name="_Toc289443995"/>
      <w:bookmarkStart w:id="874" w:name="_Toc306879806"/>
      <w:bookmarkStart w:id="875" w:name="_Toc209863639"/>
      <w:bookmarkStart w:id="876" w:name="_Toc384913476"/>
      <w:bookmarkStart w:id="877" w:name="_Toc289496073"/>
      <w:bookmarkStart w:id="878" w:name="_Toc191728190"/>
      <w:bookmarkStart w:id="879" w:name="_Toc331963386"/>
      <w:bookmarkStart w:id="880" w:name="_Toc151353653"/>
      <w:bookmarkStart w:id="881" w:name="_Toc404242977"/>
      <w:bookmarkStart w:id="882" w:name="_Toc289435713"/>
      <w:bookmarkStart w:id="883" w:name="_Toc127570726"/>
      <w:bookmarkStart w:id="884" w:name="_Toc301507731"/>
      <w:bookmarkStart w:id="885" w:name="_Toc301597922"/>
      <w:bookmarkStart w:id="886" w:name="_Toc306872702"/>
      <w:bookmarkStart w:id="887" w:name="_Toc191730034"/>
      <w:bookmarkStart w:id="888" w:name="_Toc60925400"/>
      <w:bookmarkStart w:id="889" w:name="_Toc46697225"/>
      <w:bookmarkStart w:id="890" w:name="_Toc191729750"/>
      <w:bookmarkStart w:id="891" w:name="_Toc13647"/>
      <w:bookmarkStart w:id="892" w:name="_Toc194389948"/>
      <w:bookmarkStart w:id="893" w:name="_Toc55945291"/>
      <w:bookmarkStart w:id="894" w:name="_Toc304199117"/>
      <w:bookmarkStart w:id="895" w:name="_Toc29050"/>
      <w:bookmarkStart w:id="896" w:name="_Toc91438301"/>
      <w:bookmarkStart w:id="897" w:name="_Toc189559340"/>
      <w:bookmarkStart w:id="898" w:name="_Toc91508206"/>
      <w:r>
        <w:rPr>
          <w:rFonts w:hint="eastAsia"/>
          <w:lang w:eastAsia="zh-CN"/>
        </w:rPr>
        <w:t>评价单元划分</w:t>
      </w:r>
      <w:r>
        <w:rPr>
          <w:rFonts w:hint="eastAsia"/>
        </w:rPr>
        <w:t>原则</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p>
    <w:p w14:paraId="46C12BD4">
      <w:pPr>
        <w:bidi w:val="0"/>
      </w:pPr>
      <w:bookmarkStart w:id="899" w:name="_Toc191729751"/>
      <w:bookmarkStart w:id="900" w:name="_Toc151353654"/>
      <w:bookmarkStart w:id="901" w:name="_Toc191730035"/>
      <w:bookmarkStart w:id="902" w:name="_Toc194389949"/>
      <w:bookmarkStart w:id="903" w:name="_Toc191728191"/>
      <w:r>
        <w:t>评价单元划分是在对</w:t>
      </w:r>
      <w:r>
        <w:rPr>
          <w:rFonts w:hint="eastAsia"/>
          <w:lang w:eastAsia="zh-CN"/>
        </w:rPr>
        <w:t>危险有害因素</w:t>
      </w:r>
      <w:r>
        <w:t>辨析的基础上，根据评价目的和评价方法的需要，将系统分成若干子单元的需要评价的单元，以提高评价的客观性和准确性。</w:t>
      </w:r>
    </w:p>
    <w:p w14:paraId="19976C7B">
      <w:pPr>
        <w:bidi w:val="0"/>
      </w:pPr>
      <w:r>
        <w:t>评价单元的划分，一般将生产工艺、工艺装置、物料的特性及</w:t>
      </w:r>
      <w:r>
        <w:rPr>
          <w:rFonts w:hint="eastAsia"/>
          <w:lang w:eastAsia="zh-CN"/>
        </w:rPr>
        <w:t>危险有害因素</w:t>
      </w:r>
      <w:r>
        <w:t>类别、分布状况综合考虑后，进行划分。</w:t>
      </w:r>
    </w:p>
    <w:bookmarkEnd w:id="899"/>
    <w:bookmarkEnd w:id="900"/>
    <w:bookmarkEnd w:id="901"/>
    <w:bookmarkEnd w:id="902"/>
    <w:bookmarkEnd w:id="903"/>
    <w:p w14:paraId="4B528C4C">
      <w:pPr>
        <w:pStyle w:val="4"/>
        <w:keepNext w:val="0"/>
        <w:keepLines w:val="0"/>
        <w:pageBreakBefore w:val="0"/>
        <w:widowControl w:val="0"/>
        <w:kinsoku/>
        <w:bidi w:val="0"/>
        <w:ind w:left="720" w:leftChars="0" w:hanging="720" w:firstLineChars="0"/>
      </w:pPr>
      <w:bookmarkStart w:id="904" w:name="_Toc55945292"/>
      <w:bookmarkStart w:id="905" w:name="_Toc5579"/>
      <w:bookmarkStart w:id="906" w:name="_Toc46697226"/>
      <w:bookmarkStart w:id="907" w:name="_Toc60925401"/>
      <w:bookmarkStart w:id="908" w:name="_Toc1548"/>
      <w:r>
        <w:rPr>
          <w:rFonts w:hint="eastAsia"/>
          <w:lang w:eastAsia="zh-CN"/>
        </w:rPr>
        <w:t>评价单元划分</w:t>
      </w:r>
      <w:r>
        <w:rPr>
          <w:rFonts w:hint="eastAsia"/>
        </w:rPr>
        <w:t>过程与结果</w:t>
      </w:r>
      <w:bookmarkEnd w:id="904"/>
      <w:bookmarkEnd w:id="905"/>
      <w:bookmarkEnd w:id="906"/>
      <w:bookmarkEnd w:id="907"/>
      <w:bookmarkEnd w:id="908"/>
    </w:p>
    <w:p w14:paraId="5055BB8F">
      <w:pPr>
        <w:keepNext w:val="0"/>
        <w:keepLines w:val="0"/>
        <w:pageBreakBefore w:val="0"/>
        <w:widowControl w:val="0"/>
        <w:kinsoku/>
        <w:wordWrap/>
        <w:topLinePunct/>
        <w:bidi w:val="0"/>
        <w:adjustRightInd w:val="0"/>
        <w:snapToGrid w:val="0"/>
        <w:ind w:firstLine="560"/>
        <w:rPr>
          <w:rFonts w:hint="eastAsia" w:ascii="宋体" w:hAnsi="宋体" w:eastAsia="宋体" w:cs="宋体"/>
          <w:snapToGrid w:val="0"/>
          <w:kern w:val="0"/>
          <w:szCs w:val="28"/>
        </w:rPr>
      </w:pPr>
      <w:r>
        <w:rPr>
          <w:rFonts w:hint="eastAsia" w:ascii="宋体" w:hAnsi="宋体" w:eastAsia="宋体" w:cs="宋体"/>
          <w:snapToGrid w:val="0"/>
          <w:kern w:val="0"/>
          <w:szCs w:val="28"/>
        </w:rPr>
        <w:t>常用的</w:t>
      </w:r>
      <w:r>
        <w:rPr>
          <w:rFonts w:hint="eastAsia" w:ascii="宋体" w:hAnsi="宋体" w:eastAsia="宋体" w:cs="宋体"/>
          <w:snapToGrid w:val="0"/>
          <w:kern w:val="0"/>
          <w:szCs w:val="28"/>
          <w:lang w:eastAsia="zh-CN"/>
        </w:rPr>
        <w:t>评价单元划分</w:t>
      </w:r>
      <w:r>
        <w:rPr>
          <w:rFonts w:hint="eastAsia" w:ascii="宋体" w:hAnsi="宋体" w:eastAsia="宋体" w:cs="宋体"/>
          <w:snapToGrid w:val="0"/>
          <w:kern w:val="0"/>
          <w:szCs w:val="28"/>
        </w:rPr>
        <w:t>方法有：</w:t>
      </w:r>
    </w:p>
    <w:p w14:paraId="13C3A213">
      <w:pPr>
        <w:keepNext w:val="0"/>
        <w:keepLines w:val="0"/>
        <w:pageBreakBefore w:val="0"/>
        <w:widowControl w:val="0"/>
        <w:numPr>
          <w:ilvl w:val="0"/>
          <w:numId w:val="92"/>
        </w:numPr>
        <w:kinsoku/>
        <w:wordWrap/>
        <w:overflowPunct/>
        <w:topLinePunct/>
        <w:autoSpaceDE/>
        <w:autoSpaceDN/>
        <w:bidi w:val="0"/>
        <w:adjustRightInd/>
        <w:snapToGrid/>
        <w:ind w:left="0" w:leftChars="0" w:firstLine="560" w:firstLineChars="200"/>
        <w:jc w:val="left"/>
        <w:textAlignment w:val="auto"/>
        <w:rPr>
          <w:rFonts w:hint="eastAsia" w:ascii="宋体" w:hAnsi="宋体" w:eastAsia="宋体" w:cs="宋体"/>
          <w:snapToGrid w:val="0"/>
          <w:kern w:val="0"/>
          <w:szCs w:val="28"/>
        </w:rPr>
      </w:pPr>
      <w:r>
        <w:rPr>
          <w:rFonts w:hint="eastAsia" w:ascii="宋体" w:hAnsi="宋体" w:eastAsia="宋体" w:cs="宋体"/>
          <w:snapToGrid w:val="0"/>
          <w:kern w:val="0"/>
          <w:szCs w:val="28"/>
        </w:rPr>
        <w:t>以</w:t>
      </w:r>
      <w:r>
        <w:rPr>
          <w:rFonts w:hint="eastAsia" w:ascii="宋体" w:hAnsi="宋体" w:eastAsia="宋体" w:cs="宋体"/>
          <w:snapToGrid w:val="0"/>
          <w:kern w:val="0"/>
          <w:szCs w:val="28"/>
          <w:lang w:eastAsia="zh-CN"/>
        </w:rPr>
        <w:t>危险有害因素</w:t>
      </w:r>
      <w:r>
        <w:rPr>
          <w:rFonts w:hint="eastAsia" w:ascii="宋体" w:hAnsi="宋体" w:eastAsia="宋体" w:cs="宋体"/>
          <w:snapToGrid w:val="0"/>
          <w:kern w:val="0"/>
          <w:szCs w:val="28"/>
        </w:rPr>
        <w:t>的类别为主划分评价单元</w:t>
      </w:r>
    </w:p>
    <w:p w14:paraId="6548F269">
      <w:pPr>
        <w:keepNext w:val="0"/>
        <w:keepLines w:val="0"/>
        <w:pageBreakBefore w:val="0"/>
        <w:widowControl w:val="0"/>
        <w:numPr>
          <w:ilvl w:val="0"/>
          <w:numId w:val="93"/>
        </w:numPr>
        <w:kinsoku/>
        <w:wordWrap/>
        <w:topLinePunct/>
        <w:bidi w:val="0"/>
        <w:adjustRightInd w:val="0"/>
        <w:snapToGrid w:val="0"/>
        <w:ind w:left="0" w:leftChars="0" w:firstLine="560" w:firstLineChars="200"/>
        <w:rPr>
          <w:rFonts w:hint="eastAsia" w:ascii="宋体" w:hAnsi="宋体" w:eastAsia="宋体" w:cs="宋体"/>
          <w:snapToGrid w:val="0"/>
          <w:kern w:val="0"/>
          <w:szCs w:val="28"/>
        </w:rPr>
      </w:pPr>
      <w:r>
        <w:rPr>
          <w:rFonts w:hint="eastAsia" w:ascii="宋体" w:hAnsi="宋体" w:eastAsia="宋体" w:cs="宋体"/>
          <w:snapToGrid w:val="0"/>
          <w:kern w:val="0"/>
          <w:szCs w:val="28"/>
        </w:rPr>
        <w:t>对工艺方案、总体布置及自然条件、环境对系统影响等综合方面的</w:t>
      </w:r>
      <w:r>
        <w:rPr>
          <w:rFonts w:hint="eastAsia" w:ascii="宋体" w:hAnsi="宋体" w:eastAsia="宋体" w:cs="宋体"/>
          <w:snapToGrid w:val="0"/>
          <w:kern w:val="0"/>
          <w:szCs w:val="28"/>
          <w:lang w:eastAsia="zh-CN"/>
        </w:rPr>
        <w:t>危险有害因素</w:t>
      </w:r>
      <w:r>
        <w:rPr>
          <w:rFonts w:hint="eastAsia" w:ascii="宋体" w:hAnsi="宋体" w:eastAsia="宋体" w:cs="宋体"/>
          <w:snapToGrid w:val="0"/>
          <w:kern w:val="0"/>
          <w:szCs w:val="28"/>
        </w:rPr>
        <w:t>的分析和评价，可将整个系统作为一个评价单元；</w:t>
      </w:r>
    </w:p>
    <w:p w14:paraId="637C521F">
      <w:pPr>
        <w:keepNext w:val="0"/>
        <w:keepLines w:val="0"/>
        <w:pageBreakBefore w:val="0"/>
        <w:widowControl w:val="0"/>
        <w:numPr>
          <w:ilvl w:val="0"/>
          <w:numId w:val="93"/>
        </w:numPr>
        <w:kinsoku/>
        <w:wordWrap/>
        <w:topLinePunct/>
        <w:bidi w:val="0"/>
        <w:adjustRightInd w:val="0"/>
        <w:snapToGrid w:val="0"/>
        <w:ind w:left="0" w:leftChars="0" w:firstLine="560" w:firstLineChars="200"/>
        <w:rPr>
          <w:rFonts w:hint="eastAsia" w:ascii="宋体" w:hAnsi="宋体" w:eastAsia="宋体" w:cs="宋体"/>
          <w:snapToGrid w:val="0"/>
          <w:kern w:val="0"/>
          <w:szCs w:val="28"/>
        </w:rPr>
      </w:pPr>
      <w:r>
        <w:rPr>
          <w:rFonts w:hint="eastAsia" w:ascii="宋体" w:hAnsi="宋体" w:eastAsia="宋体" w:cs="宋体"/>
          <w:snapToGrid w:val="0"/>
          <w:kern w:val="0"/>
          <w:szCs w:val="28"/>
        </w:rPr>
        <w:t>将具有共性危险因素、有害因素的场所和装置划为一个单元。</w:t>
      </w:r>
    </w:p>
    <w:p w14:paraId="5B924F37">
      <w:pPr>
        <w:keepNext w:val="0"/>
        <w:keepLines w:val="0"/>
        <w:pageBreakBefore w:val="0"/>
        <w:widowControl w:val="0"/>
        <w:numPr>
          <w:ilvl w:val="0"/>
          <w:numId w:val="92"/>
        </w:numPr>
        <w:kinsoku/>
        <w:wordWrap/>
        <w:overflowPunct/>
        <w:topLinePunct/>
        <w:autoSpaceDE/>
        <w:autoSpaceDN/>
        <w:bidi w:val="0"/>
        <w:adjustRightInd/>
        <w:snapToGrid/>
        <w:ind w:left="0" w:leftChars="0" w:firstLine="560" w:firstLineChars="200"/>
        <w:jc w:val="left"/>
        <w:textAlignment w:val="auto"/>
        <w:rPr>
          <w:rFonts w:hint="eastAsia" w:ascii="宋体" w:hAnsi="宋体" w:eastAsia="宋体" w:cs="宋体"/>
          <w:snapToGrid w:val="0"/>
          <w:kern w:val="0"/>
          <w:szCs w:val="28"/>
        </w:rPr>
      </w:pPr>
      <w:r>
        <w:rPr>
          <w:rFonts w:hint="eastAsia" w:ascii="宋体" w:hAnsi="宋体" w:eastAsia="宋体" w:cs="宋体"/>
          <w:snapToGrid w:val="0"/>
          <w:kern w:val="0"/>
          <w:szCs w:val="28"/>
        </w:rPr>
        <w:t>以装置和物质特征划分评价单元</w:t>
      </w:r>
    </w:p>
    <w:p w14:paraId="726727EA">
      <w:pPr>
        <w:keepNext w:val="0"/>
        <w:keepLines w:val="0"/>
        <w:pageBreakBefore w:val="0"/>
        <w:widowControl w:val="0"/>
        <w:numPr>
          <w:ilvl w:val="0"/>
          <w:numId w:val="93"/>
        </w:numPr>
        <w:kinsoku/>
        <w:wordWrap/>
        <w:topLinePunct/>
        <w:bidi w:val="0"/>
        <w:adjustRightInd w:val="0"/>
        <w:snapToGrid w:val="0"/>
        <w:ind w:left="0" w:leftChars="0" w:firstLine="560" w:firstLineChars="200"/>
        <w:rPr>
          <w:rFonts w:hint="eastAsia" w:ascii="宋体" w:hAnsi="宋体" w:eastAsia="宋体" w:cs="宋体"/>
          <w:snapToGrid w:val="0"/>
          <w:kern w:val="0"/>
          <w:szCs w:val="28"/>
        </w:rPr>
      </w:pPr>
      <w:r>
        <w:rPr>
          <w:rFonts w:hint="eastAsia" w:ascii="宋体" w:hAnsi="宋体" w:eastAsia="宋体" w:cs="宋体"/>
          <w:snapToGrid w:val="0"/>
          <w:kern w:val="0"/>
          <w:szCs w:val="28"/>
        </w:rPr>
        <w:t>按装置工艺功能划分；</w:t>
      </w:r>
    </w:p>
    <w:p w14:paraId="34A777BF">
      <w:pPr>
        <w:keepNext w:val="0"/>
        <w:keepLines w:val="0"/>
        <w:pageBreakBefore w:val="0"/>
        <w:widowControl w:val="0"/>
        <w:numPr>
          <w:ilvl w:val="0"/>
          <w:numId w:val="93"/>
        </w:numPr>
        <w:kinsoku/>
        <w:wordWrap/>
        <w:topLinePunct/>
        <w:bidi w:val="0"/>
        <w:adjustRightInd w:val="0"/>
        <w:snapToGrid w:val="0"/>
        <w:ind w:left="0" w:leftChars="0" w:firstLine="560" w:firstLineChars="200"/>
        <w:rPr>
          <w:rFonts w:hint="eastAsia" w:ascii="宋体" w:hAnsi="宋体" w:eastAsia="宋体" w:cs="宋体"/>
          <w:snapToGrid w:val="0"/>
          <w:kern w:val="0"/>
          <w:szCs w:val="28"/>
        </w:rPr>
      </w:pPr>
      <w:r>
        <w:rPr>
          <w:rFonts w:hint="eastAsia" w:ascii="宋体" w:hAnsi="宋体" w:eastAsia="宋体" w:cs="宋体"/>
          <w:snapToGrid w:val="0"/>
          <w:kern w:val="0"/>
          <w:szCs w:val="28"/>
        </w:rPr>
        <w:t>按布置的相对独立性划分；</w:t>
      </w:r>
    </w:p>
    <w:p w14:paraId="1BE4A4B3">
      <w:pPr>
        <w:keepNext w:val="0"/>
        <w:keepLines w:val="0"/>
        <w:pageBreakBefore w:val="0"/>
        <w:widowControl w:val="0"/>
        <w:numPr>
          <w:ilvl w:val="0"/>
          <w:numId w:val="93"/>
        </w:numPr>
        <w:kinsoku/>
        <w:wordWrap/>
        <w:topLinePunct/>
        <w:bidi w:val="0"/>
        <w:adjustRightInd w:val="0"/>
        <w:snapToGrid w:val="0"/>
        <w:ind w:left="0" w:leftChars="0" w:firstLine="560" w:firstLineChars="200"/>
        <w:rPr>
          <w:rFonts w:hint="eastAsia" w:ascii="宋体" w:hAnsi="宋体" w:eastAsia="宋体" w:cs="宋体"/>
          <w:snapToGrid w:val="0"/>
          <w:kern w:val="0"/>
          <w:szCs w:val="28"/>
        </w:rPr>
      </w:pPr>
      <w:r>
        <w:rPr>
          <w:rFonts w:hint="eastAsia" w:ascii="宋体" w:hAnsi="宋体" w:eastAsia="宋体" w:cs="宋体"/>
          <w:snapToGrid w:val="0"/>
          <w:kern w:val="0"/>
          <w:szCs w:val="28"/>
        </w:rPr>
        <w:t>按工艺条件划分评价单元；</w:t>
      </w:r>
    </w:p>
    <w:p w14:paraId="3E12B28B">
      <w:pPr>
        <w:keepNext w:val="0"/>
        <w:keepLines w:val="0"/>
        <w:pageBreakBefore w:val="0"/>
        <w:widowControl w:val="0"/>
        <w:numPr>
          <w:ilvl w:val="0"/>
          <w:numId w:val="93"/>
        </w:numPr>
        <w:kinsoku/>
        <w:wordWrap/>
        <w:topLinePunct/>
        <w:bidi w:val="0"/>
        <w:adjustRightInd w:val="0"/>
        <w:snapToGrid w:val="0"/>
        <w:ind w:left="0" w:leftChars="0" w:firstLine="560" w:firstLineChars="200"/>
        <w:rPr>
          <w:rFonts w:hint="eastAsia" w:ascii="宋体" w:hAnsi="宋体" w:eastAsia="宋体" w:cs="宋体"/>
          <w:snapToGrid w:val="0"/>
          <w:kern w:val="0"/>
          <w:szCs w:val="28"/>
        </w:rPr>
      </w:pPr>
      <w:r>
        <w:rPr>
          <w:rFonts w:hint="eastAsia" w:ascii="宋体" w:hAnsi="宋体" w:eastAsia="宋体" w:cs="宋体"/>
          <w:snapToGrid w:val="0"/>
          <w:kern w:val="0"/>
          <w:szCs w:val="28"/>
        </w:rPr>
        <w:t>按贮存、处理危险物品的潜在化学能、毒性和危险物品的数量划分评价单元；</w:t>
      </w:r>
    </w:p>
    <w:p w14:paraId="16A8CC0B">
      <w:pPr>
        <w:keepNext w:val="0"/>
        <w:keepLines w:val="0"/>
        <w:pageBreakBefore w:val="0"/>
        <w:widowControl w:val="0"/>
        <w:numPr>
          <w:ilvl w:val="0"/>
          <w:numId w:val="93"/>
        </w:numPr>
        <w:kinsoku/>
        <w:wordWrap/>
        <w:topLinePunct/>
        <w:bidi w:val="0"/>
        <w:adjustRightInd w:val="0"/>
        <w:snapToGrid w:val="0"/>
        <w:ind w:left="0" w:leftChars="0" w:firstLine="560" w:firstLineChars="200"/>
        <w:rPr>
          <w:rFonts w:hint="eastAsia" w:ascii="宋体" w:hAnsi="宋体" w:eastAsia="宋体" w:cs="宋体"/>
          <w:snapToGrid w:val="0"/>
          <w:kern w:val="0"/>
          <w:szCs w:val="28"/>
        </w:rPr>
      </w:pPr>
      <w:r>
        <w:rPr>
          <w:rFonts w:hint="eastAsia" w:ascii="宋体" w:hAnsi="宋体" w:eastAsia="宋体" w:cs="宋体"/>
          <w:snapToGrid w:val="0"/>
          <w:kern w:val="0"/>
          <w:szCs w:val="28"/>
        </w:rPr>
        <w:t>根据以往事故资料，将发生事故能导致停产、波及范围大、造成巨大损失和伤害的关键设备作为一个单元；</w:t>
      </w:r>
    </w:p>
    <w:p w14:paraId="3267138B">
      <w:pPr>
        <w:keepNext w:val="0"/>
        <w:keepLines w:val="0"/>
        <w:pageBreakBefore w:val="0"/>
        <w:widowControl w:val="0"/>
        <w:numPr>
          <w:ilvl w:val="0"/>
          <w:numId w:val="93"/>
        </w:numPr>
        <w:kinsoku/>
        <w:wordWrap/>
        <w:topLinePunct/>
        <w:bidi w:val="0"/>
        <w:adjustRightInd w:val="0"/>
        <w:snapToGrid w:val="0"/>
        <w:ind w:left="0" w:leftChars="0" w:firstLine="560" w:firstLineChars="200"/>
        <w:rPr>
          <w:rFonts w:hint="eastAsia" w:ascii="宋体" w:hAnsi="宋体" w:eastAsia="宋体" w:cs="宋体"/>
          <w:snapToGrid w:val="0"/>
          <w:kern w:val="0"/>
          <w:szCs w:val="28"/>
        </w:rPr>
      </w:pPr>
      <w:r>
        <w:rPr>
          <w:rFonts w:hint="eastAsia" w:ascii="宋体" w:hAnsi="宋体" w:eastAsia="宋体" w:cs="宋体"/>
          <w:snapToGrid w:val="0"/>
          <w:kern w:val="0"/>
          <w:szCs w:val="28"/>
        </w:rPr>
        <w:t>将危险性大且资金密度大的区域作为一个评价单元；</w:t>
      </w:r>
    </w:p>
    <w:p w14:paraId="12B110FD">
      <w:pPr>
        <w:keepNext w:val="0"/>
        <w:keepLines w:val="0"/>
        <w:pageBreakBefore w:val="0"/>
        <w:widowControl w:val="0"/>
        <w:numPr>
          <w:ilvl w:val="0"/>
          <w:numId w:val="93"/>
        </w:numPr>
        <w:kinsoku/>
        <w:wordWrap/>
        <w:topLinePunct/>
        <w:bidi w:val="0"/>
        <w:adjustRightInd w:val="0"/>
        <w:snapToGrid w:val="0"/>
        <w:ind w:left="0" w:leftChars="0" w:firstLine="560" w:firstLineChars="200"/>
        <w:rPr>
          <w:rFonts w:hint="eastAsia" w:ascii="宋体" w:hAnsi="宋体" w:eastAsia="宋体" w:cs="宋体"/>
          <w:snapToGrid w:val="0"/>
          <w:kern w:val="0"/>
          <w:szCs w:val="28"/>
        </w:rPr>
      </w:pPr>
      <w:r>
        <w:rPr>
          <w:rFonts w:hint="eastAsia" w:ascii="宋体" w:hAnsi="宋体" w:eastAsia="宋体" w:cs="宋体"/>
          <w:snapToGrid w:val="0"/>
          <w:kern w:val="0"/>
          <w:szCs w:val="28"/>
        </w:rPr>
        <w:t>将危险性特别大的区域、装置作为一个评价单元；</w:t>
      </w:r>
    </w:p>
    <w:p w14:paraId="059BE98C">
      <w:pPr>
        <w:keepNext w:val="0"/>
        <w:keepLines w:val="0"/>
        <w:pageBreakBefore w:val="0"/>
        <w:widowControl w:val="0"/>
        <w:numPr>
          <w:ilvl w:val="0"/>
          <w:numId w:val="93"/>
        </w:numPr>
        <w:kinsoku/>
        <w:wordWrap/>
        <w:topLinePunct/>
        <w:bidi w:val="0"/>
        <w:adjustRightInd w:val="0"/>
        <w:snapToGrid w:val="0"/>
        <w:ind w:left="0" w:leftChars="0" w:firstLine="560" w:firstLineChars="200"/>
        <w:rPr>
          <w:rFonts w:hint="eastAsia" w:ascii="宋体" w:hAnsi="宋体" w:eastAsia="宋体" w:cs="宋体"/>
          <w:snapToGrid w:val="0"/>
          <w:kern w:val="0"/>
          <w:szCs w:val="28"/>
        </w:rPr>
      </w:pPr>
      <w:r>
        <w:rPr>
          <w:rFonts w:hint="eastAsia" w:ascii="宋体" w:hAnsi="宋体" w:eastAsia="宋体" w:cs="宋体"/>
          <w:snapToGrid w:val="0"/>
          <w:kern w:val="0"/>
          <w:szCs w:val="28"/>
        </w:rPr>
        <w:t>将具有类似危险性潜能的单元合并为一个大单元。</w:t>
      </w:r>
    </w:p>
    <w:p w14:paraId="60869BE9">
      <w:pPr>
        <w:keepNext w:val="0"/>
        <w:keepLines w:val="0"/>
        <w:pageBreakBefore w:val="0"/>
        <w:widowControl w:val="0"/>
        <w:kinsoku/>
        <w:wordWrap/>
        <w:topLinePunct/>
        <w:bidi w:val="0"/>
        <w:ind w:firstLine="560"/>
        <w:rPr>
          <w:rFonts w:hint="eastAsia" w:ascii="宋体" w:hAnsi="宋体" w:eastAsia="宋体" w:cs="宋体"/>
          <w:snapToGrid w:val="0"/>
          <w:kern w:val="0"/>
          <w:szCs w:val="28"/>
        </w:rPr>
      </w:pPr>
      <w:r>
        <w:rPr>
          <w:rFonts w:hint="eastAsia" w:ascii="宋体" w:hAnsi="宋体" w:eastAsia="宋体" w:cs="宋体"/>
          <w:snapToGrid w:val="0"/>
          <w:kern w:val="0"/>
          <w:szCs w:val="28"/>
        </w:rPr>
        <w:t>根据上述安全评价单元的划分原则和方法，以及本项目生产过程中</w:t>
      </w:r>
      <w:r>
        <w:rPr>
          <w:rFonts w:hint="eastAsia" w:ascii="宋体" w:hAnsi="宋体" w:eastAsia="宋体" w:cs="宋体"/>
          <w:snapToGrid w:val="0"/>
          <w:kern w:val="0"/>
          <w:szCs w:val="28"/>
          <w:lang w:eastAsia="zh-CN"/>
        </w:rPr>
        <w:t>危险有害因素</w:t>
      </w:r>
      <w:r>
        <w:rPr>
          <w:rFonts w:hint="eastAsia" w:ascii="宋体" w:hAnsi="宋体" w:eastAsia="宋体" w:cs="宋体"/>
          <w:snapToGrid w:val="0"/>
          <w:kern w:val="0"/>
          <w:szCs w:val="28"/>
        </w:rPr>
        <w:t>的性质和分布情况等，将本项目分为以下分析单元进行安全验收。</w:t>
      </w:r>
      <w:r>
        <w:rPr>
          <w:rFonts w:hint="eastAsia" w:ascii="宋体" w:hAnsi="宋体" w:eastAsia="宋体" w:cs="宋体"/>
          <w:snapToGrid w:val="0"/>
          <w:kern w:val="0"/>
          <w:szCs w:val="28"/>
          <w:lang w:eastAsia="zh-CN"/>
        </w:rPr>
        <w:t>评价单元划分</w:t>
      </w:r>
      <w:r>
        <w:rPr>
          <w:rFonts w:hint="eastAsia" w:ascii="宋体" w:hAnsi="宋体" w:eastAsia="宋体" w:cs="宋体"/>
          <w:snapToGrid w:val="0"/>
          <w:kern w:val="0"/>
          <w:szCs w:val="28"/>
        </w:rPr>
        <w:t>如下：</w:t>
      </w:r>
    </w:p>
    <w:bookmarkEnd w:id="896"/>
    <w:bookmarkEnd w:id="897"/>
    <w:bookmarkEnd w:id="898"/>
    <w:p w14:paraId="4FAB4840">
      <w:pPr>
        <w:keepNext w:val="0"/>
        <w:keepLines w:val="0"/>
        <w:pageBreakBefore w:val="0"/>
        <w:widowControl w:val="0"/>
        <w:numPr>
          <w:ilvl w:val="0"/>
          <w:numId w:val="9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eastAsia="zh-CN"/>
        </w:rPr>
      </w:pPr>
      <w:bookmarkStart w:id="909" w:name="_Toc536379030"/>
      <w:bookmarkStart w:id="910" w:name="_Toc46697228"/>
      <w:bookmarkStart w:id="911" w:name="_Toc22601"/>
      <w:bookmarkStart w:id="912" w:name="_Toc378002287"/>
      <w:bookmarkStart w:id="913" w:name="_Toc378322758"/>
      <w:bookmarkStart w:id="914" w:name="_Toc45358660"/>
      <w:bookmarkStart w:id="915" w:name="_Toc413501923"/>
      <w:bookmarkStart w:id="916" w:name="_Toc60925403"/>
      <w:bookmarkStart w:id="917" w:name="_Toc393463087"/>
      <w:bookmarkStart w:id="918" w:name="_Toc55945294"/>
      <w:bookmarkStart w:id="919" w:name="_Toc393462899"/>
      <w:r>
        <w:rPr>
          <w:rFonts w:hint="eastAsia" w:ascii="宋体" w:hAnsi="宋体" w:eastAsia="宋体" w:cs="宋体"/>
          <w:lang w:eastAsia="zh-CN"/>
        </w:rPr>
        <w:t>法律法规符合性</w:t>
      </w:r>
      <w:r>
        <w:rPr>
          <w:rFonts w:hint="eastAsia" w:cs="宋体"/>
          <w:lang w:eastAsia="zh-CN"/>
        </w:rPr>
        <w:t>；</w:t>
      </w:r>
    </w:p>
    <w:p w14:paraId="10C4A464">
      <w:pPr>
        <w:keepNext w:val="0"/>
        <w:keepLines w:val="0"/>
        <w:pageBreakBefore w:val="0"/>
        <w:widowControl w:val="0"/>
        <w:numPr>
          <w:ilvl w:val="0"/>
          <w:numId w:val="9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eastAsia="zh-CN"/>
        </w:rPr>
      </w:pPr>
      <w:r>
        <w:rPr>
          <w:rFonts w:hint="eastAsia" w:ascii="宋体" w:hAnsi="宋体" w:eastAsia="宋体" w:cs="宋体"/>
          <w:lang w:eastAsia="zh-CN"/>
        </w:rPr>
        <w:t>选址、总平面布置及建构筑物单元评价</w:t>
      </w:r>
    </w:p>
    <w:p w14:paraId="1BC88CB2">
      <w:pPr>
        <w:keepNext w:val="0"/>
        <w:keepLines w:val="0"/>
        <w:pageBreakBefore w:val="0"/>
        <w:widowControl w:val="0"/>
        <w:numPr>
          <w:ilvl w:val="0"/>
          <w:numId w:val="9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eastAsia="zh-CN"/>
        </w:rPr>
      </w:pPr>
      <w:r>
        <w:rPr>
          <w:rFonts w:hint="eastAsia" w:ascii="宋体" w:hAnsi="宋体" w:eastAsia="宋体" w:cs="宋体"/>
          <w:lang w:eastAsia="zh-CN"/>
        </w:rPr>
        <w:t>物料、产品安全性评价单元</w:t>
      </w:r>
    </w:p>
    <w:p w14:paraId="574DC538">
      <w:pPr>
        <w:keepNext w:val="0"/>
        <w:keepLines w:val="0"/>
        <w:pageBreakBefore w:val="0"/>
        <w:widowControl w:val="0"/>
        <w:numPr>
          <w:ilvl w:val="0"/>
          <w:numId w:val="9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eastAsia="zh-CN"/>
        </w:rPr>
      </w:pPr>
      <w:r>
        <w:rPr>
          <w:rFonts w:hint="eastAsia" w:ascii="宋体" w:hAnsi="宋体" w:eastAsia="宋体" w:cs="宋体"/>
          <w:lang w:eastAsia="zh-CN"/>
        </w:rPr>
        <w:t>生产工艺系统、装置、设施、设备单元</w:t>
      </w:r>
    </w:p>
    <w:p w14:paraId="2FFD12CD">
      <w:pPr>
        <w:keepNext w:val="0"/>
        <w:keepLines w:val="0"/>
        <w:pageBreakBefore w:val="0"/>
        <w:widowControl w:val="0"/>
        <w:numPr>
          <w:ilvl w:val="0"/>
          <w:numId w:val="9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eastAsia="zh-CN"/>
        </w:rPr>
      </w:pPr>
      <w:r>
        <w:rPr>
          <w:rFonts w:hint="eastAsia" w:ascii="宋体" w:hAnsi="宋体" w:eastAsia="宋体" w:cs="宋体"/>
          <w:lang w:eastAsia="zh-CN"/>
        </w:rPr>
        <w:t>公用和辅助设备设施单元</w:t>
      </w:r>
    </w:p>
    <w:p w14:paraId="21E9AE99">
      <w:pPr>
        <w:keepNext w:val="0"/>
        <w:keepLines w:val="0"/>
        <w:pageBreakBefore w:val="0"/>
        <w:widowControl w:val="0"/>
        <w:numPr>
          <w:ilvl w:val="0"/>
          <w:numId w:val="9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eastAsia="zh-CN"/>
        </w:rPr>
      </w:pPr>
      <w:r>
        <w:rPr>
          <w:rFonts w:hint="eastAsia" w:ascii="宋体" w:hAnsi="宋体" w:eastAsia="宋体" w:cs="宋体"/>
          <w:lang w:eastAsia="zh-CN"/>
        </w:rPr>
        <w:t>特种设备设施及强制检验设备设施单元</w:t>
      </w:r>
    </w:p>
    <w:p w14:paraId="64EC18E5">
      <w:pPr>
        <w:keepNext w:val="0"/>
        <w:keepLines w:val="0"/>
        <w:pageBreakBefore w:val="0"/>
        <w:widowControl w:val="0"/>
        <w:numPr>
          <w:ilvl w:val="0"/>
          <w:numId w:val="9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eastAsia="zh-CN"/>
        </w:rPr>
      </w:pPr>
      <w:r>
        <w:rPr>
          <w:rFonts w:hint="eastAsia" w:ascii="宋体" w:hAnsi="宋体" w:eastAsia="宋体" w:cs="宋体"/>
          <w:lang w:eastAsia="zh-CN"/>
        </w:rPr>
        <w:t>周边环境适宜性评价</w:t>
      </w:r>
    </w:p>
    <w:p w14:paraId="45846BA3">
      <w:pPr>
        <w:keepNext w:val="0"/>
        <w:keepLines w:val="0"/>
        <w:pageBreakBefore w:val="0"/>
        <w:widowControl w:val="0"/>
        <w:numPr>
          <w:ilvl w:val="0"/>
          <w:numId w:val="9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eastAsia="zh-CN"/>
        </w:rPr>
      </w:pPr>
      <w:r>
        <w:rPr>
          <w:rFonts w:hint="eastAsia" w:ascii="宋体" w:hAnsi="宋体" w:eastAsia="宋体" w:cs="宋体"/>
          <w:lang w:eastAsia="zh-CN"/>
        </w:rPr>
        <w:t>安全管理及应急救援单元</w:t>
      </w:r>
    </w:p>
    <w:p w14:paraId="3981863E">
      <w:pPr>
        <w:keepNext w:val="0"/>
        <w:keepLines w:val="0"/>
        <w:pageBreakBefore w:val="0"/>
        <w:widowControl w:val="0"/>
        <w:numPr>
          <w:ilvl w:val="0"/>
          <w:numId w:val="9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eastAsia="zh-CN"/>
        </w:rPr>
      </w:pPr>
      <w:r>
        <w:rPr>
          <w:rFonts w:hint="eastAsia" w:ascii="宋体" w:hAnsi="宋体" w:eastAsia="宋体" w:cs="宋体"/>
          <w:lang w:eastAsia="zh-CN"/>
        </w:rPr>
        <w:t>其他安全设施单元</w:t>
      </w:r>
    </w:p>
    <w:p w14:paraId="26BE0AD3">
      <w:pPr>
        <w:keepNext w:val="0"/>
        <w:keepLines w:val="0"/>
        <w:pageBreakBefore w:val="0"/>
        <w:widowControl w:val="0"/>
        <w:numPr>
          <w:ilvl w:val="0"/>
          <w:numId w:val="9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eastAsia="zh-CN"/>
        </w:rPr>
      </w:pPr>
      <w:r>
        <w:rPr>
          <w:rFonts w:hint="eastAsia" w:ascii="宋体" w:hAnsi="宋体" w:eastAsia="宋体" w:cs="宋体"/>
          <w:lang w:eastAsia="zh-CN"/>
        </w:rPr>
        <w:t>工贸行业重大事故隐患判定单元</w:t>
      </w:r>
    </w:p>
    <w:p w14:paraId="2401ECC9">
      <w:pPr>
        <w:keepNext w:val="0"/>
        <w:keepLines w:val="0"/>
        <w:pageBreakBefore w:val="0"/>
        <w:widowControl w:val="0"/>
        <w:numPr>
          <w:ilvl w:val="0"/>
          <w:numId w:val="9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eastAsia="zh-CN"/>
        </w:rPr>
        <w:t>安全设施设计中安全对策措施</w:t>
      </w:r>
      <w:r>
        <w:rPr>
          <w:rFonts w:hint="eastAsia" w:cs="宋体"/>
          <w:lang w:val="en-US" w:eastAsia="zh-CN"/>
        </w:rPr>
        <w:t>建设运行说明单元</w:t>
      </w:r>
    </w:p>
    <w:p w14:paraId="68DAF821">
      <w:pPr>
        <w:pStyle w:val="3"/>
        <w:keepNext w:val="0"/>
        <w:keepLines w:val="0"/>
        <w:pageBreakBefore w:val="0"/>
        <w:widowControl w:val="0"/>
        <w:kinsoku/>
        <w:bidi w:val="0"/>
        <w:ind w:left="575" w:leftChars="0" w:hanging="575" w:firstLineChars="0"/>
      </w:pPr>
      <w:bookmarkStart w:id="920" w:name="_Toc29235"/>
      <w:r>
        <w:rPr>
          <w:rFonts w:hint="eastAsia"/>
          <w:lang w:eastAsia="zh-CN"/>
        </w:rPr>
        <w:t>评价方法</w:t>
      </w:r>
      <w:r>
        <w:rPr>
          <w:rFonts w:hint="eastAsia"/>
        </w:rPr>
        <w:t>简介</w:t>
      </w:r>
      <w:bookmarkEnd w:id="909"/>
      <w:bookmarkEnd w:id="910"/>
      <w:bookmarkEnd w:id="911"/>
      <w:bookmarkEnd w:id="912"/>
      <w:bookmarkEnd w:id="913"/>
      <w:bookmarkEnd w:id="914"/>
      <w:bookmarkEnd w:id="915"/>
      <w:bookmarkEnd w:id="916"/>
      <w:bookmarkEnd w:id="917"/>
      <w:bookmarkEnd w:id="918"/>
      <w:bookmarkEnd w:id="919"/>
      <w:bookmarkEnd w:id="920"/>
    </w:p>
    <w:p w14:paraId="12AE67C4">
      <w:pPr>
        <w:keepNext w:val="0"/>
        <w:keepLines w:val="0"/>
        <w:pageBreakBefore w:val="0"/>
        <w:widowControl w:val="0"/>
        <w:kinsoku/>
        <w:wordWrap/>
        <w:overflowPunct/>
        <w:topLinePunct w:val="0"/>
        <w:autoSpaceDE/>
        <w:autoSpaceDN/>
        <w:bidi w:val="0"/>
        <w:adjustRightInd w:val="0"/>
        <w:snapToGrid/>
        <w:textAlignment w:val="auto"/>
      </w:pPr>
      <w:r>
        <w:rPr>
          <w:rFonts w:hint="eastAsia"/>
          <w:lang w:eastAsia="zh-CN"/>
        </w:rPr>
        <w:t>评价方法</w:t>
      </w:r>
      <w:r>
        <w:rPr>
          <w:rFonts w:hint="eastAsia"/>
        </w:rPr>
        <w:t>是对系统的危险因素、有害因素</w:t>
      </w:r>
      <w:r>
        <w:rPr>
          <w:rFonts w:hint="eastAsia"/>
          <w:lang w:eastAsia="zh-CN"/>
        </w:rPr>
        <w:t>及其</w:t>
      </w:r>
      <w:r>
        <w:rPr>
          <w:rFonts w:hint="eastAsia"/>
        </w:rPr>
        <w:t>危险、危害程度进行分析、评价的方法。目前，已开发出数十种不同特点、不同适用范围和应用条件的评价方法。按其特性可分为定性安全评价和定量安全评价。</w:t>
      </w:r>
    </w:p>
    <w:p w14:paraId="1B1EB795">
      <w:pPr>
        <w:keepNext w:val="0"/>
        <w:keepLines w:val="0"/>
        <w:pageBreakBefore w:val="0"/>
        <w:widowControl w:val="0"/>
        <w:kinsoku/>
        <w:wordWrap/>
        <w:overflowPunct/>
        <w:topLinePunct w:val="0"/>
        <w:autoSpaceDE/>
        <w:autoSpaceDN/>
        <w:bidi w:val="0"/>
        <w:adjustRightInd w:val="0"/>
        <w:snapToGrid/>
        <w:textAlignment w:val="auto"/>
      </w:pPr>
      <w:r>
        <w:rPr>
          <w:rFonts w:hint="eastAsia"/>
        </w:rPr>
        <w:t>由于该企业已做过安全预评价、安全设施设计，故我们选择评价方法时，主要采用安全检查表法。在安全系统工程中，安全检查表法是安全管理中最基础、最初步的一种方法。对于给定系统来说，安全检查表不仅是实施安全检查和诊断的一种有效的工具，也是发现潜在危险，旨在预防的有效手段，同时还是查找事故原因的一种方法。</w:t>
      </w:r>
    </w:p>
    <w:p w14:paraId="71D9C546">
      <w:pPr>
        <w:keepNext w:val="0"/>
        <w:keepLines w:val="0"/>
        <w:pageBreakBefore w:val="0"/>
        <w:widowControl w:val="0"/>
        <w:kinsoku/>
        <w:wordWrap/>
        <w:overflowPunct/>
        <w:topLinePunct w:val="0"/>
        <w:autoSpaceDE/>
        <w:autoSpaceDN/>
        <w:bidi w:val="0"/>
        <w:adjustRightInd w:val="0"/>
        <w:snapToGrid/>
        <w:textAlignment w:val="auto"/>
      </w:pPr>
      <w:r>
        <w:rPr>
          <w:rFonts w:hint="eastAsia"/>
        </w:rPr>
        <w:t>安全检查表是一份进行安全检查或出了事故进行诊断的项目明细表，通常检查人员是根据现场工艺特点、生产装置情况、安全标准规范以及事故教训等进行周密考虑，将系统中需要查明的问题或需要检查的项目一一列在表上，以备安全检查和事故分析查询时使用。使用时按项目可用</w:t>
      </w:r>
      <w:r>
        <w:t>“</w:t>
      </w:r>
      <w:r>
        <w:rPr>
          <w:rFonts w:hint="eastAsia"/>
        </w:rPr>
        <w:t>是</w:t>
      </w:r>
      <w:r>
        <w:t>”</w:t>
      </w:r>
      <w:r>
        <w:rPr>
          <w:rFonts w:hint="eastAsia"/>
        </w:rPr>
        <w:t>或</w:t>
      </w:r>
      <w:r>
        <w:t>“</w:t>
      </w:r>
      <w:r>
        <w:rPr>
          <w:rFonts w:hint="eastAsia"/>
        </w:rPr>
        <w:t>否</w:t>
      </w:r>
      <w:r>
        <w:t>”</w:t>
      </w:r>
      <w:r>
        <w:rPr>
          <w:rFonts w:hint="eastAsia"/>
        </w:rPr>
        <w:t>，用</w:t>
      </w:r>
      <w:r>
        <w:t>“√”</w:t>
      </w:r>
      <w:r>
        <w:rPr>
          <w:rFonts w:hint="eastAsia"/>
        </w:rPr>
        <w:t>或</w:t>
      </w:r>
      <w:r>
        <w:t>“×”</w:t>
      </w:r>
      <w:r>
        <w:rPr>
          <w:rFonts w:hint="eastAsia"/>
        </w:rPr>
        <w:t>，或用简单参数进行回答。</w:t>
      </w:r>
    </w:p>
    <w:p w14:paraId="3A60832F">
      <w:pPr>
        <w:keepNext w:val="0"/>
        <w:keepLines w:val="0"/>
        <w:pageBreakBefore w:val="0"/>
        <w:widowControl w:val="0"/>
        <w:kinsoku/>
        <w:wordWrap/>
        <w:overflowPunct/>
        <w:topLinePunct w:val="0"/>
        <w:autoSpaceDE/>
        <w:autoSpaceDN/>
        <w:bidi w:val="0"/>
        <w:adjustRightInd w:val="0"/>
        <w:snapToGrid/>
        <w:textAlignment w:val="auto"/>
      </w:pPr>
      <w:r>
        <w:rPr>
          <w:rFonts w:hint="eastAsia"/>
        </w:rPr>
        <w:t>安全检查表的优缺点：</w:t>
      </w:r>
    </w:p>
    <w:p w14:paraId="533430A4">
      <w:pPr>
        <w:keepNext w:val="0"/>
        <w:keepLines w:val="0"/>
        <w:pageBreakBefore w:val="0"/>
        <w:widowControl w:val="0"/>
        <w:kinsoku/>
        <w:wordWrap/>
        <w:overflowPunct/>
        <w:topLinePunct w:val="0"/>
        <w:autoSpaceDE/>
        <w:autoSpaceDN/>
        <w:bidi w:val="0"/>
        <w:adjustRightInd w:val="0"/>
        <w:snapToGrid/>
        <w:textAlignment w:val="auto"/>
      </w:pPr>
      <w:r>
        <w:t>1.</w:t>
      </w:r>
      <w:r>
        <w:rPr>
          <w:rFonts w:hint="eastAsia"/>
        </w:rPr>
        <w:t>优点</w:t>
      </w:r>
    </w:p>
    <w:p w14:paraId="117EF8AC">
      <w:pPr>
        <w:keepNext w:val="0"/>
        <w:keepLines w:val="0"/>
        <w:pageBreakBefore w:val="0"/>
        <w:widowControl w:val="0"/>
        <w:kinsoku/>
        <w:wordWrap/>
        <w:overflowPunct/>
        <w:topLinePunct w:val="0"/>
        <w:autoSpaceDE/>
        <w:autoSpaceDN/>
        <w:bidi w:val="0"/>
        <w:adjustRightInd w:val="0"/>
        <w:snapToGrid/>
        <w:textAlignment w:val="auto"/>
      </w:pPr>
      <w:r>
        <w:rPr>
          <w:rFonts w:hint="eastAsia"/>
        </w:rPr>
        <w:t>（</w:t>
      </w:r>
      <w:r>
        <w:t>1</w:t>
      </w:r>
      <w:r>
        <w:rPr>
          <w:rFonts w:hint="eastAsia"/>
        </w:rPr>
        <w:t>）避免传统的安全检查中易发生的疏忽、遗漏等弊端，可全面地查出</w:t>
      </w:r>
      <w:r>
        <w:rPr>
          <w:rFonts w:hint="eastAsia"/>
          <w:lang w:eastAsia="zh-CN"/>
        </w:rPr>
        <w:t>危险有害因素</w:t>
      </w:r>
      <w:r>
        <w:rPr>
          <w:rFonts w:hint="eastAsia"/>
        </w:rPr>
        <w:t>（包括各类隐患）和工作漏项。</w:t>
      </w:r>
    </w:p>
    <w:p w14:paraId="38DB48F8">
      <w:pPr>
        <w:keepNext w:val="0"/>
        <w:keepLines w:val="0"/>
        <w:pageBreakBefore w:val="0"/>
        <w:widowControl w:val="0"/>
        <w:kinsoku/>
        <w:wordWrap/>
        <w:overflowPunct/>
        <w:topLinePunct w:val="0"/>
        <w:autoSpaceDE/>
        <w:autoSpaceDN/>
        <w:bidi w:val="0"/>
        <w:adjustRightInd w:val="0"/>
        <w:snapToGrid/>
        <w:textAlignment w:val="auto"/>
      </w:pPr>
      <w:r>
        <w:rPr>
          <w:rFonts w:hint="eastAsia"/>
        </w:rPr>
        <w:t>（</w:t>
      </w:r>
      <w:r>
        <w:t>2</w:t>
      </w:r>
      <w:r>
        <w:rPr>
          <w:rFonts w:hint="eastAsia"/>
        </w:rPr>
        <w:t>）应用预先编制的系统检查表并依据有关法规、标准在检查表中列出了检查要求，使检查工作标准化、规范化。</w:t>
      </w:r>
    </w:p>
    <w:p w14:paraId="50BDFE5B">
      <w:pPr>
        <w:keepNext w:val="0"/>
        <w:keepLines w:val="0"/>
        <w:pageBreakBefore w:val="0"/>
        <w:widowControl w:val="0"/>
        <w:kinsoku/>
        <w:wordWrap/>
        <w:overflowPunct/>
        <w:topLinePunct w:val="0"/>
        <w:autoSpaceDE/>
        <w:autoSpaceDN/>
        <w:bidi w:val="0"/>
        <w:adjustRightInd w:val="0"/>
        <w:snapToGrid/>
        <w:textAlignment w:val="auto"/>
      </w:pPr>
      <w:r>
        <w:rPr>
          <w:rFonts w:hint="eastAsia"/>
        </w:rPr>
        <w:t>（</w:t>
      </w:r>
      <w:r>
        <w:t>3</w:t>
      </w:r>
      <w:r>
        <w:rPr>
          <w:rFonts w:hint="eastAsia"/>
        </w:rPr>
        <w:t>）对不同的检查对象、检查目的有不同的检查表，应用范围广。</w:t>
      </w:r>
    </w:p>
    <w:p w14:paraId="1D2663C9">
      <w:pPr>
        <w:keepNext w:val="0"/>
        <w:keepLines w:val="0"/>
        <w:pageBreakBefore w:val="0"/>
        <w:widowControl w:val="0"/>
        <w:kinsoku/>
        <w:wordWrap/>
        <w:overflowPunct/>
        <w:topLinePunct w:val="0"/>
        <w:autoSpaceDE/>
        <w:autoSpaceDN/>
        <w:bidi w:val="0"/>
        <w:adjustRightInd w:val="0"/>
        <w:snapToGrid/>
        <w:textAlignment w:val="auto"/>
      </w:pPr>
      <w:r>
        <w:rPr>
          <w:rFonts w:hint="eastAsia"/>
        </w:rPr>
        <w:t>（</w:t>
      </w:r>
      <w:r>
        <w:t>4</w:t>
      </w:r>
      <w:r>
        <w:rPr>
          <w:rFonts w:hint="eastAsia"/>
        </w:rPr>
        <w:t>）安全检查表简明易懂、</w:t>
      </w:r>
      <w:r>
        <w:rPr>
          <w:rFonts w:hint="eastAsia"/>
          <w:lang w:eastAsia="zh-CN"/>
        </w:rPr>
        <w:t>使用方便</w:t>
      </w:r>
      <w:r>
        <w:rPr>
          <w:rFonts w:hint="eastAsia"/>
        </w:rPr>
        <w:t>、易于掌握，能弥补有关人员知识、经验不足的缺陷，减少盲目性。</w:t>
      </w:r>
    </w:p>
    <w:p w14:paraId="57ECF28A">
      <w:pPr>
        <w:keepNext w:val="0"/>
        <w:keepLines w:val="0"/>
        <w:pageBreakBefore w:val="0"/>
        <w:widowControl w:val="0"/>
        <w:kinsoku/>
        <w:wordWrap/>
        <w:overflowPunct/>
        <w:topLinePunct w:val="0"/>
        <w:autoSpaceDE/>
        <w:autoSpaceDN/>
        <w:bidi w:val="0"/>
        <w:adjustRightInd w:val="0"/>
        <w:snapToGrid/>
        <w:textAlignment w:val="auto"/>
      </w:pPr>
      <w:r>
        <w:rPr>
          <w:rFonts w:hint="eastAsia"/>
        </w:rPr>
        <w:t>（</w:t>
      </w:r>
      <w:r>
        <w:t>5</w:t>
      </w:r>
      <w:r>
        <w:rPr>
          <w:rFonts w:hint="eastAsia"/>
        </w:rPr>
        <w:t>）检查人员依据安全检查表进行检查，检查结果即为履行职责的凭证。</w:t>
      </w:r>
    </w:p>
    <w:p w14:paraId="210F09E0">
      <w:pPr>
        <w:keepNext w:val="0"/>
        <w:keepLines w:val="0"/>
        <w:pageBreakBefore w:val="0"/>
        <w:widowControl w:val="0"/>
        <w:kinsoku/>
        <w:wordWrap/>
        <w:overflowPunct/>
        <w:topLinePunct w:val="0"/>
        <w:autoSpaceDE/>
        <w:autoSpaceDN/>
        <w:bidi w:val="0"/>
        <w:adjustRightInd w:val="0"/>
        <w:snapToGrid/>
        <w:textAlignment w:val="auto"/>
      </w:pPr>
      <w:r>
        <w:t>2.</w:t>
      </w:r>
      <w:r>
        <w:rPr>
          <w:rFonts w:hint="eastAsia"/>
        </w:rPr>
        <w:t>缺点</w:t>
      </w:r>
    </w:p>
    <w:p w14:paraId="3084CB20">
      <w:pPr>
        <w:keepNext w:val="0"/>
        <w:keepLines w:val="0"/>
        <w:pageBreakBefore w:val="0"/>
        <w:widowControl w:val="0"/>
        <w:kinsoku/>
        <w:wordWrap/>
        <w:overflowPunct/>
        <w:topLinePunct w:val="0"/>
        <w:autoSpaceDE/>
        <w:autoSpaceDN/>
        <w:bidi w:val="0"/>
        <w:adjustRightInd w:val="0"/>
        <w:snapToGrid/>
        <w:textAlignment w:val="auto"/>
      </w:pPr>
      <w:r>
        <w:rPr>
          <w:rFonts w:hint="eastAsia"/>
        </w:rPr>
        <w:t>针对不同的需要，须事先编制大量的检查表，工作量大，且安全检查表的质量受编制人员的知识水平和经验影响</w:t>
      </w:r>
      <w:r>
        <w:t>。</w:t>
      </w:r>
    </w:p>
    <w:p w14:paraId="523E8221">
      <w:pPr>
        <w:keepNext w:val="0"/>
        <w:keepLines w:val="0"/>
        <w:pageBreakBefore w:val="0"/>
        <w:widowControl w:val="0"/>
        <w:kinsoku/>
        <w:wordWrap/>
        <w:overflowPunct/>
        <w:topLinePunct w:val="0"/>
        <w:autoSpaceDE/>
        <w:autoSpaceDN/>
        <w:bidi w:val="0"/>
        <w:adjustRightInd w:val="0"/>
        <w:snapToGrid/>
        <w:textAlignment w:val="auto"/>
      </w:pPr>
      <w:bookmarkStart w:id="921" w:name="_Toc8169"/>
      <w:bookmarkStart w:id="922" w:name="_Toc289435716"/>
      <w:bookmarkStart w:id="923" w:name="_Toc384913479"/>
      <w:bookmarkStart w:id="924" w:name="_Toc367717412"/>
      <w:bookmarkStart w:id="925" w:name="_Toc367715488"/>
      <w:bookmarkStart w:id="926" w:name="_Toc306872705"/>
      <w:bookmarkStart w:id="927" w:name="_Toc55945293"/>
      <w:bookmarkStart w:id="928" w:name="_Toc304199120"/>
      <w:bookmarkStart w:id="929" w:name="_Toc127570729"/>
      <w:bookmarkStart w:id="930" w:name="_Toc301507734"/>
      <w:bookmarkStart w:id="931" w:name="_Toc60925402"/>
      <w:bookmarkStart w:id="932" w:name="_Toc46697227"/>
      <w:bookmarkStart w:id="933" w:name="_Toc367707471"/>
      <w:bookmarkStart w:id="934" w:name="_Toc289443998"/>
      <w:bookmarkStart w:id="935" w:name="_Toc331963389"/>
      <w:bookmarkStart w:id="936" w:name="_Toc301597925"/>
      <w:bookmarkStart w:id="937" w:name="_Toc306879809"/>
      <w:bookmarkStart w:id="938" w:name="_Toc404242980"/>
      <w:bookmarkStart w:id="939" w:name="_Toc289496076"/>
      <w:bookmarkStart w:id="940" w:name="_Toc46697236"/>
      <w:bookmarkStart w:id="941" w:name="_Toc500007164"/>
      <w:bookmarkStart w:id="942" w:name="_Toc60925410"/>
      <w:bookmarkStart w:id="943" w:name="_Toc55945301"/>
      <w:r>
        <w:rPr>
          <w:rFonts w:hint="eastAsia"/>
          <w:lang w:eastAsia="zh-CN"/>
        </w:rPr>
        <w:t>评价方法</w:t>
      </w:r>
      <w:r>
        <w:rPr>
          <w:rFonts w:hint="eastAsia"/>
        </w:rPr>
        <w:t>的选择</w:t>
      </w:r>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p>
    <w:p w14:paraId="4F16516E">
      <w:pPr>
        <w:keepNext w:val="0"/>
        <w:keepLines w:val="0"/>
        <w:pageBreakBefore w:val="0"/>
        <w:widowControl w:val="0"/>
        <w:kinsoku/>
        <w:wordWrap/>
        <w:overflowPunct/>
        <w:topLinePunct w:val="0"/>
        <w:autoSpaceDE/>
        <w:autoSpaceDN/>
        <w:bidi w:val="0"/>
        <w:adjustRightInd w:val="0"/>
        <w:snapToGrid/>
        <w:textAlignment w:val="auto"/>
      </w:pPr>
      <w:r>
        <w:rPr>
          <w:rFonts w:hint="eastAsia"/>
        </w:rPr>
        <w:t>安全评价方法是对系统的各种危险、危害因素进行分析、评价的工具。目前已开发出数十种，每一种评价方法的原理、目标、应用条件、适用对象不尽相同，各有其特点和优缺点。</w:t>
      </w:r>
    </w:p>
    <w:p w14:paraId="3387F350">
      <w:pPr>
        <w:keepNext w:val="0"/>
        <w:keepLines w:val="0"/>
        <w:pageBreakBefore w:val="0"/>
        <w:widowControl w:val="0"/>
        <w:kinsoku/>
        <w:wordWrap/>
        <w:overflowPunct/>
        <w:topLinePunct w:val="0"/>
        <w:autoSpaceDE/>
        <w:autoSpaceDN/>
        <w:bidi w:val="0"/>
        <w:adjustRightInd w:val="0"/>
        <w:snapToGrid/>
        <w:textAlignment w:val="auto"/>
      </w:pPr>
      <w:r>
        <w:rPr>
          <w:rFonts w:hint="eastAsia"/>
        </w:rPr>
        <w:t>根据有关规定对评价方法的具体要求为：①安全生产条件的安全评价，以安全检查表的方法为主，其他方法为辅。②其他方面的安全评价，根据生产的实际情况，可选择国际、国内通行的安全评价方法。</w:t>
      </w:r>
    </w:p>
    <w:p w14:paraId="4EFBF4B9">
      <w:pPr>
        <w:keepNext w:val="0"/>
        <w:keepLines w:val="0"/>
        <w:pageBreakBefore w:val="0"/>
        <w:widowControl w:val="0"/>
        <w:kinsoku/>
        <w:wordWrap/>
        <w:overflowPunct/>
        <w:topLinePunct w:val="0"/>
        <w:autoSpaceDE/>
        <w:autoSpaceDN/>
        <w:bidi w:val="0"/>
        <w:adjustRightInd w:val="0"/>
        <w:snapToGrid/>
        <w:textAlignment w:val="auto"/>
      </w:pPr>
      <w:r>
        <w:rPr>
          <w:rFonts w:hint="eastAsia"/>
        </w:rPr>
        <w:t>据此，本次评价采用安全检查表法对项目存在的危险有害因素进行定性、定量分析。本项目各单元选择的评价方法见下</w:t>
      </w:r>
      <w:r>
        <w:rPr>
          <w:rFonts w:hint="eastAsia"/>
          <w:lang w:val="en-US" w:eastAsia="zh-CN"/>
        </w:rPr>
        <w:t>页</w:t>
      </w:r>
      <w:r>
        <w:rPr>
          <w:rFonts w:hint="eastAsia"/>
        </w:rPr>
        <w:t>表</w:t>
      </w:r>
      <w:r>
        <w:rPr>
          <w:rFonts w:hint="eastAsia"/>
          <w:lang w:val="en-US" w:eastAsia="zh-CN"/>
        </w:rPr>
        <w:t>4-1</w:t>
      </w:r>
      <w:r>
        <w:rPr>
          <w:rFonts w:hint="eastAsia"/>
        </w:rPr>
        <w:t>。</w:t>
      </w:r>
    </w:p>
    <w:p w14:paraId="16C7A20A">
      <w:pPr>
        <w:pStyle w:val="12"/>
        <w:keepNext w:val="0"/>
        <w:keepLines w:val="0"/>
        <w:pageBreakBefore w:val="0"/>
        <w:widowControl w:val="0"/>
        <w:kinsoku/>
        <w:wordWrap/>
        <w:bidi w:val="0"/>
        <w:rPr>
          <w:rFonts w:hint="eastAsia"/>
        </w:rPr>
      </w:pPr>
      <w:r>
        <w:t>表</w:t>
      </w:r>
      <w:r>
        <w:fldChar w:fldCharType="begin"/>
      </w:r>
      <w:r>
        <w:instrText xml:space="preserve"> STYLEREF 1 \s </w:instrText>
      </w:r>
      <w:r>
        <w:fldChar w:fldCharType="separate"/>
      </w:r>
      <w:r>
        <w:t>4</w:t>
      </w:r>
      <w:r>
        <w:fldChar w:fldCharType="end"/>
      </w:r>
      <w:r>
        <w:rPr>
          <w:rFonts w:hint="eastAsia"/>
          <w:lang w:eastAsia="zh-CN"/>
        </w:rPr>
        <w:t>-</w:t>
      </w:r>
      <w:r>
        <w:fldChar w:fldCharType="begin"/>
      </w:r>
      <w:r>
        <w:instrText xml:space="preserve"> SEQ 表 \* ARABIC \s 1 </w:instrText>
      </w:r>
      <w:r>
        <w:fldChar w:fldCharType="separate"/>
      </w:r>
      <w:r>
        <w:t>1</w:t>
      </w:r>
      <w:r>
        <w:fldChar w:fldCharType="end"/>
      </w:r>
      <w:r>
        <w:rPr>
          <w:rFonts w:hint="eastAsia"/>
          <w:lang w:eastAsia="zh-CN"/>
        </w:rPr>
        <w:t>评价方法</w:t>
      </w:r>
      <w:r>
        <w:rPr>
          <w:rFonts w:hint="eastAsia"/>
        </w:rPr>
        <w:t>选择一览表</w:t>
      </w:r>
    </w:p>
    <w:p w14:paraId="328D9583">
      <w:pPr>
        <w:rPr>
          <w:rFonts w:hint="eastAsia"/>
        </w:rPr>
      </w:pPr>
      <w:r>
        <w:rPr>
          <w:rFonts w:hint="eastAsia"/>
        </w:rPr>
        <w:br w:type="page"/>
      </w:r>
    </w:p>
    <w:tbl>
      <w:tblPr>
        <w:tblStyle w:val="32"/>
        <w:tblW w:w="822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277"/>
        <w:gridCol w:w="3700"/>
        <w:gridCol w:w="2441"/>
      </w:tblGrid>
      <w:tr w14:paraId="29D58B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809" w:type="dxa"/>
            <w:tcBorders>
              <w:tl2br w:val="nil"/>
              <w:tr2bl w:val="nil"/>
            </w:tcBorders>
            <w:noWrap w:val="0"/>
            <w:vAlign w:val="center"/>
          </w:tcPr>
          <w:p w14:paraId="79D5A672">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序号</w:t>
            </w:r>
          </w:p>
        </w:tc>
        <w:tc>
          <w:tcPr>
            <w:tcW w:w="4977" w:type="dxa"/>
            <w:gridSpan w:val="2"/>
            <w:tcBorders>
              <w:tl2br w:val="nil"/>
              <w:tr2bl w:val="nil"/>
            </w:tcBorders>
            <w:noWrap w:val="0"/>
            <w:vAlign w:val="center"/>
          </w:tcPr>
          <w:p w14:paraId="1CCD3A24">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评价单元划分</w:t>
            </w:r>
          </w:p>
        </w:tc>
        <w:tc>
          <w:tcPr>
            <w:tcW w:w="2441" w:type="dxa"/>
            <w:tcBorders>
              <w:tl2br w:val="nil"/>
              <w:tr2bl w:val="nil"/>
            </w:tcBorders>
            <w:noWrap w:val="0"/>
            <w:vAlign w:val="center"/>
          </w:tcPr>
          <w:p w14:paraId="2A47782D">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评价方法</w:t>
            </w:r>
            <w:r>
              <w:rPr>
                <w:rFonts w:hint="eastAsia" w:ascii="宋体" w:hAnsi="宋体" w:eastAsia="宋体" w:cs="宋体"/>
                <w:sz w:val="21"/>
                <w:szCs w:val="21"/>
                <w:highlight w:val="none"/>
              </w:rPr>
              <w:t>选择</w:t>
            </w:r>
          </w:p>
        </w:tc>
      </w:tr>
      <w:tr w14:paraId="4616D1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tcBorders>
              <w:tl2br w:val="nil"/>
              <w:tr2bl w:val="nil"/>
            </w:tcBorders>
            <w:noWrap w:val="0"/>
            <w:vAlign w:val="center"/>
          </w:tcPr>
          <w:p w14:paraId="5E722ED9">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4977" w:type="dxa"/>
            <w:gridSpan w:val="2"/>
            <w:tcBorders>
              <w:tl2br w:val="nil"/>
              <w:tr2bl w:val="nil"/>
            </w:tcBorders>
            <w:noWrap w:val="0"/>
            <w:vAlign w:val="center"/>
          </w:tcPr>
          <w:p w14:paraId="49F62FAE">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法律法规符合性</w:t>
            </w:r>
          </w:p>
        </w:tc>
        <w:tc>
          <w:tcPr>
            <w:tcW w:w="2441" w:type="dxa"/>
            <w:tcBorders>
              <w:tl2br w:val="nil"/>
              <w:tr2bl w:val="nil"/>
            </w:tcBorders>
            <w:noWrap w:val="0"/>
            <w:vAlign w:val="center"/>
          </w:tcPr>
          <w:p w14:paraId="41C07152">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tr w14:paraId="1DC541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tcBorders>
              <w:tl2br w:val="nil"/>
              <w:tr2bl w:val="nil"/>
            </w:tcBorders>
            <w:noWrap w:val="0"/>
            <w:vAlign w:val="center"/>
          </w:tcPr>
          <w:p w14:paraId="6EEEF981">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4977" w:type="dxa"/>
            <w:gridSpan w:val="2"/>
            <w:tcBorders>
              <w:tl2br w:val="nil"/>
              <w:tr2bl w:val="nil"/>
            </w:tcBorders>
            <w:noWrap w:val="0"/>
            <w:vAlign w:val="center"/>
          </w:tcPr>
          <w:p w14:paraId="33E71BFC">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选址、总平面布置及建构筑物单元</w:t>
            </w:r>
          </w:p>
        </w:tc>
        <w:tc>
          <w:tcPr>
            <w:tcW w:w="2441" w:type="dxa"/>
            <w:tcBorders>
              <w:tl2br w:val="nil"/>
              <w:tr2bl w:val="nil"/>
            </w:tcBorders>
            <w:noWrap w:val="0"/>
            <w:vAlign w:val="center"/>
          </w:tcPr>
          <w:p w14:paraId="6973F445">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tr w14:paraId="30BE89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tcBorders>
              <w:tl2br w:val="nil"/>
              <w:tr2bl w:val="nil"/>
            </w:tcBorders>
            <w:noWrap w:val="0"/>
            <w:vAlign w:val="center"/>
          </w:tcPr>
          <w:p w14:paraId="2BA4B3C1">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4977" w:type="dxa"/>
            <w:gridSpan w:val="2"/>
            <w:tcBorders>
              <w:tl2br w:val="nil"/>
              <w:tr2bl w:val="nil"/>
            </w:tcBorders>
            <w:noWrap w:val="0"/>
            <w:vAlign w:val="center"/>
          </w:tcPr>
          <w:p w14:paraId="49361433">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物料、产品安全性评价单元</w:t>
            </w:r>
          </w:p>
        </w:tc>
        <w:tc>
          <w:tcPr>
            <w:tcW w:w="2441" w:type="dxa"/>
            <w:tcBorders>
              <w:tl2br w:val="nil"/>
              <w:tr2bl w:val="nil"/>
            </w:tcBorders>
            <w:noWrap w:val="0"/>
            <w:vAlign w:val="center"/>
          </w:tcPr>
          <w:p w14:paraId="47CD431E">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tr w14:paraId="61B36E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tcBorders>
              <w:tl2br w:val="nil"/>
              <w:tr2bl w:val="nil"/>
            </w:tcBorders>
            <w:noWrap w:val="0"/>
            <w:vAlign w:val="center"/>
          </w:tcPr>
          <w:p w14:paraId="210D9770">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4977" w:type="dxa"/>
            <w:gridSpan w:val="2"/>
            <w:tcBorders>
              <w:tl2br w:val="nil"/>
              <w:tr2bl w:val="nil"/>
            </w:tcBorders>
            <w:noWrap w:val="0"/>
            <w:vAlign w:val="center"/>
          </w:tcPr>
          <w:p w14:paraId="00CF13FC">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生产工艺系统、装置、设施、设备单元</w:t>
            </w:r>
          </w:p>
        </w:tc>
        <w:tc>
          <w:tcPr>
            <w:tcW w:w="2441" w:type="dxa"/>
            <w:tcBorders>
              <w:tl2br w:val="nil"/>
              <w:tr2bl w:val="nil"/>
            </w:tcBorders>
            <w:noWrap w:val="0"/>
            <w:vAlign w:val="center"/>
          </w:tcPr>
          <w:p w14:paraId="7087CEA3">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tr w14:paraId="12526B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vMerge w:val="restart"/>
            <w:tcBorders>
              <w:tl2br w:val="nil"/>
              <w:tr2bl w:val="nil"/>
            </w:tcBorders>
            <w:noWrap w:val="0"/>
            <w:vAlign w:val="center"/>
          </w:tcPr>
          <w:p w14:paraId="759C094C">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lang w:eastAsia="zh-CN"/>
              </w:rPr>
            </w:pPr>
          </w:p>
        </w:tc>
        <w:tc>
          <w:tcPr>
            <w:tcW w:w="1277" w:type="dxa"/>
            <w:vMerge w:val="restart"/>
            <w:tcBorders>
              <w:tl2br w:val="nil"/>
              <w:tr2bl w:val="nil"/>
            </w:tcBorders>
            <w:noWrap w:val="0"/>
            <w:vAlign w:val="center"/>
          </w:tcPr>
          <w:p w14:paraId="29C6A2E8">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公用和辅助设备设施单元</w:t>
            </w:r>
          </w:p>
        </w:tc>
        <w:tc>
          <w:tcPr>
            <w:tcW w:w="3700" w:type="dxa"/>
            <w:tcBorders>
              <w:tl2br w:val="nil"/>
              <w:tr2bl w:val="nil"/>
            </w:tcBorders>
            <w:noWrap w:val="0"/>
            <w:vAlign w:val="center"/>
          </w:tcPr>
          <w:p w14:paraId="1FA81722">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供配电系统</w:t>
            </w:r>
          </w:p>
        </w:tc>
        <w:tc>
          <w:tcPr>
            <w:tcW w:w="2441" w:type="dxa"/>
            <w:tcBorders>
              <w:tl2br w:val="nil"/>
              <w:tr2bl w:val="nil"/>
            </w:tcBorders>
            <w:noWrap w:val="0"/>
            <w:vAlign w:val="center"/>
          </w:tcPr>
          <w:p w14:paraId="0EBB69C8">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tr w14:paraId="7B0F65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vMerge w:val="continue"/>
            <w:tcBorders>
              <w:tl2br w:val="nil"/>
              <w:tr2bl w:val="nil"/>
            </w:tcBorders>
            <w:noWrap w:val="0"/>
            <w:vAlign w:val="center"/>
          </w:tcPr>
          <w:p w14:paraId="48A4EBC1">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1277" w:type="dxa"/>
            <w:vMerge w:val="continue"/>
            <w:tcBorders>
              <w:tl2br w:val="nil"/>
              <w:tr2bl w:val="nil"/>
            </w:tcBorders>
            <w:noWrap w:val="0"/>
            <w:vAlign w:val="center"/>
          </w:tcPr>
          <w:p w14:paraId="6C0B5DA1">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p>
        </w:tc>
        <w:tc>
          <w:tcPr>
            <w:tcW w:w="3700" w:type="dxa"/>
            <w:tcBorders>
              <w:tl2br w:val="nil"/>
              <w:tr2bl w:val="nil"/>
            </w:tcBorders>
            <w:noWrap w:val="0"/>
            <w:vAlign w:val="center"/>
          </w:tcPr>
          <w:p w14:paraId="7E782461">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给排水系统</w:t>
            </w:r>
          </w:p>
        </w:tc>
        <w:tc>
          <w:tcPr>
            <w:tcW w:w="2441" w:type="dxa"/>
            <w:tcBorders>
              <w:tl2br w:val="nil"/>
              <w:tr2bl w:val="nil"/>
            </w:tcBorders>
            <w:noWrap w:val="0"/>
            <w:vAlign w:val="center"/>
          </w:tcPr>
          <w:p w14:paraId="58AEEDC5">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tr w14:paraId="0FEB53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vMerge w:val="continue"/>
            <w:tcBorders>
              <w:tl2br w:val="nil"/>
              <w:tr2bl w:val="nil"/>
            </w:tcBorders>
            <w:noWrap w:val="0"/>
            <w:vAlign w:val="center"/>
          </w:tcPr>
          <w:p w14:paraId="55BE8696">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1277" w:type="dxa"/>
            <w:vMerge w:val="continue"/>
            <w:tcBorders>
              <w:tl2br w:val="nil"/>
              <w:tr2bl w:val="nil"/>
            </w:tcBorders>
            <w:noWrap w:val="0"/>
            <w:vAlign w:val="center"/>
          </w:tcPr>
          <w:p w14:paraId="18C05A96">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p>
        </w:tc>
        <w:tc>
          <w:tcPr>
            <w:tcW w:w="3700" w:type="dxa"/>
            <w:tcBorders>
              <w:tl2br w:val="nil"/>
              <w:tr2bl w:val="nil"/>
            </w:tcBorders>
            <w:noWrap w:val="0"/>
            <w:vAlign w:val="center"/>
          </w:tcPr>
          <w:p w14:paraId="429BA866">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消防系统</w:t>
            </w:r>
          </w:p>
        </w:tc>
        <w:tc>
          <w:tcPr>
            <w:tcW w:w="2441" w:type="dxa"/>
            <w:tcBorders>
              <w:tl2br w:val="nil"/>
              <w:tr2bl w:val="nil"/>
            </w:tcBorders>
            <w:noWrap w:val="0"/>
            <w:vAlign w:val="center"/>
          </w:tcPr>
          <w:p w14:paraId="75153711">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tr w14:paraId="02FFA1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vMerge w:val="continue"/>
            <w:tcBorders>
              <w:tl2br w:val="nil"/>
              <w:tr2bl w:val="nil"/>
            </w:tcBorders>
            <w:noWrap w:val="0"/>
            <w:vAlign w:val="center"/>
          </w:tcPr>
          <w:p w14:paraId="21FBD318">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1277" w:type="dxa"/>
            <w:vMerge w:val="continue"/>
            <w:tcBorders>
              <w:tl2br w:val="nil"/>
              <w:tr2bl w:val="nil"/>
            </w:tcBorders>
            <w:noWrap w:val="0"/>
            <w:vAlign w:val="center"/>
          </w:tcPr>
          <w:p w14:paraId="1392B34F">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p>
        </w:tc>
        <w:tc>
          <w:tcPr>
            <w:tcW w:w="3700" w:type="dxa"/>
            <w:tcBorders>
              <w:tl2br w:val="nil"/>
              <w:tr2bl w:val="nil"/>
            </w:tcBorders>
            <w:noWrap w:val="0"/>
            <w:vAlign w:val="center"/>
          </w:tcPr>
          <w:p w14:paraId="4511CB69">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采暖通风</w:t>
            </w:r>
          </w:p>
        </w:tc>
        <w:tc>
          <w:tcPr>
            <w:tcW w:w="2441" w:type="dxa"/>
            <w:tcBorders>
              <w:tl2br w:val="nil"/>
              <w:tr2bl w:val="nil"/>
            </w:tcBorders>
            <w:noWrap w:val="0"/>
            <w:vAlign w:val="center"/>
          </w:tcPr>
          <w:p w14:paraId="07755041">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tr w14:paraId="4141B4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vMerge w:val="continue"/>
            <w:tcBorders>
              <w:tl2br w:val="nil"/>
              <w:tr2bl w:val="nil"/>
            </w:tcBorders>
            <w:noWrap w:val="0"/>
            <w:vAlign w:val="center"/>
          </w:tcPr>
          <w:p w14:paraId="4454E7C2">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1277" w:type="dxa"/>
            <w:vMerge w:val="continue"/>
            <w:tcBorders>
              <w:tl2br w:val="nil"/>
              <w:tr2bl w:val="nil"/>
            </w:tcBorders>
            <w:noWrap w:val="0"/>
            <w:vAlign w:val="center"/>
          </w:tcPr>
          <w:p w14:paraId="49A3E284">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p>
        </w:tc>
        <w:tc>
          <w:tcPr>
            <w:tcW w:w="3700" w:type="dxa"/>
            <w:tcBorders>
              <w:tl2br w:val="nil"/>
              <w:tr2bl w:val="nil"/>
            </w:tcBorders>
            <w:noWrap w:val="0"/>
            <w:vAlign w:val="center"/>
          </w:tcPr>
          <w:p w14:paraId="23971441">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供气系统</w:t>
            </w:r>
          </w:p>
        </w:tc>
        <w:tc>
          <w:tcPr>
            <w:tcW w:w="2441" w:type="dxa"/>
            <w:tcBorders>
              <w:tl2br w:val="nil"/>
              <w:tr2bl w:val="nil"/>
            </w:tcBorders>
            <w:noWrap w:val="0"/>
            <w:vAlign w:val="center"/>
          </w:tcPr>
          <w:p w14:paraId="66A4E316">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tr w14:paraId="296DA8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vMerge w:val="continue"/>
            <w:tcBorders>
              <w:tl2br w:val="nil"/>
              <w:tr2bl w:val="nil"/>
            </w:tcBorders>
            <w:noWrap w:val="0"/>
            <w:vAlign w:val="center"/>
          </w:tcPr>
          <w:p w14:paraId="46E2BC71">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1277" w:type="dxa"/>
            <w:vMerge w:val="continue"/>
            <w:tcBorders>
              <w:tl2br w:val="nil"/>
              <w:tr2bl w:val="nil"/>
            </w:tcBorders>
            <w:noWrap w:val="0"/>
            <w:vAlign w:val="center"/>
          </w:tcPr>
          <w:p w14:paraId="1C92C3A7">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p>
        </w:tc>
        <w:tc>
          <w:tcPr>
            <w:tcW w:w="3700" w:type="dxa"/>
            <w:tcBorders>
              <w:tl2br w:val="nil"/>
              <w:tr2bl w:val="nil"/>
            </w:tcBorders>
            <w:noWrap w:val="0"/>
            <w:vAlign w:val="center"/>
          </w:tcPr>
          <w:p w14:paraId="37E91007">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lang w:val="en-US" w:eastAsia="zh-CN"/>
              </w:rPr>
            </w:pPr>
            <w:r>
              <w:rPr>
                <w:rFonts w:hint="eastAsia" w:ascii="宋体" w:hAnsi="宋体" w:eastAsia="宋体" w:cs="宋体"/>
                <w:bCs/>
                <w:sz w:val="21"/>
                <w:szCs w:val="21"/>
              </w:rPr>
              <w:t>自动控制及通信设施</w:t>
            </w:r>
          </w:p>
        </w:tc>
        <w:tc>
          <w:tcPr>
            <w:tcW w:w="2441" w:type="dxa"/>
            <w:tcBorders>
              <w:tl2br w:val="nil"/>
              <w:tr2bl w:val="nil"/>
            </w:tcBorders>
            <w:noWrap w:val="0"/>
            <w:vAlign w:val="center"/>
          </w:tcPr>
          <w:p w14:paraId="3100CA2F">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tr w14:paraId="3ED0CB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tcBorders>
              <w:tl2br w:val="nil"/>
              <w:tr2bl w:val="nil"/>
            </w:tcBorders>
            <w:noWrap w:val="0"/>
            <w:vAlign w:val="center"/>
          </w:tcPr>
          <w:p w14:paraId="4A2FB24F">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4977" w:type="dxa"/>
            <w:gridSpan w:val="2"/>
            <w:tcBorders>
              <w:tl2br w:val="nil"/>
              <w:tr2bl w:val="nil"/>
            </w:tcBorders>
            <w:noWrap w:val="0"/>
            <w:vAlign w:val="center"/>
          </w:tcPr>
          <w:p w14:paraId="66EE0546">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特种设备设施及强制检验设备设施单元</w:t>
            </w:r>
          </w:p>
        </w:tc>
        <w:tc>
          <w:tcPr>
            <w:tcW w:w="2441" w:type="dxa"/>
            <w:tcBorders>
              <w:tl2br w:val="nil"/>
              <w:tr2bl w:val="nil"/>
            </w:tcBorders>
            <w:noWrap w:val="0"/>
            <w:vAlign w:val="center"/>
          </w:tcPr>
          <w:p w14:paraId="18EF091F">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tr w14:paraId="247A65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tcBorders>
              <w:tl2br w:val="nil"/>
              <w:tr2bl w:val="nil"/>
            </w:tcBorders>
            <w:noWrap w:val="0"/>
            <w:vAlign w:val="center"/>
          </w:tcPr>
          <w:p w14:paraId="0BB7E9C2">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4977" w:type="dxa"/>
            <w:gridSpan w:val="2"/>
            <w:tcBorders>
              <w:tl2br w:val="nil"/>
              <w:tr2bl w:val="nil"/>
            </w:tcBorders>
            <w:noWrap w:val="0"/>
            <w:vAlign w:val="center"/>
          </w:tcPr>
          <w:p w14:paraId="1292CF23">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周边环境适宜性评价</w:t>
            </w:r>
          </w:p>
        </w:tc>
        <w:tc>
          <w:tcPr>
            <w:tcW w:w="2441" w:type="dxa"/>
            <w:tcBorders>
              <w:tl2br w:val="nil"/>
              <w:tr2bl w:val="nil"/>
            </w:tcBorders>
            <w:noWrap w:val="0"/>
            <w:vAlign w:val="center"/>
          </w:tcPr>
          <w:p w14:paraId="0A1F913B">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分析评价法</w:t>
            </w:r>
          </w:p>
        </w:tc>
      </w:tr>
      <w:tr w14:paraId="4D4968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tcBorders>
              <w:tl2br w:val="nil"/>
              <w:tr2bl w:val="nil"/>
            </w:tcBorders>
            <w:noWrap w:val="0"/>
            <w:vAlign w:val="center"/>
          </w:tcPr>
          <w:p w14:paraId="7774420A">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4977" w:type="dxa"/>
            <w:gridSpan w:val="2"/>
            <w:tcBorders>
              <w:tl2br w:val="nil"/>
              <w:tr2bl w:val="nil"/>
            </w:tcBorders>
            <w:noWrap w:val="0"/>
            <w:vAlign w:val="center"/>
          </w:tcPr>
          <w:p w14:paraId="0776E3F4">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安全管理及应急救援单元</w:t>
            </w:r>
          </w:p>
        </w:tc>
        <w:tc>
          <w:tcPr>
            <w:tcW w:w="2441" w:type="dxa"/>
            <w:tcBorders>
              <w:tl2br w:val="nil"/>
              <w:tr2bl w:val="nil"/>
            </w:tcBorders>
            <w:noWrap w:val="0"/>
            <w:vAlign w:val="center"/>
          </w:tcPr>
          <w:p w14:paraId="03B302A6">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tr w14:paraId="4E2580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tcBorders>
              <w:tl2br w:val="nil"/>
              <w:tr2bl w:val="nil"/>
            </w:tcBorders>
            <w:noWrap w:val="0"/>
            <w:vAlign w:val="center"/>
          </w:tcPr>
          <w:p w14:paraId="506AA4DD">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4977" w:type="dxa"/>
            <w:gridSpan w:val="2"/>
            <w:tcBorders>
              <w:tl2br w:val="nil"/>
              <w:tr2bl w:val="nil"/>
            </w:tcBorders>
            <w:noWrap w:val="0"/>
            <w:vAlign w:val="center"/>
          </w:tcPr>
          <w:p w14:paraId="0F42C300">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其他安全设施单元</w:t>
            </w:r>
          </w:p>
        </w:tc>
        <w:tc>
          <w:tcPr>
            <w:tcW w:w="2441" w:type="dxa"/>
            <w:tcBorders>
              <w:tl2br w:val="nil"/>
              <w:tr2bl w:val="nil"/>
            </w:tcBorders>
            <w:noWrap w:val="0"/>
            <w:vAlign w:val="center"/>
          </w:tcPr>
          <w:p w14:paraId="0308BB9F">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tr w14:paraId="147F20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tcBorders>
              <w:tl2br w:val="nil"/>
              <w:tr2bl w:val="nil"/>
            </w:tcBorders>
            <w:noWrap w:val="0"/>
            <w:vAlign w:val="center"/>
          </w:tcPr>
          <w:p w14:paraId="11A30FDF">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4977" w:type="dxa"/>
            <w:gridSpan w:val="2"/>
            <w:tcBorders>
              <w:tl2br w:val="nil"/>
              <w:tr2bl w:val="nil"/>
            </w:tcBorders>
            <w:noWrap w:val="0"/>
            <w:vAlign w:val="center"/>
          </w:tcPr>
          <w:p w14:paraId="522BFF63">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工贸行业重大事故隐患判定单元</w:t>
            </w:r>
          </w:p>
        </w:tc>
        <w:tc>
          <w:tcPr>
            <w:tcW w:w="2441" w:type="dxa"/>
            <w:tcBorders>
              <w:tl2br w:val="nil"/>
              <w:tr2bl w:val="nil"/>
            </w:tcBorders>
            <w:noWrap w:val="0"/>
            <w:vAlign w:val="center"/>
          </w:tcPr>
          <w:p w14:paraId="51AA5BAC">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tr w14:paraId="27FE67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9" w:type="dxa"/>
            <w:tcBorders>
              <w:tl2br w:val="nil"/>
              <w:tr2bl w:val="nil"/>
            </w:tcBorders>
            <w:noWrap w:val="0"/>
            <w:vAlign w:val="center"/>
          </w:tcPr>
          <w:p w14:paraId="656A48C0">
            <w:pPr>
              <w:pStyle w:val="86"/>
              <w:keepNext w:val="0"/>
              <w:keepLines w:val="0"/>
              <w:pageBreakBefore w:val="0"/>
              <w:widowControl w:val="0"/>
              <w:numPr>
                <w:ilvl w:val="0"/>
                <w:numId w:val="95"/>
              </w:numPr>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highlight w:val="none"/>
                <w:u w:val="single"/>
              </w:rPr>
            </w:pPr>
          </w:p>
        </w:tc>
        <w:tc>
          <w:tcPr>
            <w:tcW w:w="4977" w:type="dxa"/>
            <w:gridSpan w:val="2"/>
            <w:tcBorders>
              <w:tl2br w:val="nil"/>
              <w:tr2bl w:val="nil"/>
            </w:tcBorders>
            <w:noWrap w:val="0"/>
            <w:vAlign w:val="center"/>
          </w:tcPr>
          <w:p w14:paraId="25EB2A14">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default" w:ascii="宋体" w:hAnsi="宋体" w:eastAsia="宋体" w:cs="宋体"/>
                <w:sz w:val="21"/>
                <w:szCs w:val="21"/>
                <w:highlight w:val="none"/>
                <w:lang w:val="en-US"/>
              </w:rPr>
            </w:pPr>
            <w:r>
              <w:rPr>
                <w:rFonts w:hint="eastAsia" w:ascii="宋体" w:hAnsi="宋体" w:eastAsia="宋体" w:cs="宋体"/>
                <w:sz w:val="21"/>
                <w:szCs w:val="21"/>
                <w:highlight w:val="none"/>
                <w:lang w:eastAsia="zh-CN"/>
              </w:rPr>
              <w:t>安全设施设计中安全对策措施</w:t>
            </w:r>
            <w:r>
              <w:rPr>
                <w:rFonts w:hint="eastAsia" w:ascii="宋体" w:hAnsi="宋体" w:cs="宋体"/>
                <w:sz w:val="21"/>
                <w:szCs w:val="21"/>
                <w:highlight w:val="none"/>
                <w:lang w:val="en-US" w:eastAsia="zh-CN"/>
              </w:rPr>
              <w:t>建设运行说明单元</w:t>
            </w:r>
          </w:p>
        </w:tc>
        <w:tc>
          <w:tcPr>
            <w:tcW w:w="2441" w:type="dxa"/>
            <w:tcBorders>
              <w:tl2br w:val="nil"/>
              <w:tr2bl w:val="nil"/>
            </w:tcBorders>
            <w:noWrap w:val="0"/>
            <w:vAlign w:val="center"/>
          </w:tcPr>
          <w:p w14:paraId="6F6C05FF">
            <w:pPr>
              <w:pStyle w:val="86"/>
              <w:keepNext w:val="0"/>
              <w:keepLines w:val="0"/>
              <w:pageBreakBefore w:val="0"/>
              <w:widowControl w:val="0"/>
              <w:suppressLineNumbers w:val="0"/>
              <w:kinsoku/>
              <w:wordWrap/>
              <w:bidi w:val="0"/>
              <w:spacing w:before="0" w:beforeAutospacing="0" w:after="0" w:afterAutospacing="0" w:line="240" w:lineRule="auto"/>
              <w:ind w:left="0" w:right="0"/>
              <w:rPr>
                <w:rFonts w:hint="eastAsia" w:ascii="宋体" w:hAnsi="宋体" w:eastAsia="宋体" w:cs="宋体"/>
                <w:sz w:val="21"/>
                <w:szCs w:val="21"/>
                <w:highlight w:val="none"/>
              </w:rPr>
            </w:pPr>
            <w:r>
              <w:rPr>
                <w:rFonts w:hint="eastAsia" w:ascii="宋体" w:hAnsi="宋体" w:eastAsia="宋体" w:cs="宋体"/>
                <w:sz w:val="21"/>
                <w:szCs w:val="21"/>
                <w:highlight w:val="none"/>
              </w:rPr>
              <w:t>安全检查表法</w:t>
            </w:r>
          </w:p>
        </w:tc>
      </w:tr>
      <w:bookmarkEnd w:id="940"/>
      <w:bookmarkEnd w:id="941"/>
      <w:bookmarkEnd w:id="942"/>
      <w:bookmarkEnd w:id="943"/>
    </w:tbl>
    <w:p w14:paraId="551FA923">
      <w:pPr>
        <w:keepNext w:val="0"/>
        <w:keepLines w:val="0"/>
        <w:pageBreakBefore w:val="0"/>
        <w:widowControl w:val="0"/>
        <w:kinsoku/>
        <w:bidi w:val="0"/>
        <w:rPr>
          <w:rFonts w:hint="eastAsia"/>
          <w:lang w:val="en-US" w:eastAsia="zh-CN"/>
        </w:rPr>
      </w:pPr>
      <w:r>
        <w:rPr>
          <w:rFonts w:hint="eastAsia"/>
          <w:lang w:val="en-US" w:eastAsia="zh-CN"/>
        </w:rPr>
        <w:br w:type="page"/>
      </w:r>
    </w:p>
    <w:p w14:paraId="2D27A59B">
      <w:pPr>
        <w:pStyle w:val="2"/>
        <w:keepNext w:val="0"/>
        <w:keepLines w:val="0"/>
        <w:pageBreakBefore w:val="0"/>
        <w:widowControl w:val="0"/>
        <w:kinsoku/>
        <w:bidi w:val="0"/>
        <w:ind w:left="432" w:leftChars="0" w:hanging="432" w:firstLineChars="0"/>
      </w:pPr>
      <w:bookmarkStart w:id="944" w:name="_Toc10987"/>
      <w:bookmarkStart w:id="945" w:name="_Toc18267"/>
      <w:r>
        <w:rPr>
          <w:rFonts w:hint="eastAsia"/>
        </w:rPr>
        <w:t>定性定量分析</w:t>
      </w:r>
      <w:bookmarkEnd w:id="944"/>
      <w:bookmarkEnd w:id="945"/>
    </w:p>
    <w:p w14:paraId="5CEDB903">
      <w:pPr>
        <w:pStyle w:val="3"/>
        <w:keepNext w:val="0"/>
        <w:keepLines w:val="0"/>
        <w:pageBreakBefore w:val="0"/>
        <w:widowControl w:val="0"/>
        <w:kinsoku/>
        <w:bidi w:val="0"/>
        <w:ind w:left="575" w:leftChars="0" w:hanging="575" w:firstLineChars="0"/>
      </w:pPr>
      <w:bookmarkStart w:id="946" w:name="_Toc30384"/>
      <w:bookmarkStart w:id="947" w:name="_Toc60925405"/>
      <w:bookmarkStart w:id="948" w:name="_Toc55945296"/>
      <w:bookmarkStart w:id="949" w:name="_Toc46697230"/>
      <w:bookmarkStart w:id="950" w:name="_Toc30079"/>
      <w:bookmarkStart w:id="951" w:name="_Toc367715490"/>
      <w:bookmarkStart w:id="952" w:name="_Toc304199122"/>
      <w:bookmarkStart w:id="953" w:name="_Toc209863644"/>
      <w:bookmarkStart w:id="954" w:name="_Toc301507736"/>
      <w:bookmarkStart w:id="955" w:name="_Toc306879811"/>
      <w:bookmarkStart w:id="956" w:name="_Toc331963391"/>
      <w:bookmarkStart w:id="957" w:name="_Toc367717414"/>
      <w:bookmarkStart w:id="958" w:name="_Toc289496078"/>
      <w:bookmarkStart w:id="959" w:name="_Toc301597927"/>
      <w:bookmarkStart w:id="960" w:name="_Toc127570731"/>
      <w:bookmarkStart w:id="961" w:name="_Toc367707473"/>
      <w:bookmarkStart w:id="962" w:name="_Toc289435718"/>
      <w:bookmarkStart w:id="963" w:name="_Toc384913481"/>
      <w:bookmarkStart w:id="964" w:name="_Toc289444000"/>
      <w:bookmarkStart w:id="965" w:name="_Toc306872707"/>
      <w:r>
        <w:rPr>
          <w:rFonts w:hint="eastAsia"/>
        </w:rPr>
        <w:t>法律法规符合性</w:t>
      </w:r>
      <w:bookmarkEnd w:id="946"/>
      <w:bookmarkEnd w:id="947"/>
      <w:bookmarkEnd w:id="948"/>
      <w:bookmarkEnd w:id="949"/>
      <w:bookmarkEnd w:id="950"/>
    </w:p>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p w14:paraId="796EAC39">
      <w:pPr>
        <w:pStyle w:val="4"/>
        <w:keepNext w:val="0"/>
        <w:keepLines w:val="0"/>
        <w:pageBreakBefore w:val="0"/>
        <w:widowControl w:val="0"/>
        <w:kinsoku/>
        <w:bidi w:val="0"/>
        <w:ind w:left="720" w:leftChars="0" w:hanging="720" w:firstLineChars="0"/>
      </w:pPr>
      <w:bookmarkStart w:id="966" w:name="_Toc21939"/>
      <w:bookmarkStart w:id="967" w:name="_Toc13037"/>
      <w:r>
        <w:rPr>
          <w:rFonts w:hint="eastAsia"/>
          <w:lang w:val="en-US" w:eastAsia="zh-CN"/>
        </w:rPr>
        <w:t>法律法规符合性检查</w:t>
      </w:r>
      <w:bookmarkEnd w:id="966"/>
      <w:bookmarkEnd w:id="967"/>
    </w:p>
    <w:p w14:paraId="69C95E91">
      <w:pPr>
        <w:keepNext w:val="0"/>
        <w:keepLines w:val="0"/>
        <w:pageBreakBefore w:val="0"/>
        <w:widowControl w:val="0"/>
        <w:kinsoku/>
        <w:bidi w:val="0"/>
        <w:rPr>
          <w:rFonts w:hint="eastAsia"/>
        </w:rPr>
      </w:pPr>
      <w:r>
        <w:rPr>
          <w:rFonts w:hint="eastAsia"/>
        </w:rPr>
        <w:t>根据</w:t>
      </w:r>
      <w:r>
        <w:rPr>
          <w:rFonts w:hint="eastAsia"/>
          <w:lang w:val="en-US" w:eastAsia="zh-CN"/>
        </w:rPr>
        <w:t>《产业结构调整指导目录（2024年版）》</w:t>
      </w:r>
      <w:r>
        <w:rPr>
          <w:rFonts w:hint="eastAsia"/>
        </w:rPr>
        <w:t>《建设项目安全设施“三同时”监督管理办法》（国家安全生产监督管理总局令第36号，77号令修订）对本项目</w:t>
      </w:r>
      <w:r>
        <w:rPr>
          <w:rFonts w:hint="eastAsia"/>
          <w:lang w:val="en-US" w:eastAsia="zh-CN"/>
        </w:rPr>
        <w:t>法律法规符合性进行</w:t>
      </w:r>
      <w:r>
        <w:rPr>
          <w:rFonts w:hint="eastAsia"/>
        </w:rPr>
        <w:t>评价，检查结果见下表。</w:t>
      </w:r>
    </w:p>
    <w:p w14:paraId="5C906E89">
      <w:pPr>
        <w:pStyle w:val="12"/>
        <w:keepNext w:val="0"/>
        <w:keepLines w:val="0"/>
        <w:pageBreakBefore w:val="0"/>
        <w:widowControl w:val="0"/>
        <w:kinsoku/>
        <w:wordWrap/>
        <w:bidi w:val="0"/>
        <w:rPr>
          <w:rFonts w:hint="eastAsia"/>
          <w:lang w:val="en-US" w:eastAsia="zh-CN"/>
        </w:rPr>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1</w:t>
      </w:r>
      <w:r>
        <w:rPr>
          <w:rFonts w:hint="eastAsia"/>
          <w:lang w:val="en-US" w:eastAsia="zh-CN"/>
        </w:rPr>
        <w:fldChar w:fldCharType="end"/>
      </w:r>
      <w:r>
        <w:rPr>
          <w:rFonts w:hint="eastAsia"/>
          <w:lang w:val="en-US" w:eastAsia="zh-CN"/>
        </w:rPr>
        <w:t>法律法规符合性检查表</w:t>
      </w:r>
    </w:p>
    <w:tbl>
      <w:tblPr>
        <w:tblStyle w:val="32"/>
        <w:tblW w:w="858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6"/>
        <w:gridCol w:w="3360"/>
        <w:gridCol w:w="1830"/>
        <w:gridCol w:w="1997"/>
        <w:gridCol w:w="709"/>
      </w:tblGrid>
      <w:tr w14:paraId="5DA372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3" w:hRule="atLeast"/>
          <w:tblHeader/>
          <w:jc w:val="center"/>
        </w:trPr>
        <w:tc>
          <w:tcPr>
            <w:tcW w:w="686" w:type="dxa"/>
            <w:tcBorders>
              <w:tl2br w:val="nil"/>
              <w:tr2bl w:val="nil"/>
            </w:tcBorders>
            <w:noWrap w:val="0"/>
            <w:vAlign w:val="center"/>
          </w:tcPr>
          <w:p w14:paraId="12172AA2">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序号</w:t>
            </w:r>
          </w:p>
        </w:tc>
        <w:tc>
          <w:tcPr>
            <w:tcW w:w="3360" w:type="dxa"/>
            <w:tcBorders>
              <w:tl2br w:val="nil"/>
              <w:tr2bl w:val="nil"/>
            </w:tcBorders>
            <w:noWrap w:val="0"/>
            <w:vAlign w:val="center"/>
          </w:tcPr>
          <w:p w14:paraId="31B32198">
            <w:pPr>
              <w:keepNext w:val="0"/>
              <w:keepLines w:val="0"/>
              <w:pageBreakBefore w:val="0"/>
              <w:widowControl w:val="0"/>
              <w:suppressLineNumbers w:val="0"/>
              <w:suppressAutoHyphens/>
              <w:kinsoku/>
              <w:wordWrap/>
              <w:bidi w:val="0"/>
              <w:spacing w:before="0" w:beforeAutospacing="0" w:after="0" w:afterAutospacing="0" w:line="240" w:lineRule="auto"/>
              <w:ind w:left="0" w:right="0" w:firstLine="211" w:firstLineChars="100"/>
              <w:jc w:val="center"/>
              <w:rPr>
                <w:rFonts w:hint="eastAsia" w:asciiTheme="minorEastAsia" w:hAnsiTheme="minorEastAsia" w:eastAsiaTheme="minorEastAsia" w:cstheme="minorEastAsia"/>
                <w:b/>
                <w:snapToGrid w:val="0"/>
                <w:kern w:val="0"/>
                <w:sz w:val="21"/>
                <w:szCs w:val="21"/>
              </w:rPr>
            </w:pPr>
            <w:r>
              <w:rPr>
                <w:rFonts w:hint="eastAsia" w:asciiTheme="minorEastAsia" w:hAnsiTheme="minorEastAsia" w:eastAsiaTheme="minorEastAsia" w:cstheme="minorEastAsia"/>
                <w:b/>
                <w:snapToGrid w:val="0"/>
                <w:kern w:val="0"/>
                <w:sz w:val="21"/>
                <w:szCs w:val="21"/>
              </w:rPr>
              <w:t>检查内容</w:t>
            </w:r>
          </w:p>
        </w:tc>
        <w:tc>
          <w:tcPr>
            <w:tcW w:w="1830" w:type="dxa"/>
            <w:tcBorders>
              <w:tl2br w:val="nil"/>
              <w:tr2bl w:val="nil"/>
            </w:tcBorders>
            <w:noWrap w:val="0"/>
            <w:vAlign w:val="center"/>
          </w:tcPr>
          <w:p w14:paraId="2616FE5F">
            <w:pPr>
              <w:keepNext w:val="0"/>
              <w:keepLines w:val="0"/>
              <w:pageBreakBefore w:val="0"/>
              <w:widowControl w:val="0"/>
              <w:suppressLineNumbers w:val="0"/>
              <w:suppressAutoHyphens/>
              <w:kinsoku/>
              <w:wordWrap/>
              <w:bidi w:val="0"/>
              <w:spacing w:before="0" w:beforeAutospacing="0" w:after="0" w:afterAutospacing="0" w:line="240" w:lineRule="auto"/>
              <w:ind w:left="0" w:right="0" w:firstLine="0" w:firstLineChars="0"/>
              <w:jc w:val="center"/>
              <w:rPr>
                <w:rFonts w:hint="eastAsia" w:asciiTheme="minorEastAsia" w:hAnsiTheme="minorEastAsia" w:eastAsiaTheme="minorEastAsia" w:cstheme="minorEastAsia"/>
                <w:b/>
                <w:snapToGrid w:val="0"/>
                <w:kern w:val="0"/>
                <w:sz w:val="21"/>
                <w:szCs w:val="21"/>
              </w:rPr>
            </w:pPr>
            <w:r>
              <w:rPr>
                <w:rFonts w:hint="eastAsia" w:asciiTheme="minorEastAsia" w:hAnsiTheme="minorEastAsia" w:eastAsiaTheme="minorEastAsia" w:cstheme="minorEastAsia"/>
                <w:b/>
                <w:snapToGrid w:val="0"/>
                <w:kern w:val="0"/>
                <w:sz w:val="21"/>
                <w:szCs w:val="21"/>
              </w:rPr>
              <w:t>依据标准</w:t>
            </w:r>
          </w:p>
        </w:tc>
        <w:tc>
          <w:tcPr>
            <w:tcW w:w="1997" w:type="dxa"/>
            <w:tcBorders>
              <w:tl2br w:val="nil"/>
              <w:tr2bl w:val="nil"/>
            </w:tcBorders>
            <w:noWrap w:val="0"/>
            <w:vAlign w:val="center"/>
          </w:tcPr>
          <w:p w14:paraId="296C0A71">
            <w:pPr>
              <w:keepNext w:val="0"/>
              <w:keepLines w:val="0"/>
              <w:pageBreakBefore w:val="0"/>
              <w:widowControl w:val="0"/>
              <w:suppressLineNumbers w:val="0"/>
              <w:suppressAutoHyphens/>
              <w:kinsoku/>
              <w:wordWrap/>
              <w:bidi w:val="0"/>
              <w:spacing w:before="0" w:beforeAutospacing="0" w:after="0" w:afterAutospacing="0" w:line="240" w:lineRule="auto"/>
              <w:ind w:left="0" w:right="0" w:firstLine="0" w:firstLineChars="0"/>
              <w:jc w:val="center"/>
              <w:rPr>
                <w:rFonts w:hint="eastAsia" w:asciiTheme="minorEastAsia" w:hAnsiTheme="minorEastAsia" w:eastAsiaTheme="minorEastAsia" w:cstheme="minorEastAsia"/>
                <w:b/>
                <w:snapToGrid w:val="0"/>
                <w:kern w:val="0"/>
                <w:sz w:val="21"/>
                <w:szCs w:val="21"/>
              </w:rPr>
            </w:pPr>
            <w:r>
              <w:rPr>
                <w:rFonts w:hint="eastAsia" w:asciiTheme="minorEastAsia" w:hAnsiTheme="minorEastAsia" w:eastAsiaTheme="minorEastAsia" w:cstheme="minorEastAsia"/>
                <w:b/>
                <w:snapToGrid w:val="0"/>
                <w:kern w:val="0"/>
                <w:sz w:val="21"/>
                <w:szCs w:val="21"/>
              </w:rPr>
              <w:t>检查情况</w:t>
            </w:r>
          </w:p>
        </w:tc>
        <w:tc>
          <w:tcPr>
            <w:tcW w:w="709" w:type="dxa"/>
            <w:tcBorders>
              <w:tl2br w:val="nil"/>
              <w:tr2bl w:val="nil"/>
            </w:tcBorders>
            <w:noWrap w:val="0"/>
            <w:vAlign w:val="center"/>
          </w:tcPr>
          <w:p w14:paraId="67371090">
            <w:pPr>
              <w:keepNext w:val="0"/>
              <w:keepLines w:val="0"/>
              <w:pageBreakBefore w:val="0"/>
              <w:widowControl w:val="0"/>
              <w:suppressLineNumbers w:val="0"/>
              <w:suppressAutoHyphens/>
              <w:kinsoku/>
              <w:wordWrap/>
              <w:bidi w:val="0"/>
              <w:spacing w:before="0" w:beforeAutospacing="0" w:after="0" w:afterAutospacing="0" w:line="240" w:lineRule="auto"/>
              <w:ind w:left="0" w:right="0" w:firstLine="0" w:firstLineChars="0"/>
              <w:jc w:val="center"/>
              <w:rPr>
                <w:rFonts w:hint="eastAsia" w:asciiTheme="minorEastAsia" w:hAnsiTheme="minorEastAsia" w:eastAsiaTheme="minorEastAsia" w:cstheme="minorEastAsia"/>
                <w:b/>
                <w:snapToGrid w:val="0"/>
                <w:kern w:val="0"/>
                <w:sz w:val="21"/>
                <w:szCs w:val="21"/>
              </w:rPr>
            </w:pPr>
            <w:r>
              <w:rPr>
                <w:rFonts w:hint="eastAsia" w:asciiTheme="minorEastAsia" w:hAnsiTheme="minorEastAsia" w:eastAsiaTheme="minorEastAsia" w:cstheme="minorEastAsia"/>
                <w:b/>
                <w:snapToGrid w:val="0"/>
                <w:kern w:val="0"/>
                <w:sz w:val="21"/>
                <w:szCs w:val="21"/>
              </w:rPr>
              <w:t>结论</w:t>
            </w:r>
          </w:p>
        </w:tc>
      </w:tr>
      <w:tr w14:paraId="748442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1" w:hRule="atLeast"/>
          <w:jc w:val="center"/>
        </w:trPr>
        <w:tc>
          <w:tcPr>
            <w:tcW w:w="686" w:type="dxa"/>
            <w:tcBorders>
              <w:tl2br w:val="nil"/>
              <w:tr2bl w:val="nil"/>
            </w:tcBorders>
            <w:noWrap w:val="0"/>
            <w:vAlign w:val="center"/>
          </w:tcPr>
          <w:p w14:paraId="4A4DD612">
            <w:pPr>
              <w:keepNext w:val="0"/>
              <w:keepLines w:val="0"/>
              <w:pageBreakBefore w:val="0"/>
              <w:widowControl w:val="0"/>
              <w:numPr>
                <w:ilvl w:val="0"/>
                <w:numId w:val="96"/>
              </w:numPr>
              <w:suppressLineNumbers w:val="0"/>
              <w:kinsoku/>
              <w:wordWrap/>
              <w:bidi w:val="0"/>
              <w:spacing w:before="0" w:beforeAutospacing="0" w:after="0" w:afterAutospacing="0" w:line="240" w:lineRule="auto"/>
              <w:ind w:right="0" w:firstLine="0" w:firstLineChars="0"/>
              <w:jc w:val="center"/>
              <w:rPr>
                <w:rFonts w:hint="eastAsia" w:asciiTheme="minorEastAsia" w:hAnsiTheme="minorEastAsia" w:eastAsiaTheme="minorEastAsia" w:cstheme="minorEastAsia"/>
                <w:sz w:val="21"/>
                <w:szCs w:val="21"/>
              </w:rPr>
            </w:pPr>
          </w:p>
        </w:tc>
        <w:tc>
          <w:tcPr>
            <w:tcW w:w="3360" w:type="dxa"/>
            <w:tcBorders>
              <w:tl2br w:val="nil"/>
              <w:tr2bl w:val="nil"/>
            </w:tcBorders>
            <w:noWrap w:val="0"/>
            <w:vAlign w:val="center"/>
          </w:tcPr>
          <w:p w14:paraId="0FB2742F">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项目建设符合是否符合国家产业政策</w:t>
            </w:r>
          </w:p>
        </w:tc>
        <w:tc>
          <w:tcPr>
            <w:tcW w:w="1830" w:type="dxa"/>
            <w:tcBorders>
              <w:tl2br w:val="nil"/>
              <w:tr2bl w:val="nil"/>
            </w:tcBorders>
            <w:noWrap w:val="0"/>
            <w:vAlign w:val="center"/>
          </w:tcPr>
          <w:p w14:paraId="2E33DE8F">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《产业结构调整指导目录（2024年版）》</w:t>
            </w:r>
          </w:p>
        </w:tc>
        <w:tc>
          <w:tcPr>
            <w:tcW w:w="1997" w:type="dxa"/>
            <w:tcBorders>
              <w:tl2br w:val="nil"/>
              <w:tr2bl w:val="nil"/>
            </w:tcBorders>
            <w:noWrap w:val="0"/>
            <w:vAlign w:val="center"/>
          </w:tcPr>
          <w:p w14:paraId="42BF16B8">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val="en-US" w:eastAsia="zh-CN"/>
              </w:rPr>
              <w:t>项目</w:t>
            </w:r>
            <w:r>
              <w:rPr>
                <w:rFonts w:hint="eastAsia" w:asciiTheme="minorEastAsia" w:hAnsiTheme="minorEastAsia" w:eastAsiaTheme="minorEastAsia" w:cstheme="minorEastAsia"/>
                <w:kern w:val="0"/>
                <w:sz w:val="21"/>
                <w:szCs w:val="21"/>
              </w:rPr>
              <w:t>不在《产业结构调整指导目录（2024年本）》的限制类、淘汰类目录中，符合国家产业政策。</w:t>
            </w:r>
          </w:p>
        </w:tc>
        <w:tc>
          <w:tcPr>
            <w:tcW w:w="709" w:type="dxa"/>
            <w:tcBorders>
              <w:tl2br w:val="nil"/>
              <w:tr2bl w:val="nil"/>
            </w:tcBorders>
            <w:noWrap w:val="0"/>
            <w:vAlign w:val="center"/>
          </w:tcPr>
          <w:p w14:paraId="3291F316">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符合</w:t>
            </w:r>
          </w:p>
        </w:tc>
      </w:tr>
      <w:tr w14:paraId="3696F3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tcBorders>
              <w:tl2br w:val="nil"/>
              <w:tr2bl w:val="nil"/>
            </w:tcBorders>
            <w:noWrap w:val="0"/>
            <w:vAlign w:val="center"/>
          </w:tcPr>
          <w:p w14:paraId="2D35FC1D">
            <w:pPr>
              <w:keepNext w:val="0"/>
              <w:keepLines w:val="0"/>
              <w:pageBreakBefore w:val="0"/>
              <w:widowControl w:val="0"/>
              <w:numPr>
                <w:ilvl w:val="0"/>
                <w:numId w:val="96"/>
              </w:numPr>
              <w:suppressLineNumbers w:val="0"/>
              <w:kinsoku/>
              <w:wordWrap/>
              <w:bidi w:val="0"/>
              <w:spacing w:before="0" w:beforeAutospacing="0" w:after="0" w:afterAutospacing="0" w:line="240" w:lineRule="auto"/>
              <w:ind w:right="0" w:firstLine="0" w:firstLineChars="0"/>
              <w:jc w:val="center"/>
              <w:rPr>
                <w:rFonts w:hint="eastAsia" w:asciiTheme="minorEastAsia" w:hAnsiTheme="minorEastAsia" w:eastAsiaTheme="minorEastAsia" w:cstheme="minorEastAsia"/>
                <w:sz w:val="21"/>
                <w:szCs w:val="21"/>
              </w:rPr>
            </w:pPr>
          </w:p>
        </w:tc>
        <w:tc>
          <w:tcPr>
            <w:tcW w:w="3360" w:type="dxa"/>
            <w:tcBorders>
              <w:tl2br w:val="nil"/>
              <w:tr2bl w:val="nil"/>
            </w:tcBorders>
            <w:noWrap w:val="0"/>
            <w:vAlign w:val="center"/>
          </w:tcPr>
          <w:p w14:paraId="747970C0">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生产经营单位是建设项目安全设施建设的责任主体。建设项目安全设施必须与主体工程同时设计、同时施工、同时投入生产和使用（以下简称“三同时”）。安全设施投资应当纳入建设项目概算。</w:t>
            </w:r>
          </w:p>
        </w:tc>
        <w:tc>
          <w:tcPr>
            <w:tcW w:w="1830" w:type="dxa"/>
            <w:tcBorders>
              <w:tl2br w:val="nil"/>
              <w:tr2bl w:val="nil"/>
            </w:tcBorders>
            <w:noWrap w:val="0"/>
            <w:vAlign w:val="center"/>
          </w:tcPr>
          <w:p w14:paraId="2D5F61A3">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《建设项目安全设施“三同时”监督管理办法》（国家安全生产监督管理总局令第36号，77号令修订）第四条</w:t>
            </w:r>
          </w:p>
        </w:tc>
        <w:tc>
          <w:tcPr>
            <w:tcW w:w="1997" w:type="dxa"/>
            <w:tcBorders>
              <w:tl2br w:val="nil"/>
              <w:tr2bl w:val="nil"/>
            </w:tcBorders>
            <w:noWrap w:val="0"/>
            <w:vAlign w:val="center"/>
          </w:tcPr>
          <w:p w14:paraId="7D1BEFC7">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eastAsia="zh-CN"/>
              </w:rPr>
              <w:t>云南东锆新材料有限公司</w:t>
            </w:r>
            <w:r>
              <w:rPr>
                <w:rFonts w:hint="eastAsia" w:asciiTheme="minorEastAsia" w:hAnsiTheme="minorEastAsia" w:eastAsiaTheme="minorEastAsia" w:cstheme="minorEastAsia"/>
                <w:kern w:val="0"/>
                <w:sz w:val="21"/>
                <w:szCs w:val="21"/>
              </w:rPr>
              <w:t>为本项目安全设施建设的责任主体，本项目安全设施投资在建设前已纳入建设项目概算。</w:t>
            </w:r>
          </w:p>
        </w:tc>
        <w:tc>
          <w:tcPr>
            <w:tcW w:w="709" w:type="dxa"/>
            <w:tcBorders>
              <w:tl2br w:val="nil"/>
              <w:tr2bl w:val="nil"/>
            </w:tcBorders>
            <w:noWrap w:val="0"/>
            <w:vAlign w:val="center"/>
          </w:tcPr>
          <w:p w14:paraId="46178CBB">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符合</w:t>
            </w:r>
          </w:p>
        </w:tc>
      </w:tr>
      <w:tr w14:paraId="2D8E6F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tcBorders>
              <w:tl2br w:val="nil"/>
              <w:tr2bl w:val="nil"/>
            </w:tcBorders>
            <w:noWrap w:val="0"/>
            <w:vAlign w:val="center"/>
          </w:tcPr>
          <w:p w14:paraId="23B07F6B">
            <w:pPr>
              <w:keepNext w:val="0"/>
              <w:keepLines w:val="0"/>
              <w:pageBreakBefore w:val="0"/>
              <w:widowControl w:val="0"/>
              <w:numPr>
                <w:ilvl w:val="0"/>
                <w:numId w:val="96"/>
              </w:numPr>
              <w:suppressLineNumbers w:val="0"/>
              <w:kinsoku/>
              <w:wordWrap/>
              <w:bidi w:val="0"/>
              <w:spacing w:before="0" w:beforeAutospacing="0" w:after="0" w:afterAutospacing="0" w:line="240" w:lineRule="auto"/>
              <w:ind w:right="0" w:firstLine="0" w:firstLineChars="0"/>
              <w:jc w:val="center"/>
              <w:rPr>
                <w:rFonts w:hint="eastAsia" w:asciiTheme="minorEastAsia" w:hAnsiTheme="minorEastAsia" w:eastAsiaTheme="minorEastAsia" w:cstheme="minorEastAsia"/>
                <w:sz w:val="21"/>
                <w:szCs w:val="21"/>
              </w:rPr>
            </w:pPr>
          </w:p>
        </w:tc>
        <w:tc>
          <w:tcPr>
            <w:tcW w:w="3360" w:type="dxa"/>
            <w:tcBorders>
              <w:tl2br w:val="nil"/>
              <w:tr2bl w:val="nil"/>
            </w:tcBorders>
            <w:noWrap w:val="0"/>
            <w:vAlign w:val="center"/>
          </w:tcPr>
          <w:p w14:paraId="0690F516">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本办法第七条规定以外的其他建设项目，生产经营单位应当对其安全生产条件和设施进行综合分析，形成书面报告备查。</w:t>
            </w:r>
          </w:p>
          <w:p w14:paraId="20A83324">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p>
        </w:tc>
        <w:tc>
          <w:tcPr>
            <w:tcW w:w="1830" w:type="dxa"/>
            <w:tcBorders>
              <w:tl2br w:val="nil"/>
              <w:tr2bl w:val="nil"/>
            </w:tcBorders>
            <w:noWrap w:val="0"/>
            <w:vAlign w:val="center"/>
          </w:tcPr>
          <w:p w14:paraId="115D0527">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《建设项目安全设施“三同时”监督管理办法》（国家安全生产监督管理总局令第36号，77号令修订）第九条　</w:t>
            </w:r>
          </w:p>
        </w:tc>
        <w:tc>
          <w:tcPr>
            <w:tcW w:w="1997" w:type="dxa"/>
            <w:tcBorders>
              <w:tl2br w:val="nil"/>
              <w:tr2bl w:val="nil"/>
            </w:tcBorders>
            <w:noWrap w:val="0"/>
            <w:vAlign w:val="center"/>
          </w:tcPr>
          <w:p w14:paraId="19B64819">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云南东锆新材料有限公司编制了《云南东锆新材料有限公司年产3万吨电熔氧化锆陶瓷产业基地建设项目安全预评价报告》。</w:t>
            </w:r>
          </w:p>
        </w:tc>
        <w:tc>
          <w:tcPr>
            <w:tcW w:w="709" w:type="dxa"/>
            <w:tcBorders>
              <w:tl2br w:val="nil"/>
              <w:tr2bl w:val="nil"/>
            </w:tcBorders>
            <w:noWrap w:val="0"/>
            <w:vAlign w:val="center"/>
          </w:tcPr>
          <w:p w14:paraId="73CE8AB4">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符合</w:t>
            </w:r>
          </w:p>
        </w:tc>
      </w:tr>
      <w:tr w14:paraId="1F8944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2" w:hRule="atLeast"/>
          <w:jc w:val="center"/>
        </w:trPr>
        <w:tc>
          <w:tcPr>
            <w:tcW w:w="686" w:type="dxa"/>
            <w:tcBorders>
              <w:tl2br w:val="nil"/>
              <w:tr2bl w:val="nil"/>
            </w:tcBorders>
            <w:noWrap w:val="0"/>
            <w:vAlign w:val="center"/>
          </w:tcPr>
          <w:p w14:paraId="10EFC8DE">
            <w:pPr>
              <w:keepNext w:val="0"/>
              <w:keepLines w:val="0"/>
              <w:pageBreakBefore w:val="0"/>
              <w:widowControl w:val="0"/>
              <w:numPr>
                <w:ilvl w:val="0"/>
                <w:numId w:val="96"/>
              </w:numPr>
              <w:suppressLineNumbers w:val="0"/>
              <w:kinsoku/>
              <w:wordWrap/>
              <w:bidi w:val="0"/>
              <w:spacing w:before="0" w:beforeAutospacing="0" w:after="0" w:afterAutospacing="0" w:line="240" w:lineRule="auto"/>
              <w:ind w:right="0" w:firstLine="0" w:firstLineChars="0"/>
              <w:jc w:val="center"/>
              <w:rPr>
                <w:rFonts w:hint="eastAsia" w:asciiTheme="minorEastAsia" w:hAnsiTheme="minorEastAsia" w:eastAsiaTheme="minorEastAsia" w:cstheme="minorEastAsia"/>
                <w:sz w:val="21"/>
                <w:szCs w:val="21"/>
              </w:rPr>
            </w:pPr>
          </w:p>
        </w:tc>
        <w:tc>
          <w:tcPr>
            <w:tcW w:w="3360" w:type="dxa"/>
            <w:tcBorders>
              <w:tl2br w:val="nil"/>
              <w:tr2bl w:val="nil"/>
            </w:tcBorders>
            <w:noWrap w:val="0"/>
            <w:vAlign w:val="center"/>
          </w:tcPr>
          <w:p w14:paraId="69680900">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生产经营单位在建设项目初步设计时，应当委托有相应资质的初步设计单位对建设项目安全设施同时进行设计，编制安全设施设计。</w:t>
            </w:r>
          </w:p>
        </w:tc>
        <w:tc>
          <w:tcPr>
            <w:tcW w:w="1830" w:type="dxa"/>
            <w:tcBorders>
              <w:tl2br w:val="nil"/>
              <w:tr2bl w:val="nil"/>
            </w:tcBorders>
            <w:noWrap w:val="0"/>
            <w:vAlign w:val="center"/>
          </w:tcPr>
          <w:p w14:paraId="51A2C2C6">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《建设项目安全设施“三同时”监督管理办法》（国家安全生产监督管理总局令第36号，77号令修订）第十条</w:t>
            </w:r>
          </w:p>
        </w:tc>
        <w:tc>
          <w:tcPr>
            <w:tcW w:w="1997" w:type="dxa"/>
            <w:tcBorders>
              <w:tl2br w:val="nil"/>
              <w:tr2bl w:val="nil"/>
            </w:tcBorders>
            <w:noWrap w:val="0"/>
            <w:vAlign w:val="center"/>
          </w:tcPr>
          <w:p w14:paraId="365A4E7B">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eastAsia="宋体" w:asciiTheme="minorEastAsia" w:hAnsi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eastAsia="zh-CN"/>
              </w:rPr>
              <w:t>智诚建科设计有限公司于202</w:t>
            </w:r>
            <w:r>
              <w:rPr>
                <w:rFonts w:hint="eastAsia" w:asciiTheme="minorEastAsia" w:hAnsiTheme="minorEastAsia" w:eastAsiaTheme="minorEastAsia" w:cstheme="minorEastAsia"/>
                <w:kern w:val="0"/>
                <w:sz w:val="21"/>
                <w:szCs w:val="21"/>
                <w:lang w:val="en-US" w:eastAsia="zh-CN"/>
              </w:rPr>
              <w:t>4</w:t>
            </w:r>
            <w:r>
              <w:rPr>
                <w:rFonts w:hint="eastAsia" w:asciiTheme="minorEastAsia" w:hAnsiTheme="minorEastAsia" w:eastAsiaTheme="minorEastAsia" w:cstheme="minorEastAsia"/>
                <w:kern w:val="0"/>
                <w:sz w:val="21"/>
                <w:szCs w:val="21"/>
                <w:lang w:eastAsia="zh-CN"/>
              </w:rPr>
              <w:t>年</w:t>
            </w:r>
            <w:r>
              <w:rPr>
                <w:rFonts w:hint="eastAsia" w:asciiTheme="minorEastAsia" w:hAnsiTheme="minorEastAsia" w:eastAsiaTheme="minorEastAsia" w:cstheme="minorEastAsia"/>
                <w:kern w:val="0"/>
                <w:sz w:val="21"/>
                <w:szCs w:val="21"/>
                <w:lang w:val="en-US" w:eastAsia="zh-CN"/>
              </w:rPr>
              <w:t>4</w:t>
            </w:r>
            <w:r>
              <w:rPr>
                <w:rFonts w:hint="eastAsia" w:asciiTheme="minorEastAsia" w:hAnsiTheme="minorEastAsia" w:eastAsiaTheme="minorEastAsia" w:cstheme="minorEastAsia"/>
                <w:kern w:val="0"/>
                <w:sz w:val="21"/>
                <w:szCs w:val="21"/>
                <w:lang w:eastAsia="zh-CN"/>
              </w:rPr>
              <w:t>月编制。设计单位《工程设计资质证书》证书编号：</w:t>
            </w:r>
            <w:r>
              <w:rPr>
                <w:rFonts w:hint="eastAsia" w:asciiTheme="minorEastAsia" w:hAnsiTheme="minorEastAsia" w:eastAsiaTheme="minorEastAsia" w:cstheme="minorEastAsia"/>
                <w:kern w:val="0"/>
                <w:sz w:val="21"/>
                <w:szCs w:val="21"/>
                <w:lang w:val="en-US" w:eastAsia="zh-CN"/>
              </w:rPr>
              <w:t>A352007614</w:t>
            </w:r>
            <w:r>
              <w:rPr>
                <w:rFonts w:hint="eastAsia" w:asciiTheme="minorEastAsia" w:hAnsiTheme="minorEastAsia" w:eastAsiaTheme="minorEastAsia" w:cstheme="minorEastAsia"/>
                <w:kern w:val="0"/>
                <w:sz w:val="21"/>
                <w:szCs w:val="21"/>
                <w:lang w:eastAsia="zh-CN"/>
              </w:rPr>
              <w:t>，资质等级：工程设计建材行业乙级。</w:t>
            </w:r>
          </w:p>
        </w:tc>
        <w:tc>
          <w:tcPr>
            <w:tcW w:w="709" w:type="dxa"/>
            <w:tcBorders>
              <w:tl2br w:val="nil"/>
              <w:tr2bl w:val="nil"/>
            </w:tcBorders>
            <w:noWrap w:val="0"/>
            <w:vAlign w:val="center"/>
          </w:tcPr>
          <w:p w14:paraId="4AF567E1">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符合</w:t>
            </w:r>
          </w:p>
        </w:tc>
      </w:tr>
      <w:tr w14:paraId="1A494F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tcBorders>
              <w:tl2br w:val="nil"/>
              <w:tr2bl w:val="nil"/>
            </w:tcBorders>
            <w:noWrap w:val="0"/>
            <w:vAlign w:val="center"/>
          </w:tcPr>
          <w:p w14:paraId="16E3A493">
            <w:pPr>
              <w:keepNext w:val="0"/>
              <w:keepLines w:val="0"/>
              <w:pageBreakBefore w:val="0"/>
              <w:widowControl w:val="0"/>
              <w:numPr>
                <w:ilvl w:val="0"/>
                <w:numId w:val="96"/>
              </w:numPr>
              <w:suppressLineNumbers w:val="0"/>
              <w:kinsoku/>
              <w:wordWrap/>
              <w:bidi w:val="0"/>
              <w:spacing w:before="0" w:beforeAutospacing="0" w:after="0" w:afterAutospacing="0" w:line="240" w:lineRule="auto"/>
              <w:ind w:right="0" w:firstLine="0" w:firstLineChars="0"/>
              <w:jc w:val="center"/>
              <w:rPr>
                <w:rFonts w:hint="eastAsia" w:asciiTheme="minorEastAsia" w:hAnsiTheme="minorEastAsia" w:eastAsiaTheme="minorEastAsia" w:cstheme="minorEastAsia"/>
                <w:sz w:val="21"/>
                <w:szCs w:val="21"/>
              </w:rPr>
            </w:pPr>
          </w:p>
        </w:tc>
        <w:tc>
          <w:tcPr>
            <w:tcW w:w="3360" w:type="dxa"/>
            <w:tcBorders>
              <w:tl2br w:val="nil"/>
              <w:tr2bl w:val="nil"/>
            </w:tcBorders>
            <w:noWrap w:val="0"/>
            <w:vAlign w:val="center"/>
          </w:tcPr>
          <w:p w14:paraId="6ED6B93F">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第十六条　本办法第七条第（一）项、第（二）项、第（三）项和第（四）项规定以外的建设项目安全设施设计，由生产经营单位组织审查，形成书面报告备查。</w:t>
            </w:r>
          </w:p>
        </w:tc>
        <w:tc>
          <w:tcPr>
            <w:tcW w:w="1830" w:type="dxa"/>
            <w:tcBorders>
              <w:tl2br w:val="nil"/>
              <w:tr2bl w:val="nil"/>
            </w:tcBorders>
            <w:noWrap w:val="0"/>
            <w:vAlign w:val="center"/>
          </w:tcPr>
          <w:p w14:paraId="2852EF26">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《建设项目安全设施“三同时”监督管理办法》（国家安全生产监督管理总局令第36号，77号令修订）第十</w:t>
            </w:r>
            <w:r>
              <w:rPr>
                <w:rFonts w:hint="eastAsia" w:asciiTheme="minorEastAsia" w:hAnsiTheme="minorEastAsia" w:eastAsiaTheme="minorEastAsia" w:cstheme="minorEastAsia"/>
                <w:kern w:val="0"/>
                <w:sz w:val="21"/>
                <w:szCs w:val="21"/>
                <w:lang w:val="en-US" w:eastAsia="zh-CN"/>
              </w:rPr>
              <w:t>六</w:t>
            </w:r>
            <w:r>
              <w:rPr>
                <w:rFonts w:hint="eastAsia" w:asciiTheme="minorEastAsia" w:hAnsiTheme="minorEastAsia" w:eastAsiaTheme="minorEastAsia" w:cstheme="minorEastAsia"/>
                <w:kern w:val="0"/>
                <w:sz w:val="21"/>
                <w:szCs w:val="21"/>
              </w:rPr>
              <w:t>条</w:t>
            </w:r>
          </w:p>
        </w:tc>
        <w:tc>
          <w:tcPr>
            <w:tcW w:w="1997" w:type="dxa"/>
            <w:tcBorders>
              <w:tl2br w:val="nil"/>
              <w:tr2bl w:val="nil"/>
            </w:tcBorders>
            <w:noWrap w:val="0"/>
            <w:vAlign w:val="center"/>
          </w:tcPr>
          <w:p w14:paraId="28570FFF">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项目安全设施设计按要求于2024年4月20日组织了专家审查。</w:t>
            </w:r>
          </w:p>
        </w:tc>
        <w:tc>
          <w:tcPr>
            <w:tcW w:w="709" w:type="dxa"/>
            <w:tcBorders>
              <w:tl2br w:val="nil"/>
              <w:tr2bl w:val="nil"/>
            </w:tcBorders>
            <w:noWrap w:val="0"/>
            <w:vAlign w:val="center"/>
          </w:tcPr>
          <w:p w14:paraId="271DE847">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p>
        </w:tc>
      </w:tr>
      <w:tr w14:paraId="012666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11" w:hRule="atLeast"/>
          <w:jc w:val="center"/>
        </w:trPr>
        <w:tc>
          <w:tcPr>
            <w:tcW w:w="686" w:type="dxa"/>
            <w:tcBorders>
              <w:tl2br w:val="nil"/>
              <w:tr2bl w:val="nil"/>
            </w:tcBorders>
            <w:noWrap w:val="0"/>
            <w:vAlign w:val="center"/>
          </w:tcPr>
          <w:p w14:paraId="12E03CA8">
            <w:pPr>
              <w:keepNext w:val="0"/>
              <w:keepLines w:val="0"/>
              <w:pageBreakBefore w:val="0"/>
              <w:widowControl w:val="0"/>
              <w:numPr>
                <w:ilvl w:val="0"/>
                <w:numId w:val="96"/>
              </w:numPr>
              <w:suppressLineNumbers w:val="0"/>
              <w:kinsoku/>
              <w:wordWrap/>
              <w:bidi w:val="0"/>
              <w:spacing w:before="0" w:beforeAutospacing="0" w:after="0" w:afterAutospacing="0" w:line="240" w:lineRule="auto"/>
              <w:ind w:right="0" w:firstLine="0" w:firstLineChars="0"/>
              <w:jc w:val="center"/>
              <w:rPr>
                <w:rFonts w:hint="eastAsia" w:asciiTheme="minorEastAsia" w:hAnsiTheme="minorEastAsia" w:eastAsiaTheme="minorEastAsia" w:cstheme="minorEastAsia"/>
                <w:sz w:val="21"/>
                <w:szCs w:val="21"/>
              </w:rPr>
            </w:pPr>
          </w:p>
        </w:tc>
        <w:tc>
          <w:tcPr>
            <w:tcW w:w="3360" w:type="dxa"/>
            <w:tcBorders>
              <w:tl2br w:val="nil"/>
              <w:tr2bl w:val="nil"/>
            </w:tcBorders>
            <w:noWrap w:val="0"/>
            <w:vAlign w:val="center"/>
          </w:tcPr>
          <w:p w14:paraId="6047D211">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建设项目安全设施的施工应当由取得相应资质的施工单位进行，并与建设项目主体工程同时施工。</w:t>
            </w:r>
          </w:p>
        </w:tc>
        <w:tc>
          <w:tcPr>
            <w:tcW w:w="1830" w:type="dxa"/>
            <w:tcBorders>
              <w:tl2br w:val="nil"/>
              <w:tr2bl w:val="nil"/>
            </w:tcBorders>
            <w:noWrap w:val="0"/>
            <w:vAlign w:val="center"/>
          </w:tcPr>
          <w:p w14:paraId="5D9706F3">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《建设项目安全设施“三同时”监督管理办法》（国家安全生产监督管理总局令第36号，77号令修订）</w:t>
            </w:r>
            <w:r>
              <w:rPr>
                <w:rFonts w:hint="eastAsia" w:asciiTheme="minorEastAsia" w:hAnsiTheme="minorEastAsia" w:eastAsiaTheme="minorEastAsia" w:cstheme="minorEastAsia"/>
                <w:kern w:val="0"/>
                <w:sz w:val="21"/>
                <w:szCs w:val="21"/>
                <w:lang w:eastAsia="zh-CN"/>
              </w:rPr>
              <w:t>第十七条</w:t>
            </w:r>
          </w:p>
        </w:tc>
        <w:tc>
          <w:tcPr>
            <w:tcW w:w="1997" w:type="dxa"/>
            <w:tcBorders>
              <w:tl2br w:val="nil"/>
              <w:tr2bl w:val="nil"/>
            </w:tcBorders>
            <w:noWrap w:val="0"/>
            <w:vAlign w:val="center"/>
          </w:tcPr>
          <w:p w14:paraId="57842A95">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default" w:asciiTheme="minorEastAsia" w:hAnsiTheme="minorEastAsia" w:eastAsiaTheme="minorEastAsia" w:cstheme="minorEastAsia"/>
                <w:kern w:val="0"/>
                <w:sz w:val="21"/>
                <w:szCs w:val="21"/>
                <w:highlight w:val="yellow"/>
                <w:lang w:val="en-US" w:eastAsia="zh-CN"/>
              </w:rPr>
            </w:pPr>
            <w:r>
              <w:rPr>
                <w:rFonts w:hint="eastAsia" w:asciiTheme="minorEastAsia" w:hAnsiTheme="minorEastAsia" w:eastAsiaTheme="minorEastAsia" w:cstheme="minorEastAsia"/>
                <w:color w:val="auto"/>
                <w:kern w:val="0"/>
                <w:sz w:val="21"/>
                <w:szCs w:val="21"/>
                <w:highlight w:val="none"/>
              </w:rPr>
              <w:t>本项目安全设施与主体工程同时施工。</w:t>
            </w:r>
            <w:r>
              <w:rPr>
                <w:rFonts w:hint="eastAsia" w:asciiTheme="minorEastAsia" w:hAnsiTheme="minorEastAsia" w:eastAsiaTheme="minorEastAsia" w:cstheme="minorEastAsia"/>
                <w:color w:val="auto"/>
                <w:kern w:val="0"/>
                <w:sz w:val="21"/>
                <w:szCs w:val="21"/>
                <w:highlight w:val="none"/>
                <w:lang w:val="en-US" w:eastAsia="zh-CN"/>
              </w:rPr>
              <w:t>由河南敦厚建设有限公司施工。施工单位资质：建筑工程施工总承包叁级；资质证书编号：D441232443</w:t>
            </w:r>
          </w:p>
        </w:tc>
        <w:tc>
          <w:tcPr>
            <w:tcW w:w="709" w:type="dxa"/>
            <w:tcBorders>
              <w:tl2br w:val="nil"/>
              <w:tr2bl w:val="nil"/>
            </w:tcBorders>
            <w:noWrap w:val="0"/>
            <w:vAlign w:val="center"/>
          </w:tcPr>
          <w:p w14:paraId="0EAD5D04">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符合</w:t>
            </w:r>
          </w:p>
        </w:tc>
      </w:tr>
      <w:tr w14:paraId="23104F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tcBorders>
              <w:tl2br w:val="nil"/>
              <w:tr2bl w:val="nil"/>
            </w:tcBorders>
            <w:noWrap w:val="0"/>
            <w:vAlign w:val="center"/>
          </w:tcPr>
          <w:p w14:paraId="3D09D97F">
            <w:pPr>
              <w:keepNext w:val="0"/>
              <w:keepLines w:val="0"/>
              <w:pageBreakBefore w:val="0"/>
              <w:widowControl w:val="0"/>
              <w:numPr>
                <w:ilvl w:val="0"/>
                <w:numId w:val="96"/>
              </w:numPr>
              <w:suppressLineNumbers w:val="0"/>
              <w:kinsoku/>
              <w:wordWrap/>
              <w:bidi w:val="0"/>
              <w:spacing w:before="0" w:beforeAutospacing="0" w:after="0" w:afterAutospacing="0" w:line="240" w:lineRule="auto"/>
              <w:ind w:right="0" w:firstLine="0" w:firstLineChars="0"/>
              <w:jc w:val="center"/>
              <w:rPr>
                <w:rFonts w:hint="eastAsia" w:asciiTheme="minorEastAsia" w:hAnsiTheme="minorEastAsia" w:eastAsiaTheme="minorEastAsia" w:cstheme="minorEastAsia"/>
                <w:sz w:val="21"/>
                <w:szCs w:val="21"/>
              </w:rPr>
            </w:pPr>
          </w:p>
        </w:tc>
        <w:tc>
          <w:tcPr>
            <w:tcW w:w="3360" w:type="dxa"/>
            <w:tcBorders>
              <w:tl2br w:val="nil"/>
              <w:tr2bl w:val="nil"/>
            </w:tcBorders>
            <w:noWrap w:val="0"/>
            <w:vAlign w:val="center"/>
          </w:tcPr>
          <w:p w14:paraId="5B2DE546">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工程监理单位应当审查施工组织设计中的安全技术措施或者专项施工方案是否符合工程建设强制性标准。</w:t>
            </w:r>
          </w:p>
        </w:tc>
        <w:tc>
          <w:tcPr>
            <w:tcW w:w="1830" w:type="dxa"/>
            <w:tcBorders>
              <w:tl2br w:val="nil"/>
              <w:tr2bl w:val="nil"/>
            </w:tcBorders>
            <w:noWrap w:val="0"/>
            <w:vAlign w:val="center"/>
          </w:tcPr>
          <w:p w14:paraId="2E7F976C">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《建设项目安全设施“三同时”监督管理办法》（国家安全生产监督管理总局令第36号，77号令修订）第十九条　</w:t>
            </w:r>
          </w:p>
        </w:tc>
        <w:tc>
          <w:tcPr>
            <w:tcW w:w="1997" w:type="dxa"/>
            <w:tcBorders>
              <w:tl2br w:val="nil"/>
              <w:tr2bl w:val="nil"/>
            </w:tcBorders>
            <w:noWrap w:val="0"/>
            <w:vAlign w:val="center"/>
          </w:tcPr>
          <w:p w14:paraId="34ABBE55">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本项目工程监理单位楚雄磊易项目管理有限公司。</w:t>
            </w:r>
          </w:p>
          <w:p w14:paraId="49478874">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房屋建筑工程专业资质乙级</w:t>
            </w:r>
          </w:p>
          <w:p w14:paraId="3527B26C">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default" w:asciiTheme="minorEastAsia" w:hAnsiTheme="minorEastAsia" w:eastAsiaTheme="minorEastAsia" w:cstheme="minorEastAsia"/>
                <w:kern w:val="0"/>
                <w:sz w:val="21"/>
                <w:szCs w:val="21"/>
                <w:lang w:val="en-US" w:eastAsia="zh-CN"/>
              </w:rPr>
            </w:pPr>
            <w:r>
              <w:rPr>
                <w:rFonts w:hint="eastAsia" w:ascii="宋体" w:hAnsi="宋体" w:eastAsia="宋体" w:cs="宋体"/>
                <w:sz w:val="21"/>
                <w:szCs w:val="21"/>
                <w:lang w:eastAsia="zh-CN"/>
              </w:rPr>
              <w:t>E253102243</w:t>
            </w:r>
          </w:p>
        </w:tc>
        <w:tc>
          <w:tcPr>
            <w:tcW w:w="709" w:type="dxa"/>
            <w:tcBorders>
              <w:tl2br w:val="nil"/>
              <w:tr2bl w:val="nil"/>
            </w:tcBorders>
            <w:noWrap w:val="0"/>
            <w:vAlign w:val="center"/>
          </w:tcPr>
          <w:p w14:paraId="7FB24D4F">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符合</w:t>
            </w:r>
          </w:p>
        </w:tc>
      </w:tr>
    </w:tbl>
    <w:p w14:paraId="5CFB339A">
      <w:pPr>
        <w:keepNext w:val="0"/>
        <w:keepLines w:val="0"/>
        <w:pageBreakBefore w:val="0"/>
        <w:widowControl w:val="0"/>
        <w:kinsoku/>
        <w:wordWrap/>
        <w:bidi w:val="0"/>
      </w:pPr>
      <w:r>
        <w:rPr>
          <w:rFonts w:hint="eastAsia"/>
        </w:rPr>
        <w:t>通过以上安全检查表检查结果可知，本项目</w:t>
      </w:r>
      <w:r>
        <w:rPr>
          <w:rFonts w:hint="eastAsia"/>
          <w:lang w:val="en-US" w:eastAsia="zh-CN"/>
        </w:rPr>
        <w:t>符合国家产业结构政策，项目</w:t>
      </w:r>
      <w:r>
        <w:rPr>
          <w:rFonts w:hint="eastAsia"/>
        </w:rPr>
        <w:t>在建设和运行期间按照国家相关</w:t>
      </w:r>
      <w:r>
        <w:t>“</w:t>
      </w:r>
      <w:r>
        <w:rPr>
          <w:rFonts w:hint="eastAsia"/>
        </w:rPr>
        <w:t>三同时</w:t>
      </w:r>
      <w:r>
        <w:t>”</w:t>
      </w:r>
      <w:r>
        <w:rPr>
          <w:rFonts w:hint="eastAsia"/>
        </w:rPr>
        <w:t>法律法规及政策，进行了安全生产条件和设施综合分析、安全设施设计，并按照安全设施设计进行施工。</w:t>
      </w:r>
    </w:p>
    <w:p w14:paraId="42A9ED59">
      <w:pPr>
        <w:pStyle w:val="4"/>
        <w:keepNext w:val="0"/>
        <w:keepLines w:val="0"/>
        <w:pageBreakBefore w:val="0"/>
        <w:widowControl w:val="0"/>
        <w:kinsoku/>
        <w:bidi w:val="0"/>
        <w:ind w:left="720" w:leftChars="0" w:hanging="720" w:firstLineChars="0"/>
      </w:pPr>
      <w:bookmarkStart w:id="968" w:name="_Toc404242986"/>
      <w:bookmarkStart w:id="969" w:name="_Toc60925408"/>
      <w:bookmarkStart w:id="970" w:name="_Toc55945299"/>
      <w:bookmarkStart w:id="971" w:name="_Toc367707475"/>
      <w:bookmarkStart w:id="972" w:name="_Toc367717416"/>
      <w:bookmarkStart w:id="973" w:name="_Toc6055"/>
      <w:bookmarkStart w:id="974" w:name="_Toc367715492"/>
      <w:bookmarkStart w:id="975" w:name="_Toc46697234"/>
      <w:bookmarkStart w:id="976" w:name="_Toc384913484"/>
      <w:bookmarkStart w:id="977" w:name="_Toc28932"/>
      <w:r>
        <w:rPr>
          <w:rFonts w:hint="eastAsia"/>
        </w:rPr>
        <w:t>法律法规符合性评价结果</w:t>
      </w:r>
      <w:bookmarkEnd w:id="968"/>
      <w:bookmarkEnd w:id="969"/>
      <w:bookmarkEnd w:id="970"/>
      <w:bookmarkEnd w:id="971"/>
      <w:bookmarkEnd w:id="972"/>
      <w:bookmarkEnd w:id="973"/>
      <w:bookmarkEnd w:id="974"/>
      <w:bookmarkEnd w:id="975"/>
      <w:bookmarkEnd w:id="976"/>
      <w:bookmarkEnd w:id="977"/>
    </w:p>
    <w:p w14:paraId="1A0535E6">
      <w:pPr>
        <w:keepNext w:val="0"/>
        <w:keepLines w:val="0"/>
        <w:pageBreakBefore w:val="0"/>
        <w:widowControl w:val="0"/>
        <w:kinsoku/>
        <w:wordWrap/>
        <w:bidi w:val="0"/>
      </w:pPr>
      <w:bookmarkStart w:id="978" w:name="_Toc189559346"/>
      <w:r>
        <w:rPr>
          <w:rFonts w:hint="eastAsia"/>
        </w:rPr>
        <w:t>本项目在设计、施工、验收等过程中，按照国家相关的安全生产</w:t>
      </w:r>
      <w:r>
        <w:rPr>
          <w:rFonts w:hint="eastAsia"/>
          <w:lang w:eastAsia="zh-CN"/>
        </w:rPr>
        <w:t>法律法规</w:t>
      </w:r>
      <w:r>
        <w:rPr>
          <w:rFonts w:hint="eastAsia"/>
        </w:rPr>
        <w:t>的要求履行了建设程序</w:t>
      </w:r>
      <w:bookmarkEnd w:id="978"/>
      <w:r>
        <w:rPr>
          <w:rFonts w:hint="eastAsia"/>
        </w:rPr>
        <w:t>，安全费用使用符合安全设施设计的要求，符合《建设项目安全设施</w:t>
      </w:r>
      <w:r>
        <w:t>“</w:t>
      </w:r>
      <w:r>
        <w:rPr>
          <w:rFonts w:hint="eastAsia"/>
        </w:rPr>
        <w:t>三同时</w:t>
      </w:r>
      <w:r>
        <w:t>”</w:t>
      </w:r>
      <w:r>
        <w:rPr>
          <w:rFonts w:hint="eastAsia"/>
        </w:rPr>
        <w:t>监督管理办法》（国家安全生产监督管理总局令第</w:t>
      </w:r>
      <w:r>
        <w:t>36</w:t>
      </w:r>
      <w:r>
        <w:rPr>
          <w:rFonts w:hint="eastAsia"/>
        </w:rPr>
        <w:t>号，</w:t>
      </w:r>
      <w:r>
        <w:t>77</w:t>
      </w:r>
      <w:r>
        <w:rPr>
          <w:rFonts w:hint="eastAsia"/>
        </w:rPr>
        <w:t>号令修订）的要求。</w:t>
      </w:r>
    </w:p>
    <w:p w14:paraId="2CB64002">
      <w:pPr>
        <w:pStyle w:val="3"/>
        <w:keepNext w:val="0"/>
        <w:keepLines w:val="0"/>
        <w:pageBreakBefore w:val="0"/>
        <w:widowControl w:val="0"/>
        <w:kinsoku/>
        <w:bidi w:val="0"/>
      </w:pPr>
      <w:bookmarkStart w:id="979" w:name="_Toc27429"/>
      <w:bookmarkStart w:id="980" w:name="_Toc23733"/>
      <w:bookmarkStart w:id="981" w:name="_Toc198350291"/>
      <w:bookmarkStart w:id="982" w:name="_Toc196202566"/>
      <w:bookmarkStart w:id="983" w:name="_Toc325717195"/>
      <w:bookmarkStart w:id="984" w:name="_Toc10703"/>
      <w:bookmarkStart w:id="985" w:name="_Toc704"/>
      <w:bookmarkStart w:id="986" w:name="_Toc500007166"/>
      <w:bookmarkStart w:id="987" w:name="_Toc46697238"/>
      <w:bookmarkStart w:id="988" w:name="_Toc60925412"/>
      <w:bookmarkStart w:id="989" w:name="_Toc498519828"/>
      <w:bookmarkStart w:id="990" w:name="_Toc55945303"/>
      <w:bookmarkStart w:id="991" w:name="_Toc498299358"/>
      <w:r>
        <w:rPr>
          <w:rFonts w:hint="eastAsia"/>
        </w:rPr>
        <w:t>选址、总平面布置及建构筑物单元评价</w:t>
      </w:r>
      <w:bookmarkEnd w:id="979"/>
      <w:bookmarkEnd w:id="980"/>
      <w:bookmarkEnd w:id="981"/>
      <w:bookmarkEnd w:id="982"/>
      <w:bookmarkEnd w:id="983"/>
      <w:bookmarkEnd w:id="984"/>
    </w:p>
    <w:p w14:paraId="3F17F5E4">
      <w:pPr>
        <w:pStyle w:val="4"/>
        <w:keepNext w:val="0"/>
        <w:keepLines w:val="0"/>
        <w:pageBreakBefore w:val="0"/>
        <w:widowControl w:val="0"/>
        <w:kinsoku/>
        <w:bidi w:val="0"/>
      </w:pPr>
      <w:bookmarkStart w:id="992" w:name="_Toc25514"/>
      <w:r>
        <w:rPr>
          <w:rFonts w:hint="eastAsia"/>
        </w:rPr>
        <w:t>选址、总平面布置及建构筑物单元</w:t>
      </w:r>
      <w:r>
        <w:rPr>
          <w:rFonts w:hint="eastAsia"/>
          <w:lang w:val="en-US" w:eastAsia="zh-CN"/>
        </w:rPr>
        <w:t>符合性检查</w:t>
      </w:r>
      <w:bookmarkEnd w:id="992"/>
    </w:p>
    <w:bookmarkEnd w:id="985"/>
    <w:p w14:paraId="5780E54B">
      <w:pPr>
        <w:keepNext w:val="0"/>
        <w:keepLines w:val="0"/>
        <w:pageBreakBefore w:val="0"/>
        <w:widowControl w:val="0"/>
        <w:kinsoku/>
        <w:wordWrap/>
        <w:bidi w:val="0"/>
      </w:pPr>
      <w:r>
        <w:rPr>
          <w:rFonts w:hint="eastAsia"/>
        </w:rPr>
        <w:t>根据《工业企业总平面设计规范》（GB50187-2012）</w:t>
      </w:r>
      <w:r>
        <w:rPr>
          <w:rFonts w:hint="eastAsia"/>
          <w:lang w:eastAsia="zh-CN"/>
        </w:rPr>
        <w:t>、</w:t>
      </w:r>
      <w:r>
        <w:rPr>
          <w:rFonts w:hint="eastAsia"/>
        </w:rPr>
        <w:t>《</w:t>
      </w:r>
      <w:r>
        <w:rPr>
          <w:rFonts w:hint="eastAsia"/>
          <w:lang w:eastAsia="zh-CN"/>
        </w:rPr>
        <w:t>建筑设计防火规范（2018年版）</w:t>
      </w:r>
      <w:r>
        <w:rPr>
          <w:rFonts w:hint="eastAsia"/>
        </w:rPr>
        <w:t>》（</w:t>
      </w:r>
      <w:r>
        <w:rPr>
          <w:rFonts w:hint="eastAsia"/>
          <w:lang w:eastAsia="zh-CN"/>
        </w:rPr>
        <w:t>GB50016-2014</w:t>
      </w:r>
      <w:r>
        <w:rPr>
          <w:rFonts w:hint="eastAsia"/>
        </w:rPr>
        <w:t>）等标准规范的规定，对本项目选址采用安全检查表法进行分析评价。检查结果见下表。</w:t>
      </w:r>
    </w:p>
    <w:p w14:paraId="12CA06BF">
      <w:pPr>
        <w:pStyle w:val="12"/>
        <w:keepNext w:val="0"/>
        <w:keepLines w:val="0"/>
        <w:pageBreakBefore w:val="0"/>
        <w:widowControl w:val="0"/>
        <w:kinsoku/>
        <w:wordWrap/>
        <w:bidi w:val="0"/>
        <w:rPr>
          <w:rFonts w:hint="eastAsia"/>
          <w:lang w:val="en-US" w:eastAsia="zh-CN"/>
        </w:rPr>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2</w:t>
      </w:r>
      <w:r>
        <w:rPr>
          <w:rFonts w:hint="eastAsia"/>
          <w:lang w:val="en-US" w:eastAsia="zh-CN"/>
        </w:rPr>
        <w:fldChar w:fldCharType="end"/>
      </w:r>
      <w:r>
        <w:rPr>
          <w:rFonts w:hint="eastAsia"/>
          <w:lang w:val="en-US" w:eastAsia="zh-CN"/>
        </w:rPr>
        <w:t>选址安全检查表</w:t>
      </w:r>
    </w:p>
    <w:tbl>
      <w:tblPr>
        <w:tblStyle w:val="32"/>
        <w:tblW w:w="499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57" w:type="dxa"/>
          <w:bottom w:w="0" w:type="dxa"/>
          <w:right w:w="57" w:type="dxa"/>
        </w:tblCellMar>
      </w:tblPr>
      <w:tblGrid>
        <w:gridCol w:w="441"/>
        <w:gridCol w:w="3884"/>
        <w:gridCol w:w="1794"/>
        <w:gridCol w:w="1424"/>
        <w:gridCol w:w="870"/>
      </w:tblGrid>
      <w:tr w14:paraId="4F1F5E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tblHeader/>
          <w:jc w:val="center"/>
        </w:trPr>
        <w:tc>
          <w:tcPr>
            <w:tcW w:w="262" w:type="pct"/>
            <w:tcBorders>
              <w:tl2br w:val="nil"/>
              <w:tr2bl w:val="nil"/>
            </w:tcBorders>
            <w:noWrap w:val="0"/>
            <w:vAlign w:val="center"/>
          </w:tcPr>
          <w:p w14:paraId="12F693A8">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2308" w:type="pct"/>
            <w:tcBorders>
              <w:tl2br w:val="nil"/>
              <w:tr2bl w:val="nil"/>
            </w:tcBorders>
            <w:noWrap w:val="0"/>
            <w:vAlign w:val="center"/>
          </w:tcPr>
          <w:p w14:paraId="1BF0F3E8">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检查项目及内容</w:t>
            </w:r>
          </w:p>
        </w:tc>
        <w:tc>
          <w:tcPr>
            <w:tcW w:w="1066" w:type="pct"/>
            <w:tcBorders>
              <w:tl2br w:val="nil"/>
              <w:tr2bl w:val="nil"/>
            </w:tcBorders>
            <w:noWrap w:val="0"/>
            <w:vAlign w:val="center"/>
          </w:tcPr>
          <w:p w14:paraId="5BB5AF23">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检查依据</w:t>
            </w:r>
          </w:p>
        </w:tc>
        <w:tc>
          <w:tcPr>
            <w:tcW w:w="846" w:type="pct"/>
            <w:tcBorders>
              <w:tl2br w:val="nil"/>
              <w:tr2bl w:val="nil"/>
            </w:tcBorders>
            <w:noWrap w:val="0"/>
            <w:vAlign w:val="center"/>
          </w:tcPr>
          <w:p w14:paraId="71EF2E3D">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检查记录</w:t>
            </w:r>
          </w:p>
        </w:tc>
        <w:tc>
          <w:tcPr>
            <w:tcW w:w="517" w:type="pct"/>
            <w:tcBorders>
              <w:tl2br w:val="nil"/>
              <w:tr2bl w:val="nil"/>
            </w:tcBorders>
            <w:noWrap w:val="0"/>
            <w:vAlign w:val="center"/>
          </w:tcPr>
          <w:p w14:paraId="3B703010">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snapToGrid w:val="0"/>
                <w:kern w:val="0"/>
                <w:sz w:val="21"/>
                <w:szCs w:val="21"/>
              </w:rPr>
              <w:t>结论</w:t>
            </w:r>
          </w:p>
        </w:tc>
      </w:tr>
      <w:tr w14:paraId="6A2E6D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3007A86C">
            <w:pPr>
              <w:keepNext w:val="0"/>
              <w:keepLines w:val="0"/>
              <w:pageBreakBefore w:val="0"/>
              <w:widowControl w:val="0"/>
              <w:numPr>
                <w:ilvl w:val="0"/>
                <w:numId w:val="97"/>
              </w:numPr>
              <w:suppressLineNumbers w:val="0"/>
              <w:kinsoku/>
              <w:wordWrap/>
              <w:overflowPunct/>
              <w:topLinePunct w:val="0"/>
              <w:bidi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7A3EB99D">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spacing w:val="7"/>
                <w:sz w:val="21"/>
                <w:szCs w:val="21"/>
              </w:rPr>
              <w:t>厂址应有便利和经济的交通运输条件，与厂外</w:t>
            </w:r>
            <w:r>
              <w:rPr>
                <w:rFonts w:hint="eastAsia" w:ascii="宋体" w:hAnsi="宋体" w:eastAsia="宋体" w:cs="宋体"/>
                <w:spacing w:val="6"/>
                <w:sz w:val="21"/>
                <w:szCs w:val="21"/>
              </w:rPr>
              <w:t>铁路、公路的</w:t>
            </w:r>
            <w:r>
              <w:rPr>
                <w:rFonts w:hint="eastAsia" w:ascii="宋体" w:hAnsi="宋体" w:eastAsia="宋体" w:cs="宋体"/>
                <w:spacing w:val="3"/>
                <w:sz w:val="21"/>
                <w:szCs w:val="21"/>
              </w:rPr>
              <w:t xml:space="preserve"> </w:t>
            </w:r>
            <w:r>
              <w:rPr>
                <w:rFonts w:hint="eastAsia" w:ascii="宋体" w:hAnsi="宋体" w:eastAsia="宋体" w:cs="宋体"/>
                <w:spacing w:val="-2"/>
                <w:sz w:val="21"/>
                <w:szCs w:val="21"/>
              </w:rPr>
              <w:t>连接应便捷、工程量小。</w:t>
            </w:r>
          </w:p>
        </w:tc>
        <w:tc>
          <w:tcPr>
            <w:tcW w:w="1066" w:type="pct"/>
            <w:tcBorders>
              <w:tl2br w:val="nil"/>
              <w:tr2bl w:val="nil"/>
            </w:tcBorders>
            <w:noWrap w:val="0"/>
            <w:vAlign w:val="center"/>
          </w:tcPr>
          <w:p w14:paraId="7EC90D1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《工业企业总平面设计规范》</w:t>
            </w:r>
          </w:p>
          <w:p w14:paraId="28C98F3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（GB 50187-2012）</w:t>
            </w:r>
          </w:p>
          <w:p w14:paraId="69F6C09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3</w:t>
            </w:r>
            <w:r>
              <w:rPr>
                <w:rFonts w:hint="eastAsia" w:ascii="宋体" w:hAnsi="宋体" w:eastAsia="宋体" w:cs="宋体"/>
                <w:color w:val="000000"/>
                <w:sz w:val="21"/>
                <w:szCs w:val="21"/>
                <w:lang w:eastAsia="zh-CN"/>
              </w:rPr>
              <w:t>.0.</w:t>
            </w:r>
            <w:r>
              <w:rPr>
                <w:rFonts w:hint="eastAsia" w:ascii="宋体" w:hAnsi="宋体" w:eastAsia="宋体" w:cs="宋体"/>
                <w:color w:val="000000"/>
                <w:sz w:val="21"/>
                <w:szCs w:val="21"/>
                <w:lang w:val="en-US" w:eastAsia="zh-CN"/>
              </w:rPr>
              <w:t>5</w:t>
            </w:r>
          </w:p>
        </w:tc>
        <w:tc>
          <w:tcPr>
            <w:tcW w:w="846" w:type="pct"/>
            <w:tcBorders>
              <w:tl2br w:val="nil"/>
              <w:tr2bl w:val="nil"/>
            </w:tcBorders>
            <w:noWrap w:val="0"/>
            <w:vAlign w:val="center"/>
          </w:tcPr>
          <w:p w14:paraId="573BB02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厂址与园区规划道路连接</w:t>
            </w:r>
          </w:p>
        </w:tc>
        <w:tc>
          <w:tcPr>
            <w:tcW w:w="517" w:type="pct"/>
            <w:tcBorders>
              <w:tl2br w:val="nil"/>
              <w:tr2bl w:val="nil"/>
            </w:tcBorders>
            <w:noWrap w:val="0"/>
            <w:vAlign w:val="center"/>
          </w:tcPr>
          <w:p w14:paraId="2175A0DB">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zh-CN"/>
              </w:rPr>
              <w:t>符合要求</w:t>
            </w:r>
          </w:p>
        </w:tc>
      </w:tr>
      <w:tr w14:paraId="1D2F8B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7E1D1C0E">
            <w:pPr>
              <w:keepNext w:val="0"/>
              <w:keepLines w:val="0"/>
              <w:pageBreakBefore w:val="0"/>
              <w:widowControl w:val="0"/>
              <w:numPr>
                <w:ilvl w:val="0"/>
                <w:numId w:val="97"/>
              </w:numPr>
              <w:suppressLineNumbers w:val="0"/>
              <w:kinsoku/>
              <w:wordWrap/>
              <w:overflowPunct/>
              <w:topLinePunct w:val="0"/>
              <w:bidi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7B3A8B05">
            <w:pPr>
              <w:keepNext w:val="0"/>
              <w:keepLines w:val="0"/>
              <w:pageBreakBefore w:val="0"/>
              <w:widowControl w:val="0"/>
              <w:suppressLineNumbers w:val="0"/>
              <w:kinsoku/>
              <w:wordWrap/>
              <w:overflowPunct/>
              <w:topLinePunct w:val="0"/>
              <w:bidi w:val="0"/>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spacing w:val="17"/>
                <w:sz w:val="21"/>
                <w:szCs w:val="21"/>
              </w:rPr>
              <w:t>厂址应具有满足生产、生活及发展所必需的水源和电源。</w:t>
            </w:r>
            <w:r>
              <w:rPr>
                <w:rFonts w:hint="eastAsia" w:ascii="宋体" w:hAnsi="宋体" w:eastAsia="宋体" w:cs="宋体"/>
                <w:spacing w:val="11"/>
                <w:sz w:val="21"/>
                <w:szCs w:val="21"/>
              </w:rPr>
              <w:t>水源和电源与厂址之间的管线连接应短捷，且用水、用电量大的工</w:t>
            </w:r>
            <w:r>
              <w:rPr>
                <w:rFonts w:hint="eastAsia" w:ascii="宋体" w:hAnsi="宋体" w:eastAsia="宋体" w:cs="宋体"/>
                <w:spacing w:val="15"/>
                <w:sz w:val="21"/>
                <w:szCs w:val="21"/>
              </w:rPr>
              <w:t>业企业宜靠近水源及电源地。</w:t>
            </w:r>
          </w:p>
        </w:tc>
        <w:tc>
          <w:tcPr>
            <w:tcW w:w="1066" w:type="pct"/>
            <w:tcBorders>
              <w:tl2br w:val="nil"/>
              <w:tr2bl w:val="nil"/>
            </w:tcBorders>
            <w:noWrap w:val="0"/>
            <w:vAlign w:val="center"/>
          </w:tcPr>
          <w:p w14:paraId="1F9B4D5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《工业企业总平面设计规范》</w:t>
            </w:r>
          </w:p>
          <w:p w14:paraId="7C99F66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（GB 50187-2012）</w:t>
            </w:r>
          </w:p>
          <w:p w14:paraId="2EB7718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3</w:t>
            </w:r>
            <w:r>
              <w:rPr>
                <w:rFonts w:hint="eastAsia" w:ascii="宋体" w:hAnsi="宋体" w:eastAsia="宋体" w:cs="宋体"/>
                <w:color w:val="000000"/>
                <w:sz w:val="21"/>
                <w:szCs w:val="21"/>
                <w:lang w:eastAsia="zh-CN"/>
              </w:rPr>
              <w:t>.0.</w:t>
            </w:r>
            <w:r>
              <w:rPr>
                <w:rFonts w:hint="eastAsia" w:ascii="宋体" w:hAnsi="宋体" w:eastAsia="宋体" w:cs="宋体"/>
                <w:color w:val="000000"/>
                <w:sz w:val="21"/>
                <w:szCs w:val="21"/>
                <w:lang w:val="en-US" w:eastAsia="zh-CN"/>
              </w:rPr>
              <w:t>6</w:t>
            </w:r>
          </w:p>
        </w:tc>
        <w:tc>
          <w:tcPr>
            <w:tcW w:w="846" w:type="pct"/>
            <w:tcBorders>
              <w:tl2br w:val="nil"/>
              <w:tr2bl w:val="nil"/>
            </w:tcBorders>
            <w:noWrap w:val="0"/>
            <w:vAlign w:val="center"/>
          </w:tcPr>
          <w:p w14:paraId="0D88644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both"/>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厂址水源和电源由</w:t>
            </w:r>
            <w:r>
              <w:rPr>
                <w:rFonts w:hint="eastAsia" w:cs="宋体"/>
                <w:color w:val="000000"/>
                <w:sz w:val="21"/>
                <w:szCs w:val="21"/>
                <w:lang w:val="en-US" w:eastAsia="zh-CN"/>
              </w:rPr>
              <w:t>市政供水管网、南方电网供给。</w:t>
            </w:r>
          </w:p>
        </w:tc>
        <w:tc>
          <w:tcPr>
            <w:tcW w:w="517" w:type="pct"/>
            <w:tcBorders>
              <w:tl2br w:val="nil"/>
              <w:tr2bl w:val="nil"/>
            </w:tcBorders>
            <w:noWrap w:val="0"/>
            <w:vAlign w:val="center"/>
          </w:tcPr>
          <w:p w14:paraId="10367B2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zh-CN"/>
              </w:rPr>
            </w:pPr>
            <w:r>
              <w:rPr>
                <w:rFonts w:hint="eastAsia" w:ascii="宋体" w:hAnsi="宋体" w:eastAsia="宋体" w:cs="宋体"/>
                <w:color w:val="000000"/>
                <w:sz w:val="21"/>
                <w:szCs w:val="21"/>
                <w:lang w:val="zh-CN"/>
              </w:rPr>
              <w:t>符合要求</w:t>
            </w:r>
          </w:p>
        </w:tc>
      </w:tr>
      <w:tr w14:paraId="6C67BE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0775BE29">
            <w:pPr>
              <w:keepNext w:val="0"/>
              <w:keepLines w:val="0"/>
              <w:pageBreakBefore w:val="0"/>
              <w:widowControl w:val="0"/>
              <w:numPr>
                <w:ilvl w:val="0"/>
                <w:numId w:val="97"/>
              </w:numPr>
              <w:suppressLineNumbers w:val="0"/>
              <w:kinsoku/>
              <w:wordWrap/>
              <w:overflowPunct/>
              <w:topLinePunct w:val="0"/>
              <w:bidi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03C6A43B">
            <w:pPr>
              <w:keepNext w:val="0"/>
              <w:keepLines w:val="0"/>
              <w:pageBreakBefore w:val="0"/>
              <w:widowControl w:val="0"/>
              <w:suppressLineNumbers w:val="0"/>
              <w:kinsoku/>
              <w:wordWrap/>
              <w:overflowPunct/>
              <w:topLinePunct w:val="0"/>
              <w:bidi w:val="0"/>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厂址应具有满足建设工程需要的工程地质条件和水文地质条件。</w:t>
            </w:r>
          </w:p>
        </w:tc>
        <w:tc>
          <w:tcPr>
            <w:tcW w:w="1066" w:type="pct"/>
            <w:tcBorders>
              <w:tl2br w:val="nil"/>
              <w:tr2bl w:val="nil"/>
            </w:tcBorders>
            <w:noWrap w:val="0"/>
            <w:vAlign w:val="center"/>
          </w:tcPr>
          <w:p w14:paraId="404702E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《工业企业总平面设计规范》</w:t>
            </w:r>
          </w:p>
          <w:p w14:paraId="6D1223C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（GB 50187-2012）</w:t>
            </w:r>
          </w:p>
          <w:p w14:paraId="52C8BB8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3</w:t>
            </w:r>
            <w:r>
              <w:rPr>
                <w:rFonts w:hint="eastAsia" w:ascii="宋体" w:hAnsi="宋体" w:eastAsia="宋体" w:cs="宋体"/>
                <w:color w:val="000000"/>
                <w:sz w:val="21"/>
                <w:szCs w:val="21"/>
                <w:lang w:eastAsia="zh-CN"/>
              </w:rPr>
              <w:t>.0.7</w:t>
            </w:r>
          </w:p>
        </w:tc>
        <w:tc>
          <w:tcPr>
            <w:tcW w:w="846" w:type="pct"/>
            <w:tcBorders>
              <w:tl2br w:val="nil"/>
              <w:tr2bl w:val="nil"/>
            </w:tcBorders>
            <w:noWrap w:val="0"/>
            <w:vAlign w:val="center"/>
          </w:tcPr>
          <w:p w14:paraId="4BC63ED9">
            <w:pPr>
              <w:pStyle w:val="28"/>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建设工程使用园区规划土地，工程地质条件和水文地质条件满足要求。</w:t>
            </w:r>
          </w:p>
        </w:tc>
        <w:tc>
          <w:tcPr>
            <w:tcW w:w="517" w:type="pct"/>
            <w:tcBorders>
              <w:tl2br w:val="nil"/>
              <w:tr2bl w:val="nil"/>
            </w:tcBorders>
            <w:noWrap w:val="0"/>
            <w:vAlign w:val="center"/>
          </w:tcPr>
          <w:p w14:paraId="0F2E9080">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zh-CN"/>
              </w:rPr>
              <w:t>符合要求</w:t>
            </w:r>
          </w:p>
        </w:tc>
      </w:tr>
      <w:tr w14:paraId="0C244A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7E76B343">
            <w:pPr>
              <w:keepNext w:val="0"/>
              <w:keepLines w:val="0"/>
              <w:pageBreakBefore w:val="0"/>
              <w:widowControl w:val="0"/>
              <w:numPr>
                <w:ilvl w:val="0"/>
                <w:numId w:val="97"/>
              </w:numPr>
              <w:suppressLineNumbers w:val="0"/>
              <w:kinsoku/>
              <w:wordWrap/>
              <w:overflowPunct/>
              <w:topLinePunct w:val="0"/>
              <w:bidi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52CE4A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85" w:firstLine="0" w:firstLineChars="0"/>
              <w:jc w:val="left"/>
              <w:textAlignment w:val="auto"/>
              <w:rPr>
                <w:rFonts w:hint="eastAsia" w:ascii="宋体" w:hAnsi="宋体" w:eastAsia="宋体" w:cs="宋体"/>
                <w:spacing w:val="8"/>
                <w:sz w:val="21"/>
                <w:szCs w:val="21"/>
              </w:rPr>
            </w:pPr>
            <w:r>
              <w:rPr>
                <w:rFonts w:hint="eastAsia" w:ascii="宋体" w:hAnsi="宋体" w:eastAsia="宋体" w:cs="宋体"/>
                <w:spacing w:val="8"/>
                <w:sz w:val="21"/>
                <w:szCs w:val="21"/>
              </w:rPr>
              <w:t>厂址应位于不受洪水、潮水或内涝威胁的地带，并应符合下列规定：</w:t>
            </w:r>
          </w:p>
          <w:p w14:paraId="5B7057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85"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spacing w:val="8"/>
                <w:sz w:val="21"/>
                <w:szCs w:val="21"/>
              </w:rPr>
              <w:t>1  当厂址不可避免地位于受洪水、潮水或内涝威胁的地带 时，必须采取防洪、排涝的防护措施。</w:t>
            </w:r>
          </w:p>
        </w:tc>
        <w:tc>
          <w:tcPr>
            <w:tcW w:w="1066" w:type="pct"/>
            <w:tcBorders>
              <w:tl2br w:val="nil"/>
              <w:tr2bl w:val="nil"/>
            </w:tcBorders>
            <w:noWrap w:val="0"/>
            <w:vAlign w:val="center"/>
          </w:tcPr>
          <w:p w14:paraId="253B44D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《工业企业总平面设计规范》</w:t>
            </w:r>
          </w:p>
          <w:p w14:paraId="025BFFF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（GB 50187-2012）</w:t>
            </w:r>
          </w:p>
          <w:p w14:paraId="2617288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w:t>
            </w:r>
            <w:r>
              <w:rPr>
                <w:rFonts w:hint="eastAsia" w:ascii="宋体" w:hAnsi="宋体" w:eastAsia="宋体" w:cs="宋体"/>
                <w:color w:val="000000"/>
                <w:sz w:val="21"/>
                <w:szCs w:val="21"/>
                <w:lang w:eastAsia="zh-CN"/>
              </w:rPr>
              <w:t>.0.</w:t>
            </w:r>
            <w:r>
              <w:rPr>
                <w:rFonts w:hint="eastAsia" w:ascii="宋体" w:hAnsi="宋体" w:eastAsia="宋体" w:cs="宋体"/>
                <w:color w:val="000000"/>
                <w:sz w:val="21"/>
                <w:szCs w:val="21"/>
                <w:lang w:val="en-US" w:eastAsia="zh-CN"/>
              </w:rPr>
              <w:t>12</w:t>
            </w:r>
          </w:p>
        </w:tc>
        <w:tc>
          <w:tcPr>
            <w:tcW w:w="846" w:type="pct"/>
            <w:tcBorders>
              <w:tl2br w:val="nil"/>
              <w:tr2bl w:val="nil"/>
            </w:tcBorders>
            <w:noWrap w:val="0"/>
            <w:vAlign w:val="center"/>
          </w:tcPr>
          <w:p w14:paraId="42D54F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厂址位于不受洪水，潮水或内涝威胁的地带</w:t>
            </w:r>
            <w:r>
              <w:rPr>
                <w:rFonts w:hint="eastAsia" w:ascii="宋体" w:hAnsi="宋体" w:eastAsia="宋体" w:cs="宋体"/>
                <w:color w:val="000000"/>
                <w:sz w:val="21"/>
                <w:szCs w:val="21"/>
                <w:lang w:eastAsia="zh-CN"/>
              </w:rPr>
              <w:t>。</w:t>
            </w:r>
          </w:p>
        </w:tc>
        <w:tc>
          <w:tcPr>
            <w:tcW w:w="517" w:type="pct"/>
            <w:tcBorders>
              <w:tl2br w:val="nil"/>
              <w:tr2bl w:val="nil"/>
            </w:tcBorders>
            <w:noWrap w:val="0"/>
            <w:vAlign w:val="center"/>
          </w:tcPr>
          <w:p w14:paraId="18DE26B0">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zh-CN"/>
              </w:rPr>
              <w:t>符合要求</w:t>
            </w:r>
          </w:p>
        </w:tc>
      </w:tr>
      <w:tr w14:paraId="1BB39E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7EA4447D">
            <w:pPr>
              <w:keepNext w:val="0"/>
              <w:keepLines w:val="0"/>
              <w:pageBreakBefore w:val="0"/>
              <w:widowControl w:val="0"/>
              <w:numPr>
                <w:ilvl w:val="0"/>
                <w:numId w:val="97"/>
              </w:numPr>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6AA48492">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下列地段和地区不得选为厂址：</w:t>
            </w:r>
          </w:p>
          <w:p w14:paraId="19DF0A07">
            <w:pPr>
              <w:keepNext w:val="0"/>
              <w:keepLines w:val="0"/>
              <w:pageBreakBefore w:val="0"/>
              <w:widowControl w:val="0"/>
              <w:numPr>
                <w:ilvl w:val="0"/>
                <w:numId w:val="98"/>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发震断层和抗震设防烈度为9度及高于9度的地震区。</w:t>
            </w:r>
          </w:p>
          <w:p w14:paraId="3B93F6B6">
            <w:pPr>
              <w:keepNext w:val="0"/>
              <w:keepLines w:val="0"/>
              <w:pageBreakBefore w:val="0"/>
              <w:widowControl w:val="0"/>
              <w:numPr>
                <w:ilvl w:val="0"/>
                <w:numId w:val="98"/>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有泥石流、流沙、严重滑坡、溶洞等直接危害的地段。</w:t>
            </w:r>
          </w:p>
          <w:p w14:paraId="1FD5DDC1">
            <w:pPr>
              <w:keepNext w:val="0"/>
              <w:keepLines w:val="0"/>
              <w:pageBreakBefore w:val="0"/>
              <w:widowControl w:val="0"/>
              <w:numPr>
                <w:ilvl w:val="0"/>
                <w:numId w:val="98"/>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采矿塌落</w:t>
            </w:r>
            <w:r>
              <w:rPr>
                <w:rFonts w:hint="eastAsia" w:cs="宋体"/>
                <w:color w:val="000000"/>
                <w:sz w:val="21"/>
                <w:szCs w:val="21"/>
                <w:lang w:eastAsia="zh-CN"/>
              </w:rPr>
              <w:t>（</w:t>
            </w:r>
            <w:r>
              <w:rPr>
                <w:rFonts w:hint="eastAsia" w:ascii="宋体" w:hAnsi="宋体" w:eastAsia="宋体" w:cs="宋体"/>
                <w:color w:val="000000"/>
                <w:sz w:val="21"/>
                <w:szCs w:val="21"/>
              </w:rPr>
              <w:t>错动</w:t>
            </w:r>
            <w:r>
              <w:rPr>
                <w:rFonts w:hint="eastAsia" w:cs="宋体"/>
                <w:color w:val="000000"/>
                <w:sz w:val="21"/>
                <w:szCs w:val="21"/>
                <w:lang w:eastAsia="zh-CN"/>
              </w:rPr>
              <w:t>）</w:t>
            </w:r>
            <w:r>
              <w:rPr>
                <w:rFonts w:hint="eastAsia" w:ascii="宋体" w:hAnsi="宋体" w:eastAsia="宋体" w:cs="宋体"/>
                <w:color w:val="000000"/>
                <w:sz w:val="21"/>
                <w:szCs w:val="21"/>
              </w:rPr>
              <w:t>区地表界限内。</w:t>
            </w:r>
          </w:p>
          <w:p w14:paraId="39985FFD">
            <w:pPr>
              <w:keepNext w:val="0"/>
              <w:keepLines w:val="0"/>
              <w:pageBreakBefore w:val="0"/>
              <w:widowControl w:val="0"/>
              <w:numPr>
                <w:ilvl w:val="0"/>
                <w:numId w:val="98"/>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爆破危险区界限内。</w:t>
            </w:r>
          </w:p>
          <w:p w14:paraId="06DF3032">
            <w:pPr>
              <w:keepNext w:val="0"/>
              <w:keepLines w:val="0"/>
              <w:pageBreakBefore w:val="0"/>
              <w:widowControl w:val="0"/>
              <w:numPr>
                <w:ilvl w:val="0"/>
                <w:numId w:val="98"/>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坝或堤决溃后可能淹没的地区。</w:t>
            </w:r>
          </w:p>
          <w:p w14:paraId="52429DB2">
            <w:pPr>
              <w:keepNext w:val="0"/>
              <w:keepLines w:val="0"/>
              <w:pageBreakBefore w:val="0"/>
              <w:widowControl w:val="0"/>
              <w:numPr>
                <w:ilvl w:val="0"/>
                <w:numId w:val="98"/>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有严重放射性物质污染的影响区。</w:t>
            </w:r>
          </w:p>
          <w:p w14:paraId="4F8BBA45">
            <w:pPr>
              <w:keepNext w:val="0"/>
              <w:keepLines w:val="0"/>
              <w:pageBreakBefore w:val="0"/>
              <w:widowControl w:val="0"/>
              <w:numPr>
                <w:ilvl w:val="0"/>
                <w:numId w:val="98"/>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生活居住区、文教区、水源保护区、名胜古迹、风景游览区、温泉、疗养区、自然保护区和其他需要特别保护的区域。</w:t>
            </w:r>
          </w:p>
          <w:p w14:paraId="7AA309AE">
            <w:pPr>
              <w:keepNext w:val="0"/>
              <w:keepLines w:val="0"/>
              <w:pageBreakBefore w:val="0"/>
              <w:widowControl w:val="0"/>
              <w:numPr>
                <w:ilvl w:val="0"/>
                <w:numId w:val="98"/>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对飞机起落、机场通信、电视转播、雷达导航和重要的天文、气象、地震观察，以及军事设施等规定有影响的范围内。</w:t>
            </w:r>
          </w:p>
          <w:p w14:paraId="27DCCE60">
            <w:pPr>
              <w:keepNext w:val="0"/>
              <w:keepLines w:val="0"/>
              <w:pageBreakBefore w:val="0"/>
              <w:widowControl w:val="0"/>
              <w:numPr>
                <w:ilvl w:val="0"/>
                <w:numId w:val="98"/>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很严重的自重湿陷性黄土地段，厚度大的新近堆积黄土地 段和高压缩性的饱和黄土地段等地质条件恶劣地段。</w:t>
            </w:r>
          </w:p>
          <w:p w14:paraId="631646DC">
            <w:pPr>
              <w:keepNext w:val="0"/>
              <w:keepLines w:val="0"/>
              <w:pageBreakBefore w:val="0"/>
              <w:widowControl w:val="0"/>
              <w:numPr>
                <w:ilvl w:val="0"/>
                <w:numId w:val="98"/>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具有开采价值的矿藏区。</w:t>
            </w:r>
          </w:p>
          <w:p w14:paraId="5FE833DA">
            <w:pPr>
              <w:keepNext w:val="0"/>
              <w:keepLines w:val="0"/>
              <w:pageBreakBefore w:val="0"/>
              <w:widowControl w:val="0"/>
              <w:numPr>
                <w:ilvl w:val="0"/>
                <w:numId w:val="98"/>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受海啸或湖涌危害的地区。</w:t>
            </w:r>
          </w:p>
        </w:tc>
        <w:tc>
          <w:tcPr>
            <w:tcW w:w="1066" w:type="pct"/>
            <w:tcBorders>
              <w:tl2br w:val="nil"/>
              <w:tr2bl w:val="nil"/>
            </w:tcBorders>
            <w:noWrap w:val="0"/>
            <w:vAlign w:val="center"/>
          </w:tcPr>
          <w:p w14:paraId="5F7738C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《工业企业总平面设计规范》</w:t>
            </w:r>
          </w:p>
          <w:p w14:paraId="17E971D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（GB 50187-2012）</w:t>
            </w:r>
          </w:p>
          <w:p w14:paraId="24CFD82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3</w:t>
            </w:r>
            <w:r>
              <w:rPr>
                <w:rFonts w:hint="eastAsia" w:ascii="宋体" w:hAnsi="宋体" w:eastAsia="宋体" w:cs="宋体"/>
                <w:color w:val="000000"/>
                <w:sz w:val="21"/>
                <w:szCs w:val="21"/>
                <w:lang w:eastAsia="zh-CN"/>
              </w:rPr>
              <w:t>.0.1</w:t>
            </w:r>
            <w:r>
              <w:rPr>
                <w:rFonts w:hint="eastAsia" w:ascii="宋体" w:hAnsi="宋体" w:eastAsia="宋体" w:cs="宋体"/>
                <w:color w:val="000000"/>
                <w:sz w:val="21"/>
                <w:szCs w:val="21"/>
                <w:lang w:val="en-US" w:eastAsia="zh-CN"/>
              </w:rPr>
              <w:t>4</w:t>
            </w:r>
          </w:p>
        </w:tc>
        <w:tc>
          <w:tcPr>
            <w:tcW w:w="846" w:type="pct"/>
            <w:tcBorders>
              <w:tl2br w:val="nil"/>
              <w:tr2bl w:val="nil"/>
            </w:tcBorders>
            <w:noWrap w:val="0"/>
            <w:vAlign w:val="center"/>
          </w:tcPr>
          <w:p w14:paraId="24D3ECF0">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厂址不在该地段和地区</w:t>
            </w:r>
            <w:r>
              <w:rPr>
                <w:rFonts w:hint="eastAsia" w:cs="宋体"/>
                <w:color w:val="000000"/>
                <w:sz w:val="21"/>
                <w:szCs w:val="21"/>
                <w:lang w:eastAsia="zh-CN"/>
              </w:rPr>
              <w:t>。</w:t>
            </w:r>
          </w:p>
        </w:tc>
        <w:tc>
          <w:tcPr>
            <w:tcW w:w="517" w:type="pct"/>
            <w:tcBorders>
              <w:tl2br w:val="nil"/>
              <w:tr2bl w:val="nil"/>
            </w:tcBorders>
            <w:noWrap w:val="0"/>
            <w:vAlign w:val="center"/>
          </w:tcPr>
          <w:p w14:paraId="76285B25">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zh-CN"/>
              </w:rPr>
              <w:t>符合要求</w:t>
            </w:r>
          </w:p>
        </w:tc>
      </w:tr>
      <w:tr w14:paraId="5509BB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61186815">
            <w:pPr>
              <w:keepNext w:val="0"/>
              <w:keepLines w:val="0"/>
              <w:pageBreakBefore w:val="0"/>
              <w:widowControl w:val="0"/>
              <w:numPr>
                <w:ilvl w:val="0"/>
                <w:numId w:val="97"/>
              </w:numPr>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062B40E7">
            <w:pPr>
              <w:keepNext w:val="0"/>
              <w:keepLines w:val="0"/>
              <w:pageBreakBefore w:val="0"/>
              <w:widowControl w:val="0"/>
              <w:suppressLineNumbers w:val="0"/>
              <w:kinsoku/>
              <w:wordWrap/>
              <w:overflowPunct/>
              <w:topLinePunct w:val="0"/>
              <w:autoSpaceDE w:val="0"/>
              <w:autoSpaceDN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rPr>
              <w:t>厂外的污水处理设施宜位于厂区和居住区全年最小频率风向的上风侧，并与厂区和居住区保持必要的卫生防护距离，沿江河布置的污水处理设施尚应位于厂区和居住区的下游</w:t>
            </w:r>
            <w:r>
              <w:rPr>
                <w:rFonts w:hint="eastAsia" w:cs="宋体"/>
                <w:b w:val="0"/>
                <w:bCs w:val="0"/>
                <w:color w:val="000000"/>
                <w:sz w:val="21"/>
                <w:szCs w:val="21"/>
                <w:lang w:eastAsia="zh-CN"/>
              </w:rPr>
              <w:t>。</w:t>
            </w:r>
          </w:p>
        </w:tc>
        <w:tc>
          <w:tcPr>
            <w:tcW w:w="1066" w:type="pct"/>
            <w:tcBorders>
              <w:tl2br w:val="nil"/>
              <w:tr2bl w:val="nil"/>
            </w:tcBorders>
            <w:noWrap w:val="0"/>
            <w:vAlign w:val="center"/>
          </w:tcPr>
          <w:p w14:paraId="55751955">
            <w:pPr>
              <w:keepNext w:val="0"/>
              <w:keepLines w:val="0"/>
              <w:pageBreakBefore w:val="0"/>
              <w:widowControl w:val="0"/>
              <w:suppressLineNumbers w:val="0"/>
              <w:kinsoku/>
              <w:wordWrap/>
              <w:overflowPunct/>
              <w:topLinePunct w:val="0"/>
              <w:autoSpaceDE w:val="0"/>
              <w:autoSpaceDN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lang w:eastAsia="zh-CN"/>
              </w:rPr>
              <w:t>《工业企业总平面设计规范》</w:t>
            </w:r>
          </w:p>
          <w:p w14:paraId="5D14980D">
            <w:pPr>
              <w:keepNext w:val="0"/>
              <w:keepLines w:val="0"/>
              <w:pageBreakBefore w:val="0"/>
              <w:widowControl w:val="0"/>
              <w:suppressLineNumbers w:val="0"/>
              <w:kinsoku/>
              <w:wordWrap/>
              <w:overflowPunct/>
              <w:topLinePunct w:val="0"/>
              <w:autoSpaceDE w:val="0"/>
              <w:autoSpaceDN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lang w:eastAsia="zh-CN"/>
              </w:rPr>
              <w:t>（GB 50187-2012）</w:t>
            </w:r>
          </w:p>
          <w:p w14:paraId="64850F4B">
            <w:pPr>
              <w:keepNext w:val="0"/>
              <w:keepLines w:val="0"/>
              <w:pageBreakBefore w:val="0"/>
              <w:widowControl w:val="0"/>
              <w:suppressLineNumbers w:val="0"/>
              <w:kinsoku/>
              <w:wordWrap/>
              <w:overflowPunct/>
              <w:topLinePunct w:val="0"/>
              <w:autoSpaceDE w:val="0"/>
              <w:autoSpaceDN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val="0"/>
                <w:bCs w:val="0"/>
                <w:color w:val="000000"/>
                <w:sz w:val="21"/>
                <w:szCs w:val="21"/>
                <w:lang w:eastAsia="zh-CN"/>
              </w:rPr>
            </w:pPr>
            <w:r>
              <w:rPr>
                <w:rFonts w:hint="eastAsia" w:ascii="宋体" w:hAnsi="宋体" w:eastAsia="宋体" w:cs="宋体"/>
                <w:b w:val="0"/>
                <w:bCs w:val="0"/>
                <w:color w:val="000000"/>
                <w:sz w:val="21"/>
                <w:szCs w:val="21"/>
                <w:lang w:val="en-US" w:eastAsia="zh-CN"/>
              </w:rPr>
              <w:t>4</w:t>
            </w:r>
            <w:r>
              <w:rPr>
                <w:rFonts w:hint="eastAsia" w:ascii="宋体" w:hAnsi="宋体" w:eastAsia="宋体" w:cs="宋体"/>
                <w:b w:val="0"/>
                <w:bCs w:val="0"/>
                <w:color w:val="000000"/>
                <w:sz w:val="21"/>
                <w:szCs w:val="21"/>
                <w:lang w:eastAsia="zh-CN"/>
              </w:rPr>
              <w:t>.4.</w:t>
            </w:r>
            <w:r>
              <w:rPr>
                <w:rFonts w:hint="eastAsia" w:ascii="宋体" w:hAnsi="宋体" w:eastAsia="宋体" w:cs="宋体"/>
                <w:b w:val="0"/>
                <w:bCs w:val="0"/>
                <w:color w:val="000000"/>
                <w:sz w:val="21"/>
                <w:szCs w:val="21"/>
                <w:lang w:val="en-US" w:eastAsia="zh-CN"/>
              </w:rPr>
              <w:t>3</w:t>
            </w:r>
          </w:p>
        </w:tc>
        <w:tc>
          <w:tcPr>
            <w:tcW w:w="846" w:type="pct"/>
            <w:tcBorders>
              <w:tl2br w:val="nil"/>
              <w:tr2bl w:val="nil"/>
            </w:tcBorders>
            <w:noWrap w:val="0"/>
            <w:vAlign w:val="center"/>
          </w:tcPr>
          <w:p w14:paraId="4ABCA227">
            <w:pPr>
              <w:keepNext w:val="0"/>
              <w:keepLines w:val="0"/>
              <w:pageBreakBefore w:val="0"/>
              <w:widowControl w:val="0"/>
              <w:suppressLineNumbers w:val="0"/>
              <w:kinsoku/>
              <w:wordWrap/>
              <w:overflowPunct/>
              <w:topLinePunct w:val="0"/>
              <w:autoSpaceDE w:val="0"/>
              <w:autoSpaceDN w:val="0"/>
              <w:bidi w:val="0"/>
              <w:spacing w:before="0" w:beforeAutospacing="0" w:after="0" w:afterAutospacing="0" w:line="240" w:lineRule="auto"/>
              <w:ind w:left="0" w:leftChars="0" w:right="0" w:rightChars="0" w:firstLine="0" w:firstLineChars="0"/>
              <w:jc w:val="left"/>
              <w:textAlignment w:val="auto"/>
              <w:rPr>
                <w:rFonts w:hint="default" w:ascii="宋体" w:hAnsi="宋体" w:eastAsia="宋体" w:cs="宋体"/>
                <w:b w:val="0"/>
                <w:bCs w:val="0"/>
                <w:color w:val="000000"/>
                <w:sz w:val="21"/>
                <w:szCs w:val="21"/>
                <w:lang w:val="en-US" w:eastAsia="zh-CN"/>
              </w:rPr>
            </w:pPr>
            <w:r>
              <w:rPr>
                <w:rFonts w:hint="eastAsia" w:cs="宋体"/>
                <w:b w:val="0"/>
                <w:bCs w:val="0"/>
                <w:color w:val="000000"/>
                <w:sz w:val="21"/>
                <w:szCs w:val="21"/>
                <w:lang w:val="en-US" w:eastAsia="zh-CN"/>
              </w:rPr>
              <w:t>园区污水处理厂远离本项目厂区。</w:t>
            </w:r>
          </w:p>
        </w:tc>
        <w:tc>
          <w:tcPr>
            <w:tcW w:w="517" w:type="pct"/>
            <w:tcBorders>
              <w:tl2br w:val="nil"/>
              <w:tr2bl w:val="nil"/>
            </w:tcBorders>
            <w:noWrap w:val="0"/>
            <w:vAlign w:val="center"/>
          </w:tcPr>
          <w:p w14:paraId="710C03F2">
            <w:pPr>
              <w:keepNext w:val="0"/>
              <w:keepLines w:val="0"/>
              <w:pageBreakBefore w:val="0"/>
              <w:widowControl w:val="0"/>
              <w:suppressLineNumbers w:val="0"/>
              <w:kinsoku/>
              <w:wordWrap/>
              <w:overflowPunct/>
              <w:topLinePunct w:val="0"/>
              <w:autoSpaceDE w:val="0"/>
              <w:autoSpaceDN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符合要求</w:t>
            </w:r>
          </w:p>
        </w:tc>
      </w:tr>
      <w:tr w14:paraId="7342DC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35F516A9">
            <w:pPr>
              <w:keepNext w:val="0"/>
              <w:keepLines w:val="0"/>
              <w:pageBreakBefore w:val="0"/>
              <w:widowControl w:val="0"/>
              <w:numPr>
                <w:ilvl w:val="0"/>
                <w:numId w:val="97"/>
              </w:numPr>
              <w:suppressLineNumbers w:val="0"/>
              <w:kinsoku/>
              <w:wordWrap/>
              <w:overflowPunct/>
              <w:topLinePunct w:val="0"/>
              <w:bidi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3EFEF68B">
            <w:pPr>
              <w:keepNext w:val="0"/>
              <w:keepLines w:val="0"/>
              <w:pageBreakBefore w:val="0"/>
              <w:widowControl w:val="0"/>
              <w:suppressLineNumbers w:val="0"/>
              <w:kinsoku/>
              <w:wordWrap/>
              <w:overflowPunct/>
              <w:topLinePunct w:val="0"/>
              <w:bidi w:val="0"/>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总平面布置应节约集约用地，提高土地利用率。布置时，应符合下列规定：</w:t>
            </w:r>
          </w:p>
          <w:p w14:paraId="12C1C09E">
            <w:pPr>
              <w:keepNext w:val="0"/>
              <w:keepLines w:val="0"/>
              <w:pageBreakBefore w:val="0"/>
              <w:widowControl w:val="0"/>
              <w:numPr>
                <w:ilvl w:val="0"/>
                <w:numId w:val="99"/>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在符合生产流程、操作要求和使用功能的前提下，建筑物、</w:t>
            </w:r>
          </w:p>
          <w:p w14:paraId="525C240A">
            <w:pPr>
              <w:keepNext w:val="0"/>
              <w:keepLines w:val="0"/>
              <w:pageBreakBefore w:val="0"/>
              <w:widowControl w:val="0"/>
              <w:numPr>
                <w:ilvl w:val="0"/>
                <w:numId w:val="99"/>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构筑物等设施应采用集中、联合、多层布置。</w:t>
            </w:r>
          </w:p>
          <w:p w14:paraId="04046652">
            <w:pPr>
              <w:keepNext w:val="0"/>
              <w:keepLines w:val="0"/>
              <w:pageBreakBefore w:val="0"/>
              <w:widowControl w:val="0"/>
              <w:numPr>
                <w:ilvl w:val="0"/>
                <w:numId w:val="99"/>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应按企业规模和功能分区合理地确定通道宽度。</w:t>
            </w:r>
          </w:p>
          <w:p w14:paraId="009B3C42">
            <w:pPr>
              <w:keepNext w:val="0"/>
              <w:keepLines w:val="0"/>
              <w:pageBreakBefore w:val="0"/>
              <w:widowControl w:val="0"/>
              <w:numPr>
                <w:ilvl w:val="0"/>
                <w:numId w:val="99"/>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厂区功能分区及建筑物、构筑物的外形宜规整。</w:t>
            </w:r>
          </w:p>
          <w:p w14:paraId="04127158">
            <w:pPr>
              <w:keepNext w:val="0"/>
              <w:keepLines w:val="0"/>
              <w:pageBreakBefore w:val="0"/>
              <w:widowControl w:val="0"/>
              <w:numPr>
                <w:ilvl w:val="0"/>
                <w:numId w:val="99"/>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功能分区内各项设施的布置应紧凑、合理。</w:t>
            </w:r>
          </w:p>
        </w:tc>
        <w:tc>
          <w:tcPr>
            <w:tcW w:w="1066" w:type="pct"/>
            <w:tcBorders>
              <w:tl2br w:val="nil"/>
              <w:tr2bl w:val="nil"/>
            </w:tcBorders>
            <w:noWrap w:val="0"/>
            <w:vAlign w:val="center"/>
          </w:tcPr>
          <w:p w14:paraId="2CD2A78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《工业企业总平面设计规范》</w:t>
            </w:r>
          </w:p>
          <w:p w14:paraId="64B8A20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（GB 50187-2012）</w:t>
            </w:r>
          </w:p>
          <w:p w14:paraId="776CA6B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lang w:eastAsia="zh-CN"/>
              </w:rPr>
              <w:t>.1.2</w:t>
            </w:r>
          </w:p>
        </w:tc>
        <w:tc>
          <w:tcPr>
            <w:tcW w:w="846" w:type="pct"/>
            <w:tcBorders>
              <w:tl2br w:val="nil"/>
              <w:tr2bl w:val="nil"/>
            </w:tcBorders>
            <w:noWrap w:val="0"/>
            <w:vAlign w:val="center"/>
          </w:tcPr>
          <w:p w14:paraId="7C3FB0E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总平面布置合理，通道宽度合理，厂区、功能分区及建构筑物外形规整，功能分区布置紧凑、合理</w:t>
            </w:r>
          </w:p>
        </w:tc>
        <w:tc>
          <w:tcPr>
            <w:tcW w:w="517" w:type="pct"/>
            <w:tcBorders>
              <w:tl2br w:val="nil"/>
              <w:tr2bl w:val="nil"/>
            </w:tcBorders>
            <w:noWrap w:val="0"/>
            <w:vAlign w:val="center"/>
          </w:tcPr>
          <w:p w14:paraId="347CE21C">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zh-CN"/>
              </w:rPr>
            </w:pPr>
            <w:r>
              <w:rPr>
                <w:rFonts w:hint="eastAsia" w:ascii="宋体" w:hAnsi="宋体" w:eastAsia="宋体" w:cs="宋体"/>
                <w:color w:val="000000"/>
                <w:sz w:val="21"/>
                <w:szCs w:val="21"/>
                <w:lang w:val="zh-CN"/>
              </w:rPr>
              <w:t>符合要求</w:t>
            </w:r>
          </w:p>
        </w:tc>
      </w:tr>
      <w:tr w14:paraId="361919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51B062ED">
            <w:pPr>
              <w:keepNext w:val="0"/>
              <w:keepLines w:val="0"/>
              <w:pageBreakBefore w:val="0"/>
              <w:widowControl w:val="0"/>
              <w:numPr>
                <w:ilvl w:val="0"/>
                <w:numId w:val="97"/>
              </w:numPr>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4E41B479">
            <w:pPr>
              <w:keepNext w:val="0"/>
              <w:keepLines w:val="0"/>
              <w:pageBreakBefore w:val="0"/>
              <w:widowControl w:val="0"/>
              <w:suppressLineNumbers w:val="0"/>
              <w:kinsoku/>
              <w:wordWrap/>
              <w:overflowPunct/>
              <w:topLinePunct w:val="0"/>
              <w:bidi w:val="0"/>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厂区的通道宽度，应根据下列因素确定：</w:t>
            </w:r>
          </w:p>
          <w:p w14:paraId="74F0CC7B">
            <w:pPr>
              <w:keepNext w:val="0"/>
              <w:keepLines w:val="0"/>
              <w:pageBreakBefore w:val="0"/>
              <w:widowControl w:val="0"/>
              <w:numPr>
                <w:ilvl w:val="0"/>
                <w:numId w:val="10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应符合通道两侧建筑物、构筑物及露天设施对防火、安全 与卫生间距的要求。</w:t>
            </w:r>
          </w:p>
          <w:p w14:paraId="0D6856F8">
            <w:pPr>
              <w:keepNext w:val="0"/>
              <w:keepLines w:val="0"/>
              <w:pageBreakBefore w:val="0"/>
              <w:widowControl w:val="0"/>
              <w:numPr>
                <w:ilvl w:val="0"/>
                <w:numId w:val="10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应符合铁路、道路与带式输送机通廊等工业运输线路的布置要求。</w:t>
            </w:r>
          </w:p>
          <w:p w14:paraId="786680D8">
            <w:pPr>
              <w:keepNext w:val="0"/>
              <w:keepLines w:val="0"/>
              <w:pageBreakBefore w:val="0"/>
              <w:widowControl w:val="0"/>
              <w:numPr>
                <w:ilvl w:val="0"/>
                <w:numId w:val="10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应符合各种工程管线的布置要求。</w:t>
            </w:r>
          </w:p>
          <w:p w14:paraId="1345FFF9">
            <w:pPr>
              <w:keepNext w:val="0"/>
              <w:keepLines w:val="0"/>
              <w:pageBreakBefore w:val="0"/>
              <w:widowControl w:val="0"/>
              <w:numPr>
                <w:ilvl w:val="0"/>
                <w:numId w:val="10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应符合绿化布置的要求。</w:t>
            </w:r>
          </w:p>
          <w:p w14:paraId="017AFB55">
            <w:pPr>
              <w:keepNext w:val="0"/>
              <w:keepLines w:val="0"/>
              <w:pageBreakBefore w:val="0"/>
              <w:widowControl w:val="0"/>
              <w:numPr>
                <w:ilvl w:val="0"/>
                <w:numId w:val="10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应符合施工、安装与检修的要求。</w:t>
            </w:r>
          </w:p>
          <w:p w14:paraId="0C493DC0">
            <w:pPr>
              <w:keepNext w:val="0"/>
              <w:keepLines w:val="0"/>
              <w:pageBreakBefore w:val="0"/>
              <w:widowControl w:val="0"/>
              <w:numPr>
                <w:ilvl w:val="0"/>
                <w:numId w:val="10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应符合竖向设计的要求。</w:t>
            </w:r>
          </w:p>
          <w:p w14:paraId="55FE4CD7">
            <w:pPr>
              <w:keepNext w:val="0"/>
              <w:keepLines w:val="0"/>
              <w:pageBreakBefore w:val="0"/>
              <w:widowControl w:val="0"/>
              <w:numPr>
                <w:ilvl w:val="0"/>
                <w:numId w:val="10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应符合预留发展用地的要求。</w:t>
            </w:r>
          </w:p>
        </w:tc>
        <w:tc>
          <w:tcPr>
            <w:tcW w:w="1066" w:type="pct"/>
            <w:tcBorders>
              <w:tl2br w:val="nil"/>
              <w:tr2bl w:val="nil"/>
            </w:tcBorders>
            <w:noWrap w:val="0"/>
            <w:vAlign w:val="center"/>
          </w:tcPr>
          <w:p w14:paraId="2178C690">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《工业企业总平面设计规范》</w:t>
            </w:r>
          </w:p>
          <w:p w14:paraId="6D737FF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（GB 50187-2012）</w:t>
            </w:r>
          </w:p>
          <w:p w14:paraId="1688681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lang w:eastAsia="zh-CN"/>
              </w:rPr>
              <w:t>.1.4</w:t>
            </w:r>
          </w:p>
        </w:tc>
        <w:tc>
          <w:tcPr>
            <w:tcW w:w="846" w:type="pct"/>
            <w:tcBorders>
              <w:tl2br w:val="nil"/>
              <w:tr2bl w:val="nil"/>
            </w:tcBorders>
            <w:noWrap w:val="0"/>
            <w:vAlign w:val="center"/>
          </w:tcPr>
          <w:p w14:paraId="22CACEB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现场检查厂区通道宽度满足要求</w:t>
            </w:r>
            <w:r>
              <w:rPr>
                <w:rFonts w:hint="eastAsia" w:ascii="宋体" w:hAnsi="宋体" w:eastAsia="宋体" w:cs="宋体"/>
                <w:color w:val="000000"/>
                <w:sz w:val="21"/>
                <w:szCs w:val="21"/>
                <w:lang w:eastAsia="zh-CN"/>
              </w:rPr>
              <w:t>。</w:t>
            </w:r>
          </w:p>
        </w:tc>
        <w:tc>
          <w:tcPr>
            <w:tcW w:w="517" w:type="pct"/>
            <w:tcBorders>
              <w:tl2br w:val="nil"/>
              <w:tr2bl w:val="nil"/>
            </w:tcBorders>
            <w:noWrap w:val="0"/>
            <w:vAlign w:val="center"/>
          </w:tcPr>
          <w:p w14:paraId="37FCEC58">
            <w:pPr>
              <w:keepNext w:val="0"/>
              <w:keepLines w:val="0"/>
              <w:pageBreakBefore w:val="0"/>
              <w:widowControl w:val="0"/>
              <w:suppressLineNumbers w:val="0"/>
              <w:kinsoku/>
              <w:wordWrap/>
              <w:overflowPunct/>
              <w:topLinePunct w:val="0"/>
              <w:bidi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符合要求</w:t>
            </w:r>
          </w:p>
        </w:tc>
      </w:tr>
      <w:tr w14:paraId="66FE83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5B280214">
            <w:pPr>
              <w:keepNext w:val="0"/>
              <w:keepLines w:val="0"/>
              <w:pageBreakBefore w:val="0"/>
              <w:widowControl w:val="0"/>
              <w:numPr>
                <w:ilvl w:val="0"/>
                <w:numId w:val="97"/>
              </w:numPr>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678C7DBC">
            <w:pPr>
              <w:keepNext w:val="0"/>
              <w:keepLines w:val="0"/>
              <w:pageBreakBefore w:val="0"/>
              <w:widowControl w:val="0"/>
              <w:suppressLineNumbers w:val="0"/>
              <w:kinsoku/>
              <w:wordWrap/>
              <w:overflowPunct/>
              <w:topLinePunct w:val="0"/>
              <w:bidi w:val="0"/>
              <w:snapToGrid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总平面布置应合理地组织货流和人流，并应符合下列规定：</w:t>
            </w:r>
          </w:p>
          <w:p w14:paraId="36395CDB">
            <w:pPr>
              <w:keepNext w:val="0"/>
              <w:keepLines w:val="0"/>
              <w:pageBreakBefore w:val="0"/>
              <w:widowControl w:val="0"/>
              <w:numPr>
                <w:ilvl w:val="0"/>
                <w:numId w:val="101"/>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运输线路的布置应保证物流顺畅、径路短捷、不折返。</w:t>
            </w:r>
          </w:p>
          <w:p w14:paraId="6EC84C4A">
            <w:pPr>
              <w:keepNext w:val="0"/>
              <w:keepLines w:val="0"/>
              <w:pageBreakBefore w:val="0"/>
              <w:widowControl w:val="0"/>
              <w:numPr>
                <w:ilvl w:val="0"/>
                <w:numId w:val="101"/>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避免运输繁忙的铁路与道路平面交叉。</w:t>
            </w:r>
          </w:p>
          <w:p w14:paraId="484C001D">
            <w:pPr>
              <w:keepNext w:val="0"/>
              <w:keepLines w:val="0"/>
              <w:pageBreakBefore w:val="0"/>
              <w:widowControl w:val="0"/>
              <w:numPr>
                <w:ilvl w:val="0"/>
                <w:numId w:val="101"/>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应使人、货分流，应避免运输繁忙的货流与人流交叉。</w:t>
            </w:r>
          </w:p>
          <w:p w14:paraId="7017C7AA">
            <w:pPr>
              <w:keepNext w:val="0"/>
              <w:keepLines w:val="0"/>
              <w:pageBreakBefore w:val="0"/>
              <w:widowControl w:val="0"/>
              <w:numPr>
                <w:ilvl w:val="0"/>
                <w:numId w:val="101"/>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应避免进出厂的主要货流与企业外部交通干线的平面交叉。</w:t>
            </w:r>
          </w:p>
        </w:tc>
        <w:tc>
          <w:tcPr>
            <w:tcW w:w="1066" w:type="pct"/>
            <w:tcBorders>
              <w:tl2br w:val="nil"/>
              <w:tr2bl w:val="nil"/>
            </w:tcBorders>
            <w:noWrap w:val="0"/>
            <w:vAlign w:val="center"/>
          </w:tcPr>
          <w:p w14:paraId="3D42966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《工业企业总平面设计规范》</w:t>
            </w:r>
          </w:p>
          <w:p w14:paraId="189CFD0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（GB 50187-2012）</w:t>
            </w:r>
          </w:p>
          <w:p w14:paraId="4CFF0F7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lang w:eastAsia="zh-CN"/>
              </w:rPr>
              <w:t>.1.8</w:t>
            </w:r>
          </w:p>
        </w:tc>
        <w:tc>
          <w:tcPr>
            <w:tcW w:w="846" w:type="pct"/>
            <w:tcBorders>
              <w:tl2br w:val="nil"/>
              <w:tr2bl w:val="nil"/>
            </w:tcBorders>
            <w:noWrap w:val="0"/>
            <w:vAlign w:val="center"/>
          </w:tcPr>
          <w:p w14:paraId="7D89D69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人流、货流组织合理，运输线路顺畅</w:t>
            </w:r>
          </w:p>
        </w:tc>
        <w:tc>
          <w:tcPr>
            <w:tcW w:w="517" w:type="pct"/>
            <w:tcBorders>
              <w:tl2br w:val="nil"/>
              <w:tr2bl w:val="nil"/>
            </w:tcBorders>
            <w:noWrap w:val="0"/>
            <w:vAlign w:val="center"/>
          </w:tcPr>
          <w:p w14:paraId="4BFEB7AB">
            <w:pPr>
              <w:keepNext w:val="0"/>
              <w:keepLines w:val="0"/>
              <w:pageBreakBefore w:val="0"/>
              <w:widowControl w:val="0"/>
              <w:suppressLineNumbers w:val="0"/>
              <w:kinsoku/>
              <w:wordWrap/>
              <w:overflowPunct/>
              <w:topLinePunct w:val="0"/>
              <w:bidi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符合要求</w:t>
            </w:r>
          </w:p>
        </w:tc>
      </w:tr>
      <w:tr w14:paraId="6959F6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2CBD876A">
            <w:pPr>
              <w:keepNext w:val="0"/>
              <w:keepLines w:val="0"/>
              <w:pageBreakBefore w:val="0"/>
              <w:widowControl w:val="0"/>
              <w:numPr>
                <w:ilvl w:val="0"/>
                <w:numId w:val="97"/>
              </w:numPr>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47E30B85">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压缩空气站的布置应符合下列规定：</w:t>
            </w:r>
          </w:p>
          <w:p w14:paraId="1D67E930">
            <w:pPr>
              <w:keepNext w:val="0"/>
              <w:keepLines w:val="0"/>
              <w:pageBreakBefore w:val="0"/>
              <w:widowControl w:val="0"/>
              <w:numPr>
                <w:ilvl w:val="0"/>
                <w:numId w:val="102"/>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应位于空气洁净的地段，避免靠近散发爆炸性、腐蚀性和有害气体及粉尘等的场所，并应位于散发爆炸性、腐蚀性和有害气 体及粉尘等场所的全年最小频率风向的下风侧。</w:t>
            </w:r>
          </w:p>
          <w:p w14:paraId="4DE6094C">
            <w:pPr>
              <w:keepNext w:val="0"/>
              <w:keepLines w:val="0"/>
              <w:pageBreakBefore w:val="0"/>
              <w:widowControl w:val="0"/>
              <w:numPr>
                <w:ilvl w:val="0"/>
                <w:numId w:val="102"/>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压缩空气站的朝向应结合地形、气象条件，使站内有良好 的通风和采光。贮气罐宜布置在站房的北侧。</w:t>
            </w:r>
          </w:p>
          <w:p w14:paraId="193FBC37">
            <w:pPr>
              <w:keepNext w:val="0"/>
              <w:keepLines w:val="0"/>
              <w:pageBreakBefore w:val="0"/>
              <w:widowControl w:val="0"/>
              <w:numPr>
                <w:ilvl w:val="0"/>
                <w:numId w:val="102"/>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压缩空气站的布置尚应符合本规范第5.2.4条和第5.2.5 条的规定。</w:t>
            </w:r>
          </w:p>
        </w:tc>
        <w:tc>
          <w:tcPr>
            <w:tcW w:w="1066" w:type="pct"/>
            <w:tcBorders>
              <w:tl2br w:val="nil"/>
              <w:tr2bl w:val="nil"/>
            </w:tcBorders>
            <w:noWrap w:val="0"/>
            <w:vAlign w:val="center"/>
          </w:tcPr>
          <w:p w14:paraId="397F1E6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《工业企业总平面设计规范》</w:t>
            </w:r>
          </w:p>
          <w:p w14:paraId="0390036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（GB 50187-2012）</w:t>
            </w:r>
          </w:p>
          <w:p w14:paraId="3831C69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lang w:eastAsia="zh-CN"/>
              </w:rPr>
              <w:t>.3.4</w:t>
            </w:r>
          </w:p>
        </w:tc>
        <w:tc>
          <w:tcPr>
            <w:tcW w:w="846" w:type="pct"/>
            <w:tcBorders>
              <w:tl2br w:val="nil"/>
              <w:tr2bl w:val="nil"/>
            </w:tcBorders>
            <w:noWrap w:val="0"/>
            <w:vAlign w:val="center"/>
          </w:tcPr>
          <w:p w14:paraId="7AB9F50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both"/>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压缩空气站的布置</w:t>
            </w:r>
            <w:r>
              <w:rPr>
                <w:rFonts w:hint="eastAsia" w:ascii="宋体" w:hAnsi="宋体" w:eastAsia="宋体" w:cs="宋体"/>
                <w:color w:val="000000"/>
                <w:sz w:val="21"/>
                <w:szCs w:val="21"/>
                <w:lang w:val="en-US" w:eastAsia="zh-CN"/>
              </w:rPr>
              <w:t>符合要求。</w:t>
            </w:r>
          </w:p>
        </w:tc>
        <w:tc>
          <w:tcPr>
            <w:tcW w:w="517" w:type="pct"/>
            <w:tcBorders>
              <w:tl2br w:val="nil"/>
              <w:tr2bl w:val="nil"/>
            </w:tcBorders>
            <w:noWrap w:val="0"/>
            <w:vAlign w:val="center"/>
          </w:tcPr>
          <w:p w14:paraId="12FF05A3">
            <w:pPr>
              <w:keepNext w:val="0"/>
              <w:keepLines w:val="0"/>
              <w:pageBreakBefore w:val="0"/>
              <w:widowControl w:val="0"/>
              <w:suppressLineNumbers w:val="0"/>
              <w:kinsoku/>
              <w:wordWrap/>
              <w:overflowPunct/>
              <w:topLinePunct w:val="0"/>
              <w:bidi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符合要求</w:t>
            </w:r>
          </w:p>
        </w:tc>
      </w:tr>
      <w:tr w14:paraId="081622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1B984D24">
            <w:pPr>
              <w:keepNext w:val="0"/>
              <w:keepLines w:val="0"/>
              <w:pageBreakBefore w:val="0"/>
              <w:widowControl w:val="0"/>
              <w:numPr>
                <w:ilvl w:val="0"/>
                <w:numId w:val="97"/>
              </w:numPr>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7B84A202">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厂区出入口的位置和数量应根据企业的生产规模、总体规划、厂区用地面积及总平面布置等因素综合确定，并应符合下列规定：</w:t>
            </w:r>
          </w:p>
          <w:p w14:paraId="32D622E3">
            <w:pPr>
              <w:keepNext w:val="0"/>
              <w:keepLines w:val="0"/>
              <w:pageBreakBefore w:val="0"/>
              <w:widowControl w:val="0"/>
              <w:numPr>
                <w:ilvl w:val="0"/>
                <w:numId w:val="103"/>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出入口的数量不宜少于2个 。</w:t>
            </w:r>
          </w:p>
          <w:p w14:paraId="7849CA0E">
            <w:pPr>
              <w:keepNext w:val="0"/>
              <w:keepLines w:val="0"/>
              <w:pageBreakBefore w:val="0"/>
              <w:widowControl w:val="0"/>
              <w:numPr>
                <w:ilvl w:val="0"/>
                <w:numId w:val="103"/>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主要人流出入口宜与主要货流出入口分开设置，并应位于厂区主干道通往居住区或城镇的一侧；主要货流出入口应位于主要货流方向，应靠近运输繁忙的仓库、堆场，并应与外部运输线路 连接方便。</w:t>
            </w:r>
          </w:p>
        </w:tc>
        <w:tc>
          <w:tcPr>
            <w:tcW w:w="1066" w:type="pct"/>
            <w:tcBorders>
              <w:tl2br w:val="nil"/>
              <w:tr2bl w:val="nil"/>
            </w:tcBorders>
            <w:noWrap w:val="0"/>
            <w:vAlign w:val="center"/>
          </w:tcPr>
          <w:p w14:paraId="209BC64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《工业企业总平面设计规范》</w:t>
            </w:r>
          </w:p>
          <w:p w14:paraId="44E6051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（GB 50187-2012）</w:t>
            </w:r>
          </w:p>
          <w:p w14:paraId="255B333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lang w:eastAsia="zh-CN"/>
              </w:rPr>
              <w:t>.7.4</w:t>
            </w:r>
          </w:p>
        </w:tc>
        <w:tc>
          <w:tcPr>
            <w:tcW w:w="846" w:type="pct"/>
            <w:tcBorders>
              <w:tl2br w:val="nil"/>
              <w:tr2bl w:val="nil"/>
            </w:tcBorders>
            <w:noWrap w:val="0"/>
            <w:vAlign w:val="center"/>
          </w:tcPr>
          <w:p w14:paraId="68CD5F0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厂区出入口</w:t>
            </w:r>
            <w:r>
              <w:rPr>
                <w:rFonts w:hint="eastAsia" w:ascii="宋体" w:hAnsi="宋体" w:eastAsia="宋体" w:cs="宋体"/>
                <w:color w:val="000000"/>
                <w:sz w:val="21"/>
                <w:szCs w:val="21"/>
                <w:lang w:val="en-US" w:eastAsia="zh-CN"/>
              </w:rPr>
              <w:t>数量不少于2个</w:t>
            </w:r>
            <w:r>
              <w:rPr>
                <w:rFonts w:hint="eastAsia" w:ascii="宋体" w:hAnsi="宋体" w:eastAsia="宋体" w:cs="宋体"/>
                <w:color w:val="000000"/>
                <w:sz w:val="21"/>
                <w:szCs w:val="21"/>
              </w:rPr>
              <w:t>，人流出入口与主要货流出入口分开设置</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主要货流出入口位于主要货流方向</w:t>
            </w:r>
            <w:r>
              <w:rPr>
                <w:rFonts w:hint="eastAsia" w:ascii="宋体" w:hAnsi="宋体" w:eastAsia="宋体" w:cs="宋体"/>
                <w:color w:val="000000"/>
                <w:sz w:val="21"/>
                <w:szCs w:val="21"/>
                <w:lang w:eastAsia="zh-CN"/>
              </w:rPr>
              <w:t>。</w:t>
            </w:r>
          </w:p>
        </w:tc>
        <w:tc>
          <w:tcPr>
            <w:tcW w:w="517" w:type="pct"/>
            <w:tcBorders>
              <w:tl2br w:val="nil"/>
              <w:tr2bl w:val="nil"/>
            </w:tcBorders>
            <w:noWrap w:val="0"/>
            <w:vAlign w:val="center"/>
          </w:tcPr>
          <w:p w14:paraId="220391F2">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zh-CN"/>
              </w:rPr>
            </w:pPr>
            <w:r>
              <w:rPr>
                <w:rFonts w:hint="eastAsia" w:ascii="宋体" w:hAnsi="宋体" w:eastAsia="宋体" w:cs="宋体"/>
                <w:color w:val="000000"/>
                <w:sz w:val="21"/>
                <w:szCs w:val="21"/>
                <w:lang w:val="zh-CN"/>
              </w:rPr>
              <w:t>符合要求</w:t>
            </w:r>
          </w:p>
        </w:tc>
      </w:tr>
      <w:tr w14:paraId="2A4FF1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68CD53B4">
            <w:pPr>
              <w:keepNext w:val="0"/>
              <w:keepLines w:val="0"/>
              <w:pageBreakBefore w:val="0"/>
              <w:widowControl w:val="0"/>
              <w:numPr>
                <w:ilvl w:val="0"/>
                <w:numId w:val="97"/>
              </w:numPr>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328C2D7C">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厂区围墙的结构形式和高度，应根据企业性质、规模确定。围墙至建筑物、道路、铁路和排水明沟的最小间距</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应符合表</w:t>
            </w: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rPr>
              <w:t>.7.5的规定。</w:t>
            </w:r>
          </w:p>
        </w:tc>
        <w:tc>
          <w:tcPr>
            <w:tcW w:w="1066" w:type="pct"/>
            <w:tcBorders>
              <w:tl2br w:val="nil"/>
              <w:tr2bl w:val="nil"/>
            </w:tcBorders>
            <w:noWrap w:val="0"/>
            <w:vAlign w:val="center"/>
          </w:tcPr>
          <w:p w14:paraId="2814394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《工业企业总平面设计规范》</w:t>
            </w:r>
          </w:p>
          <w:p w14:paraId="2B47BBC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（GB 50187-2012）</w:t>
            </w:r>
          </w:p>
          <w:p w14:paraId="3F4698F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lang w:eastAsia="zh-CN"/>
              </w:rPr>
              <w:t>.7.5</w:t>
            </w:r>
          </w:p>
        </w:tc>
        <w:tc>
          <w:tcPr>
            <w:tcW w:w="846" w:type="pct"/>
            <w:tcBorders>
              <w:tl2br w:val="nil"/>
              <w:tr2bl w:val="nil"/>
            </w:tcBorders>
            <w:noWrap w:val="0"/>
            <w:vAlign w:val="center"/>
          </w:tcPr>
          <w:p w14:paraId="5129B1C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厂房距离围墙大于5m</w:t>
            </w:r>
            <w:r>
              <w:rPr>
                <w:rFonts w:hint="eastAsia" w:ascii="宋体" w:hAnsi="宋体" w:eastAsia="宋体" w:cs="宋体"/>
                <w:color w:val="000000"/>
                <w:sz w:val="21"/>
                <w:szCs w:val="21"/>
                <w:lang w:eastAsia="zh-CN"/>
              </w:rPr>
              <w:t>。</w:t>
            </w:r>
          </w:p>
        </w:tc>
        <w:tc>
          <w:tcPr>
            <w:tcW w:w="517" w:type="pct"/>
            <w:tcBorders>
              <w:tl2br w:val="nil"/>
              <w:tr2bl w:val="nil"/>
            </w:tcBorders>
            <w:noWrap w:val="0"/>
            <w:vAlign w:val="center"/>
          </w:tcPr>
          <w:p w14:paraId="68E5046E">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符合要求</w:t>
            </w:r>
          </w:p>
        </w:tc>
      </w:tr>
      <w:tr w14:paraId="7C9618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768BDE0D">
            <w:pPr>
              <w:keepNext w:val="0"/>
              <w:keepLines w:val="0"/>
              <w:pageBreakBefore w:val="0"/>
              <w:widowControl w:val="0"/>
              <w:numPr>
                <w:ilvl w:val="0"/>
                <w:numId w:val="97"/>
              </w:numPr>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7F7AF64C">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企业内道路的布置应符合下列规定：</w:t>
            </w:r>
          </w:p>
          <w:p w14:paraId="5A11D7A7">
            <w:pPr>
              <w:keepNext w:val="0"/>
              <w:keepLines w:val="0"/>
              <w:pageBreakBefore w:val="0"/>
              <w:widowControl w:val="0"/>
              <w:numPr>
                <w:ilvl w:val="0"/>
                <w:numId w:val="104"/>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应满足生产、运输、安装、检修、消防安全和施工的要求。</w:t>
            </w:r>
          </w:p>
          <w:p w14:paraId="3868CD16">
            <w:pPr>
              <w:keepNext w:val="0"/>
              <w:keepLines w:val="0"/>
              <w:pageBreakBefore w:val="0"/>
              <w:widowControl w:val="0"/>
              <w:numPr>
                <w:ilvl w:val="0"/>
                <w:numId w:val="104"/>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应有利于功能分区和街区的划分，并应与总平面布置相协调。</w:t>
            </w:r>
          </w:p>
          <w:p w14:paraId="7B34CC3E">
            <w:pPr>
              <w:keepNext w:val="0"/>
              <w:keepLines w:val="0"/>
              <w:pageBreakBefore w:val="0"/>
              <w:widowControl w:val="0"/>
              <w:numPr>
                <w:ilvl w:val="0"/>
                <w:numId w:val="104"/>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道路的走向宜与区内主要建筑物、构筑物轴线平行或垂直，并应呈环形布置。</w:t>
            </w:r>
          </w:p>
          <w:p w14:paraId="4D01F22C">
            <w:pPr>
              <w:keepNext w:val="0"/>
              <w:keepLines w:val="0"/>
              <w:pageBreakBefore w:val="0"/>
              <w:widowControl w:val="0"/>
              <w:numPr>
                <w:ilvl w:val="0"/>
                <w:numId w:val="104"/>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应与竖向设计相协调，应有利于场地及道路的雨水排除。</w:t>
            </w:r>
          </w:p>
          <w:p w14:paraId="7E5DD9A2">
            <w:pPr>
              <w:keepNext w:val="0"/>
              <w:keepLines w:val="0"/>
              <w:pageBreakBefore w:val="0"/>
              <w:widowControl w:val="0"/>
              <w:numPr>
                <w:ilvl w:val="0"/>
                <w:numId w:val="104"/>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与厂外道路应连接方便、短捷。</w:t>
            </w:r>
          </w:p>
          <w:p w14:paraId="2740DA4F">
            <w:pPr>
              <w:keepNext w:val="0"/>
              <w:keepLines w:val="0"/>
              <w:pageBreakBefore w:val="0"/>
              <w:widowControl w:val="0"/>
              <w:numPr>
                <w:ilvl w:val="0"/>
                <w:numId w:val="104"/>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洁净厂房周围宜设置环形消防车道，环形消防车道可利用交通道路设置，有困难时，可沿厂房的两个长边设置消防车道。</w:t>
            </w:r>
          </w:p>
          <w:p w14:paraId="3DCE91EF">
            <w:pPr>
              <w:keepNext w:val="0"/>
              <w:keepLines w:val="0"/>
              <w:pageBreakBefore w:val="0"/>
              <w:widowControl w:val="0"/>
              <w:numPr>
                <w:ilvl w:val="0"/>
                <w:numId w:val="104"/>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液化烃、可燃液体、可燃气体的罐区内，任何储罐中心与消防车道的距离应符合现行国家标准《石油化工企业设计防火规范》 GB 50160的有关规定。</w:t>
            </w:r>
          </w:p>
          <w:p w14:paraId="63D5B6E5">
            <w:pPr>
              <w:keepNext w:val="0"/>
              <w:keepLines w:val="0"/>
              <w:pageBreakBefore w:val="0"/>
              <w:widowControl w:val="0"/>
              <w:numPr>
                <w:ilvl w:val="0"/>
                <w:numId w:val="104"/>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施工道路应与永久性道路相结合。</w:t>
            </w:r>
          </w:p>
        </w:tc>
        <w:tc>
          <w:tcPr>
            <w:tcW w:w="1066" w:type="pct"/>
            <w:tcBorders>
              <w:tl2br w:val="nil"/>
              <w:tr2bl w:val="nil"/>
            </w:tcBorders>
            <w:noWrap w:val="0"/>
            <w:vAlign w:val="center"/>
          </w:tcPr>
          <w:p w14:paraId="16BBC87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《工业企业总平面设计规范》</w:t>
            </w:r>
          </w:p>
          <w:p w14:paraId="09E7C56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（GB 50187-2012）</w:t>
            </w:r>
          </w:p>
          <w:p w14:paraId="12DC52F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6</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lang w:val="en-US" w:eastAsia="zh-CN"/>
              </w:rPr>
              <w:t>4</w:t>
            </w:r>
            <w:r>
              <w:rPr>
                <w:rFonts w:hint="eastAsia" w:ascii="宋体" w:hAnsi="宋体" w:eastAsia="宋体" w:cs="宋体"/>
                <w:color w:val="000000"/>
                <w:sz w:val="21"/>
                <w:szCs w:val="21"/>
                <w:lang w:eastAsia="zh-CN"/>
              </w:rPr>
              <w:t>.1</w:t>
            </w:r>
          </w:p>
        </w:tc>
        <w:tc>
          <w:tcPr>
            <w:tcW w:w="846" w:type="pct"/>
            <w:tcBorders>
              <w:tl2br w:val="nil"/>
              <w:tr2bl w:val="nil"/>
            </w:tcBorders>
            <w:noWrap w:val="0"/>
            <w:vAlign w:val="center"/>
          </w:tcPr>
          <w:p w14:paraId="16853DD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both"/>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企业内道路的布置</w:t>
            </w:r>
            <w:r>
              <w:rPr>
                <w:rFonts w:hint="eastAsia" w:ascii="宋体" w:hAnsi="宋体" w:eastAsia="宋体" w:cs="宋体"/>
                <w:color w:val="000000"/>
                <w:sz w:val="21"/>
                <w:szCs w:val="21"/>
                <w:lang w:val="en-US" w:eastAsia="zh-CN"/>
              </w:rPr>
              <w:t>道路符合规范。</w:t>
            </w:r>
          </w:p>
        </w:tc>
        <w:tc>
          <w:tcPr>
            <w:tcW w:w="517" w:type="pct"/>
            <w:tcBorders>
              <w:tl2br w:val="nil"/>
              <w:tr2bl w:val="nil"/>
            </w:tcBorders>
            <w:noWrap w:val="0"/>
            <w:vAlign w:val="center"/>
          </w:tcPr>
          <w:p w14:paraId="30E1EBA9">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符合要求</w:t>
            </w:r>
          </w:p>
        </w:tc>
      </w:tr>
      <w:tr w14:paraId="3BD0F1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3B0702F7">
            <w:pPr>
              <w:keepNext w:val="0"/>
              <w:keepLines w:val="0"/>
              <w:pageBreakBefore w:val="0"/>
              <w:widowControl w:val="0"/>
              <w:numPr>
                <w:ilvl w:val="0"/>
                <w:numId w:val="97"/>
              </w:numPr>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69BD6E16">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消防车道的布置，应符合下列要求：</w:t>
            </w:r>
          </w:p>
          <w:p w14:paraId="64E98DB5">
            <w:pPr>
              <w:keepNext w:val="0"/>
              <w:keepLines w:val="0"/>
              <w:pageBreakBefore w:val="0"/>
              <w:widowControl w:val="0"/>
              <w:numPr>
                <w:ilvl w:val="0"/>
                <w:numId w:val="105"/>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道路宜呈环形布置。</w:t>
            </w:r>
          </w:p>
          <w:p w14:paraId="2C64E89B">
            <w:pPr>
              <w:keepNext w:val="0"/>
              <w:keepLines w:val="0"/>
              <w:pageBreakBefore w:val="0"/>
              <w:widowControl w:val="0"/>
              <w:numPr>
                <w:ilvl w:val="0"/>
                <w:numId w:val="105"/>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车道宽度不应小于4.0m。</w:t>
            </w:r>
          </w:p>
          <w:p w14:paraId="066A865E">
            <w:pPr>
              <w:keepNext w:val="0"/>
              <w:keepLines w:val="0"/>
              <w:pageBreakBefore w:val="0"/>
              <w:widowControl w:val="0"/>
              <w:numPr>
                <w:ilvl w:val="0"/>
                <w:numId w:val="105"/>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应避免与铁路平交。必须平交时，应设备用车道，且两车道之间的距离不应小于进入厂内最长列车的长度。</w:t>
            </w:r>
          </w:p>
        </w:tc>
        <w:tc>
          <w:tcPr>
            <w:tcW w:w="1066" w:type="pct"/>
            <w:tcBorders>
              <w:tl2br w:val="nil"/>
              <w:tr2bl w:val="nil"/>
            </w:tcBorders>
            <w:noWrap w:val="0"/>
            <w:vAlign w:val="center"/>
          </w:tcPr>
          <w:p w14:paraId="208EAC0F">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《工业企业总平面设计规范》</w:t>
            </w:r>
          </w:p>
          <w:p w14:paraId="403CFB42">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（GB 50187-2012）</w:t>
            </w:r>
          </w:p>
          <w:p w14:paraId="7161E66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lang w:val="en-US" w:eastAsia="zh-CN"/>
              </w:rPr>
              <w:t>4</w:t>
            </w:r>
            <w:r>
              <w:rPr>
                <w:rFonts w:hint="eastAsia" w:ascii="宋体" w:hAnsi="宋体" w:eastAsia="宋体" w:cs="宋体"/>
                <w:color w:val="000000"/>
                <w:sz w:val="21"/>
                <w:szCs w:val="21"/>
                <w:lang w:eastAsia="zh-CN"/>
              </w:rPr>
              <w:t>.1</w:t>
            </w:r>
            <w:r>
              <w:rPr>
                <w:rFonts w:hint="eastAsia" w:ascii="宋体" w:hAnsi="宋体" w:eastAsia="宋体" w:cs="宋体"/>
                <w:color w:val="000000"/>
                <w:sz w:val="21"/>
                <w:szCs w:val="21"/>
                <w:lang w:val="en-US" w:eastAsia="zh-CN"/>
              </w:rPr>
              <w:t>1</w:t>
            </w:r>
          </w:p>
        </w:tc>
        <w:tc>
          <w:tcPr>
            <w:tcW w:w="846" w:type="pct"/>
            <w:tcBorders>
              <w:tl2br w:val="nil"/>
              <w:tr2bl w:val="nil"/>
            </w:tcBorders>
            <w:noWrap w:val="0"/>
            <w:vAlign w:val="center"/>
          </w:tcPr>
          <w:p w14:paraId="72CC6362">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园区和</w:t>
            </w:r>
            <w:r>
              <w:rPr>
                <w:rFonts w:hint="eastAsia" w:ascii="宋体" w:hAnsi="宋体" w:eastAsia="宋体" w:cs="宋体"/>
                <w:color w:val="000000"/>
                <w:sz w:val="21"/>
                <w:szCs w:val="21"/>
              </w:rPr>
              <w:t>厂区道路作为消防车道，宽度</w:t>
            </w:r>
            <w:r>
              <w:rPr>
                <w:rFonts w:hint="eastAsia" w:ascii="宋体" w:hAnsi="宋体" w:eastAsia="宋体" w:cs="宋体"/>
                <w:color w:val="000000"/>
                <w:sz w:val="21"/>
                <w:szCs w:val="21"/>
                <w:lang w:val="en-US" w:eastAsia="zh-CN"/>
              </w:rPr>
              <w:t>不小于4.0m符合要求。</w:t>
            </w:r>
          </w:p>
        </w:tc>
        <w:tc>
          <w:tcPr>
            <w:tcW w:w="517" w:type="pct"/>
            <w:tcBorders>
              <w:tl2br w:val="nil"/>
              <w:tr2bl w:val="nil"/>
            </w:tcBorders>
            <w:noWrap w:val="0"/>
            <w:vAlign w:val="center"/>
          </w:tcPr>
          <w:p w14:paraId="4DB4481B">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符合要求</w:t>
            </w:r>
          </w:p>
        </w:tc>
      </w:tr>
      <w:tr w14:paraId="6A9F21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7A230AB1">
            <w:pPr>
              <w:keepNext w:val="0"/>
              <w:keepLines w:val="0"/>
              <w:pageBreakBefore w:val="0"/>
              <w:widowControl w:val="0"/>
              <w:numPr>
                <w:ilvl w:val="0"/>
                <w:numId w:val="97"/>
              </w:numPr>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40F3A8AA">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kern w:val="0"/>
                <w:sz w:val="21"/>
                <w:szCs w:val="21"/>
              </w:rPr>
            </w:pPr>
            <w:r>
              <w:rPr>
                <w:rFonts w:hint="eastAsia" w:ascii="宋体" w:hAnsi="宋体" w:eastAsia="宋体" w:cs="宋体"/>
                <w:color w:val="000000"/>
                <w:sz w:val="21"/>
                <w:szCs w:val="21"/>
              </w:rPr>
              <w:t>除本规范另有规定外，厂房层数和每个防火分区的最大允许建筑面积应符合表3.3.1的规定。</w:t>
            </w:r>
          </w:p>
        </w:tc>
        <w:tc>
          <w:tcPr>
            <w:tcW w:w="1066" w:type="pct"/>
            <w:tcBorders>
              <w:tl2br w:val="nil"/>
              <w:tr2bl w:val="nil"/>
            </w:tcBorders>
            <w:noWrap w:val="0"/>
            <w:vAlign w:val="center"/>
          </w:tcPr>
          <w:p w14:paraId="3F3FFD8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w:t>
            </w:r>
            <w:r>
              <w:rPr>
                <w:rFonts w:hint="eastAsia" w:cs="宋体"/>
                <w:color w:val="000000"/>
                <w:sz w:val="21"/>
                <w:szCs w:val="21"/>
                <w:lang w:eastAsia="zh-CN"/>
              </w:rPr>
              <w:t>建筑设计防火规范（2018年版）</w:t>
            </w:r>
            <w:r>
              <w:rPr>
                <w:rFonts w:hint="eastAsia" w:ascii="宋体" w:hAnsi="宋体" w:eastAsia="宋体" w:cs="宋体"/>
                <w:color w:val="000000"/>
                <w:sz w:val="21"/>
                <w:szCs w:val="21"/>
                <w:lang w:eastAsia="zh-CN"/>
              </w:rPr>
              <w:t>》（</w:t>
            </w:r>
            <w:r>
              <w:rPr>
                <w:rFonts w:hint="eastAsia" w:cs="宋体"/>
                <w:color w:val="000000"/>
                <w:sz w:val="21"/>
                <w:szCs w:val="21"/>
                <w:lang w:eastAsia="zh-CN"/>
              </w:rPr>
              <w:t>GB50016-2014</w:t>
            </w:r>
            <w:r>
              <w:rPr>
                <w:rFonts w:hint="eastAsia" w:ascii="宋体" w:hAnsi="宋体" w:eastAsia="宋体" w:cs="宋体"/>
                <w:color w:val="000000"/>
                <w:sz w:val="21"/>
                <w:szCs w:val="21"/>
                <w:lang w:eastAsia="zh-CN"/>
              </w:rPr>
              <w:t>）3.3.</w:t>
            </w:r>
            <w:r>
              <w:rPr>
                <w:rFonts w:hint="eastAsia" w:ascii="宋体" w:hAnsi="宋体" w:eastAsia="宋体" w:cs="宋体"/>
                <w:color w:val="000000"/>
                <w:sz w:val="21"/>
                <w:szCs w:val="21"/>
                <w:lang w:val="en-US" w:eastAsia="zh-CN"/>
              </w:rPr>
              <w:t>1</w:t>
            </w:r>
          </w:p>
        </w:tc>
        <w:tc>
          <w:tcPr>
            <w:tcW w:w="846" w:type="pct"/>
            <w:tcBorders>
              <w:tl2br w:val="nil"/>
              <w:tr2bl w:val="nil"/>
            </w:tcBorders>
            <w:noWrap w:val="0"/>
            <w:vAlign w:val="center"/>
          </w:tcPr>
          <w:p w14:paraId="041520E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厂房的耐火等级、层数和防火分区划分符合规范要求</w:t>
            </w:r>
          </w:p>
        </w:tc>
        <w:tc>
          <w:tcPr>
            <w:tcW w:w="517" w:type="pct"/>
            <w:tcBorders>
              <w:tl2br w:val="nil"/>
              <w:tr2bl w:val="nil"/>
            </w:tcBorders>
            <w:noWrap w:val="0"/>
            <w:vAlign w:val="center"/>
          </w:tcPr>
          <w:p w14:paraId="4E602A0C">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zh-CN"/>
              </w:rPr>
            </w:pPr>
            <w:r>
              <w:rPr>
                <w:rFonts w:hint="eastAsia" w:ascii="宋体" w:hAnsi="宋体" w:eastAsia="宋体" w:cs="宋体"/>
                <w:color w:val="000000"/>
                <w:sz w:val="21"/>
                <w:szCs w:val="21"/>
                <w:lang w:val="zh-CN"/>
              </w:rPr>
              <w:t>符合要求</w:t>
            </w:r>
          </w:p>
        </w:tc>
      </w:tr>
      <w:tr w14:paraId="28BD4B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60B5F779">
            <w:pPr>
              <w:keepNext w:val="0"/>
              <w:keepLines w:val="0"/>
              <w:pageBreakBefore w:val="0"/>
              <w:widowControl w:val="0"/>
              <w:numPr>
                <w:ilvl w:val="0"/>
                <w:numId w:val="97"/>
              </w:numPr>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4DD39B3B">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员工宿舍严禁设置在厂房内。</w:t>
            </w:r>
          </w:p>
          <w:p w14:paraId="1D45C392">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办公室、休息室等不应设置在甲、乙类厂房内，确需贴邻本厂房时，其耐火等级不应低于二级，并应采用耐火极限不低于 3.00h的防爆墙与厂房分隔，且应设置独立的安全出口。</w:t>
            </w:r>
          </w:p>
          <w:p w14:paraId="2FBE7057">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办公室、休息室设置在丙类厂房内时，应采用耐火极限不低于2.50h的防火隔墙和1.OOh的</w:t>
            </w:r>
            <w:r>
              <w:rPr>
                <w:rFonts w:hint="eastAsia" w:ascii="宋体" w:hAnsi="宋体" w:eastAsia="宋体" w:cs="宋体"/>
                <w:color w:val="000000"/>
                <w:sz w:val="21"/>
                <w:szCs w:val="21"/>
                <w:lang w:eastAsia="zh-CN"/>
              </w:rPr>
              <w:t>楼板</w:t>
            </w:r>
            <w:r>
              <w:rPr>
                <w:rFonts w:hint="eastAsia" w:ascii="宋体" w:hAnsi="宋体" w:eastAsia="宋体" w:cs="宋体"/>
                <w:color w:val="000000"/>
                <w:sz w:val="21"/>
                <w:szCs w:val="21"/>
              </w:rPr>
              <w:t>与其他部位分隔，并应至少设置</w:t>
            </w:r>
            <w:r>
              <w:rPr>
                <w:rFonts w:hint="eastAsia" w:ascii="宋体" w:hAnsi="宋体" w:eastAsia="宋体" w:cs="宋体"/>
                <w:color w:val="000000"/>
                <w:sz w:val="21"/>
                <w:szCs w:val="21"/>
                <w:lang w:val="en-US" w:eastAsia="zh-CN"/>
              </w:rPr>
              <w:t>1</w:t>
            </w:r>
            <w:r>
              <w:rPr>
                <w:rFonts w:hint="eastAsia" w:ascii="宋体" w:hAnsi="宋体" w:eastAsia="宋体" w:cs="宋体"/>
                <w:color w:val="000000"/>
                <w:sz w:val="21"/>
                <w:szCs w:val="21"/>
              </w:rPr>
              <w:t>个独立的安全出口。如隔墙上需开设相互连通的门时，应采用乙级防火门。</w:t>
            </w:r>
          </w:p>
        </w:tc>
        <w:tc>
          <w:tcPr>
            <w:tcW w:w="1066" w:type="pct"/>
            <w:tcBorders>
              <w:tl2br w:val="nil"/>
              <w:tr2bl w:val="nil"/>
            </w:tcBorders>
            <w:noWrap w:val="0"/>
            <w:vAlign w:val="center"/>
          </w:tcPr>
          <w:p w14:paraId="561249E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w:t>
            </w:r>
            <w:r>
              <w:rPr>
                <w:rFonts w:hint="eastAsia" w:cs="宋体"/>
                <w:color w:val="000000"/>
                <w:sz w:val="21"/>
                <w:szCs w:val="21"/>
                <w:lang w:eastAsia="zh-CN"/>
              </w:rPr>
              <w:t>建筑设计防火规范（2018年版）</w:t>
            </w:r>
            <w:r>
              <w:rPr>
                <w:rFonts w:hint="eastAsia" w:ascii="宋体" w:hAnsi="宋体" w:eastAsia="宋体" w:cs="宋体"/>
                <w:color w:val="000000"/>
                <w:sz w:val="21"/>
                <w:szCs w:val="21"/>
                <w:lang w:eastAsia="zh-CN"/>
              </w:rPr>
              <w:t>》（</w:t>
            </w:r>
            <w:r>
              <w:rPr>
                <w:rFonts w:hint="eastAsia" w:cs="宋体"/>
                <w:color w:val="000000"/>
                <w:sz w:val="21"/>
                <w:szCs w:val="21"/>
                <w:lang w:eastAsia="zh-CN"/>
              </w:rPr>
              <w:t>GB50016-2014</w:t>
            </w:r>
            <w:r>
              <w:rPr>
                <w:rFonts w:hint="eastAsia" w:ascii="宋体" w:hAnsi="宋体" w:eastAsia="宋体" w:cs="宋体"/>
                <w:color w:val="000000"/>
                <w:sz w:val="21"/>
                <w:szCs w:val="21"/>
                <w:lang w:eastAsia="zh-CN"/>
              </w:rPr>
              <w:t>）3.3.5</w:t>
            </w:r>
          </w:p>
        </w:tc>
        <w:tc>
          <w:tcPr>
            <w:tcW w:w="846" w:type="pct"/>
            <w:tcBorders>
              <w:tl2br w:val="nil"/>
              <w:tr2bl w:val="nil"/>
            </w:tcBorders>
            <w:noWrap w:val="0"/>
            <w:vAlign w:val="center"/>
          </w:tcPr>
          <w:p w14:paraId="782BA937">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lang w:val="en-US"/>
              </w:rPr>
            </w:pPr>
            <w:r>
              <w:rPr>
                <w:rFonts w:hint="eastAsia" w:ascii="宋体" w:hAnsi="宋体" w:eastAsia="宋体" w:cs="宋体"/>
                <w:color w:val="000000"/>
                <w:sz w:val="21"/>
                <w:szCs w:val="21"/>
              </w:rPr>
              <w:t>厂房内</w:t>
            </w:r>
            <w:r>
              <w:rPr>
                <w:rFonts w:hint="eastAsia" w:ascii="宋体" w:hAnsi="宋体" w:eastAsia="宋体" w:cs="宋体"/>
                <w:color w:val="000000"/>
                <w:sz w:val="21"/>
                <w:szCs w:val="21"/>
                <w:lang w:val="en-US" w:eastAsia="zh-CN"/>
              </w:rPr>
              <w:t>无</w:t>
            </w:r>
            <w:r>
              <w:rPr>
                <w:rFonts w:hint="eastAsia" w:ascii="宋体" w:hAnsi="宋体" w:eastAsia="宋体" w:cs="宋体"/>
                <w:color w:val="000000"/>
                <w:sz w:val="21"/>
                <w:szCs w:val="21"/>
              </w:rPr>
              <w:t>员工宿舍。</w:t>
            </w:r>
            <w:r>
              <w:rPr>
                <w:rFonts w:hint="eastAsia" w:ascii="宋体" w:hAnsi="宋体" w:eastAsia="宋体" w:cs="宋体"/>
                <w:color w:val="000000"/>
                <w:sz w:val="21"/>
                <w:szCs w:val="21"/>
                <w:lang w:val="en-US" w:eastAsia="zh-CN"/>
              </w:rPr>
              <w:t>生产厂房为丁类，办公室、休息室设置符合规范要求。</w:t>
            </w:r>
          </w:p>
        </w:tc>
        <w:tc>
          <w:tcPr>
            <w:tcW w:w="517" w:type="pct"/>
            <w:tcBorders>
              <w:tl2br w:val="nil"/>
              <w:tr2bl w:val="nil"/>
            </w:tcBorders>
            <w:noWrap w:val="0"/>
            <w:vAlign w:val="center"/>
          </w:tcPr>
          <w:p w14:paraId="18635486">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zh-CN"/>
              </w:rPr>
              <w:t>符合要求</w:t>
            </w:r>
          </w:p>
        </w:tc>
      </w:tr>
      <w:tr w14:paraId="250BD8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38EA68DF">
            <w:pPr>
              <w:keepNext w:val="0"/>
              <w:keepLines w:val="0"/>
              <w:pageBreakBefore w:val="0"/>
              <w:widowControl w:val="0"/>
              <w:numPr>
                <w:ilvl w:val="0"/>
                <w:numId w:val="97"/>
              </w:numPr>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3773BA5E">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员工宿舍严禁设置在仓库内。</w:t>
            </w:r>
          </w:p>
          <w:p w14:paraId="41ED61D0">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办公室、休息室等严禁设置在甲、</w:t>
            </w:r>
            <w:r>
              <w:rPr>
                <w:rFonts w:hint="eastAsia" w:cs="宋体"/>
                <w:color w:val="000000"/>
                <w:sz w:val="21"/>
                <w:szCs w:val="21"/>
                <w:lang w:val="en-US" w:eastAsia="zh-CN"/>
              </w:rPr>
              <w:t>乙</w:t>
            </w:r>
            <w:r>
              <w:rPr>
                <w:rFonts w:hint="eastAsia" w:ascii="宋体" w:hAnsi="宋体" w:eastAsia="宋体" w:cs="宋体"/>
                <w:color w:val="000000"/>
                <w:sz w:val="21"/>
                <w:szCs w:val="21"/>
              </w:rPr>
              <w:t>类仓库内，也不应贴邻。</w:t>
            </w:r>
          </w:p>
          <w:p w14:paraId="7430CF41">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sz w:val="21"/>
                <w:szCs w:val="21"/>
              </w:rPr>
              <w:t>办公室、休息室设置在丙、丁类仓库内时，应采用耐火极限不低于2.50h的防火隔墙和1.OOh的楼板与其他部位分隔，并应设置独立的安全出口</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隔墙上需开设相互连通的门时，应采用</w:t>
            </w:r>
            <w:r>
              <w:rPr>
                <w:rFonts w:hint="eastAsia" w:ascii="宋体" w:hAnsi="宋体" w:eastAsia="宋体" w:cs="宋体"/>
                <w:color w:val="000000"/>
                <w:sz w:val="21"/>
                <w:szCs w:val="21"/>
                <w:lang w:val="en-US" w:eastAsia="zh-CN"/>
              </w:rPr>
              <w:t>乙</w:t>
            </w:r>
            <w:r>
              <w:rPr>
                <w:rFonts w:hint="eastAsia" w:ascii="宋体" w:hAnsi="宋体" w:eastAsia="宋体" w:cs="宋体"/>
                <w:color w:val="000000"/>
                <w:sz w:val="21"/>
                <w:szCs w:val="21"/>
              </w:rPr>
              <w:t>级防火门</w:t>
            </w:r>
            <w:r>
              <w:rPr>
                <w:rFonts w:hint="eastAsia" w:cs="宋体"/>
                <w:color w:val="000000"/>
                <w:sz w:val="21"/>
                <w:szCs w:val="21"/>
                <w:lang w:eastAsia="zh-CN"/>
              </w:rPr>
              <w:t>。</w:t>
            </w:r>
          </w:p>
        </w:tc>
        <w:tc>
          <w:tcPr>
            <w:tcW w:w="1066" w:type="pct"/>
            <w:tcBorders>
              <w:tl2br w:val="nil"/>
              <w:tr2bl w:val="nil"/>
            </w:tcBorders>
            <w:noWrap w:val="0"/>
            <w:vAlign w:val="center"/>
          </w:tcPr>
          <w:p w14:paraId="2E38816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w:t>
            </w:r>
            <w:r>
              <w:rPr>
                <w:rFonts w:hint="eastAsia" w:cs="宋体"/>
                <w:color w:val="000000"/>
                <w:sz w:val="21"/>
                <w:szCs w:val="21"/>
                <w:lang w:eastAsia="zh-CN"/>
              </w:rPr>
              <w:t>建筑设计防火规范（2018年版）</w:t>
            </w:r>
            <w:r>
              <w:rPr>
                <w:rFonts w:hint="eastAsia" w:ascii="宋体" w:hAnsi="宋体" w:eastAsia="宋体" w:cs="宋体"/>
                <w:color w:val="000000"/>
                <w:sz w:val="21"/>
                <w:szCs w:val="21"/>
                <w:lang w:eastAsia="zh-CN"/>
              </w:rPr>
              <w:t>》（</w:t>
            </w:r>
            <w:r>
              <w:rPr>
                <w:rFonts w:hint="eastAsia" w:cs="宋体"/>
                <w:color w:val="000000"/>
                <w:sz w:val="21"/>
                <w:szCs w:val="21"/>
                <w:lang w:eastAsia="zh-CN"/>
              </w:rPr>
              <w:t>GB50016-2014</w:t>
            </w:r>
            <w:r>
              <w:rPr>
                <w:rFonts w:hint="eastAsia" w:ascii="宋体" w:hAnsi="宋体" w:eastAsia="宋体" w:cs="宋体"/>
                <w:color w:val="000000"/>
                <w:sz w:val="21"/>
                <w:szCs w:val="21"/>
                <w:lang w:eastAsia="zh-CN"/>
              </w:rPr>
              <w:t>）3.3.</w:t>
            </w:r>
            <w:r>
              <w:rPr>
                <w:rFonts w:hint="eastAsia" w:ascii="宋体" w:hAnsi="宋体" w:eastAsia="宋体" w:cs="宋体"/>
                <w:color w:val="000000"/>
                <w:sz w:val="21"/>
                <w:szCs w:val="21"/>
                <w:lang w:val="en-US" w:eastAsia="zh-CN"/>
              </w:rPr>
              <w:t>9</w:t>
            </w:r>
          </w:p>
        </w:tc>
        <w:tc>
          <w:tcPr>
            <w:tcW w:w="846" w:type="pct"/>
            <w:tcBorders>
              <w:tl2br w:val="nil"/>
              <w:tr2bl w:val="nil"/>
            </w:tcBorders>
            <w:noWrap w:val="0"/>
            <w:vAlign w:val="center"/>
          </w:tcPr>
          <w:p w14:paraId="2D2E529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仓库内未设置办公室、休息室、员工宿舍。</w:t>
            </w:r>
          </w:p>
        </w:tc>
        <w:tc>
          <w:tcPr>
            <w:tcW w:w="517" w:type="pct"/>
            <w:tcBorders>
              <w:tl2br w:val="nil"/>
              <w:tr2bl w:val="nil"/>
            </w:tcBorders>
            <w:noWrap w:val="0"/>
            <w:vAlign w:val="center"/>
          </w:tcPr>
          <w:p w14:paraId="7E728636">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zh-CN"/>
              </w:rPr>
            </w:pPr>
            <w:r>
              <w:rPr>
                <w:rFonts w:hint="eastAsia" w:ascii="宋体" w:hAnsi="宋体" w:eastAsia="宋体" w:cs="宋体"/>
                <w:color w:val="000000"/>
                <w:sz w:val="21"/>
                <w:szCs w:val="21"/>
              </w:rPr>
              <w:t>符合要求</w:t>
            </w:r>
          </w:p>
        </w:tc>
      </w:tr>
      <w:tr w14:paraId="6A91DF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79C3C35C">
            <w:pPr>
              <w:keepNext w:val="0"/>
              <w:keepLines w:val="0"/>
              <w:pageBreakBefore w:val="0"/>
              <w:widowControl w:val="0"/>
              <w:numPr>
                <w:ilvl w:val="0"/>
                <w:numId w:val="97"/>
              </w:numPr>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33C1EFEA">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除本规范另有规定外，厂房之间及</w:t>
            </w:r>
            <w:r>
              <w:rPr>
                <w:rFonts w:hint="eastAsia" w:cs="宋体"/>
                <w:color w:val="000000"/>
                <w:kern w:val="0"/>
                <w:sz w:val="21"/>
                <w:szCs w:val="21"/>
                <w:lang w:eastAsia="zh-CN"/>
              </w:rPr>
              <w:t>乙</w:t>
            </w:r>
            <w:r>
              <w:rPr>
                <w:rFonts w:hint="eastAsia" w:ascii="宋体" w:hAnsi="宋体" w:eastAsia="宋体" w:cs="宋体"/>
                <w:color w:val="000000"/>
                <w:kern w:val="0"/>
                <w:sz w:val="21"/>
                <w:szCs w:val="21"/>
              </w:rPr>
              <w:t>、丙、丁、戊类仓库、民用建筑等的防火间距不应小于表3.</w:t>
            </w:r>
            <w:r>
              <w:rPr>
                <w:rFonts w:hint="eastAsia" w:ascii="宋体" w:hAnsi="宋体" w:eastAsia="宋体" w:cs="宋体"/>
                <w:color w:val="000000"/>
                <w:kern w:val="0"/>
                <w:sz w:val="21"/>
                <w:szCs w:val="21"/>
                <w:lang w:val="en-US" w:eastAsia="zh-CN"/>
              </w:rPr>
              <w:t>4</w:t>
            </w:r>
            <w:r>
              <w:rPr>
                <w:rFonts w:hint="eastAsia" w:ascii="宋体" w:hAnsi="宋体" w:eastAsia="宋体" w:cs="宋体"/>
                <w:color w:val="000000"/>
                <w:kern w:val="0"/>
                <w:sz w:val="21"/>
                <w:szCs w:val="21"/>
              </w:rPr>
              <w:t>.1的规定</w:t>
            </w:r>
            <w:r>
              <w:rPr>
                <w:rFonts w:hint="eastAsia" w:cs="宋体"/>
                <w:color w:val="000000"/>
                <w:kern w:val="0"/>
                <w:sz w:val="21"/>
                <w:szCs w:val="21"/>
                <w:lang w:eastAsia="zh-CN"/>
              </w:rPr>
              <w:t>。</w:t>
            </w:r>
          </w:p>
        </w:tc>
        <w:tc>
          <w:tcPr>
            <w:tcW w:w="1066" w:type="pct"/>
            <w:tcBorders>
              <w:tl2br w:val="nil"/>
              <w:tr2bl w:val="nil"/>
            </w:tcBorders>
            <w:noWrap w:val="0"/>
            <w:vAlign w:val="center"/>
          </w:tcPr>
          <w:p w14:paraId="593852C0">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w:t>
            </w:r>
            <w:r>
              <w:rPr>
                <w:rFonts w:hint="eastAsia" w:cs="宋体"/>
                <w:color w:val="000000"/>
                <w:sz w:val="21"/>
                <w:szCs w:val="21"/>
                <w:lang w:eastAsia="zh-CN"/>
              </w:rPr>
              <w:t>建筑设计防火规范（2018年版）</w:t>
            </w:r>
            <w:r>
              <w:rPr>
                <w:rFonts w:hint="eastAsia" w:ascii="宋体" w:hAnsi="宋体" w:eastAsia="宋体" w:cs="宋体"/>
                <w:color w:val="000000"/>
                <w:sz w:val="21"/>
                <w:szCs w:val="21"/>
                <w:lang w:eastAsia="zh-CN"/>
              </w:rPr>
              <w:t>》（</w:t>
            </w:r>
            <w:r>
              <w:rPr>
                <w:rFonts w:hint="eastAsia" w:cs="宋体"/>
                <w:color w:val="000000"/>
                <w:sz w:val="21"/>
                <w:szCs w:val="21"/>
                <w:lang w:eastAsia="zh-CN"/>
              </w:rPr>
              <w:t>GB50016-2014</w:t>
            </w:r>
            <w:r>
              <w:rPr>
                <w:rFonts w:hint="eastAsia" w:ascii="宋体" w:hAnsi="宋体" w:eastAsia="宋体" w:cs="宋体"/>
                <w:color w:val="000000"/>
                <w:sz w:val="21"/>
                <w:szCs w:val="21"/>
                <w:lang w:eastAsia="zh-CN"/>
              </w:rPr>
              <w:t>）3.4.1</w:t>
            </w:r>
          </w:p>
        </w:tc>
        <w:tc>
          <w:tcPr>
            <w:tcW w:w="846" w:type="pct"/>
            <w:tcBorders>
              <w:tl2br w:val="nil"/>
              <w:tr2bl w:val="nil"/>
            </w:tcBorders>
            <w:noWrap w:val="0"/>
            <w:vAlign w:val="center"/>
          </w:tcPr>
          <w:p w14:paraId="7006707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厂房之间及其与仓库的距离符合要求。</w:t>
            </w:r>
          </w:p>
        </w:tc>
        <w:tc>
          <w:tcPr>
            <w:tcW w:w="517" w:type="pct"/>
            <w:tcBorders>
              <w:tl2br w:val="nil"/>
              <w:tr2bl w:val="nil"/>
            </w:tcBorders>
            <w:noWrap w:val="0"/>
            <w:vAlign w:val="center"/>
          </w:tcPr>
          <w:p w14:paraId="5E7C95B3">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符合要求</w:t>
            </w:r>
          </w:p>
        </w:tc>
      </w:tr>
      <w:tr w14:paraId="14CA98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2163763F">
            <w:pPr>
              <w:keepNext w:val="0"/>
              <w:keepLines w:val="0"/>
              <w:pageBreakBefore w:val="0"/>
              <w:widowControl w:val="0"/>
              <w:numPr>
                <w:ilvl w:val="0"/>
                <w:numId w:val="97"/>
              </w:numPr>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4708220E">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厂区围墙与厂内建筑之间的间距不宜小于5.0m，且围墙两侧的建筑之间还应满足相应的防火间距要求。</w:t>
            </w:r>
          </w:p>
        </w:tc>
        <w:tc>
          <w:tcPr>
            <w:tcW w:w="1066" w:type="pct"/>
            <w:tcBorders>
              <w:tl2br w:val="nil"/>
              <w:tr2bl w:val="nil"/>
            </w:tcBorders>
            <w:noWrap w:val="0"/>
            <w:vAlign w:val="center"/>
          </w:tcPr>
          <w:p w14:paraId="36FA122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w:t>
            </w:r>
            <w:r>
              <w:rPr>
                <w:rFonts w:hint="eastAsia" w:cs="宋体"/>
                <w:color w:val="000000"/>
                <w:sz w:val="21"/>
                <w:szCs w:val="21"/>
                <w:lang w:eastAsia="zh-CN"/>
              </w:rPr>
              <w:t>建筑设计防火规范（2018年版）</w:t>
            </w:r>
            <w:r>
              <w:rPr>
                <w:rFonts w:hint="eastAsia" w:ascii="宋体" w:hAnsi="宋体" w:eastAsia="宋体" w:cs="宋体"/>
                <w:color w:val="000000"/>
                <w:sz w:val="21"/>
                <w:szCs w:val="21"/>
                <w:lang w:eastAsia="zh-CN"/>
              </w:rPr>
              <w:t>》（</w:t>
            </w:r>
            <w:r>
              <w:rPr>
                <w:rFonts w:hint="eastAsia" w:cs="宋体"/>
                <w:color w:val="000000"/>
                <w:sz w:val="21"/>
                <w:szCs w:val="21"/>
                <w:lang w:eastAsia="zh-CN"/>
              </w:rPr>
              <w:t>GB50016-2014</w:t>
            </w:r>
            <w:r>
              <w:rPr>
                <w:rFonts w:hint="eastAsia" w:ascii="宋体" w:hAnsi="宋体" w:eastAsia="宋体" w:cs="宋体"/>
                <w:color w:val="000000"/>
                <w:sz w:val="21"/>
                <w:szCs w:val="21"/>
                <w:lang w:eastAsia="zh-CN"/>
              </w:rPr>
              <w:t>）3.4.12</w:t>
            </w:r>
          </w:p>
        </w:tc>
        <w:tc>
          <w:tcPr>
            <w:tcW w:w="846" w:type="pct"/>
            <w:tcBorders>
              <w:tl2br w:val="nil"/>
              <w:tr2bl w:val="nil"/>
            </w:tcBorders>
            <w:noWrap w:val="0"/>
            <w:vAlign w:val="center"/>
          </w:tcPr>
          <w:p w14:paraId="26E1D69F">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厂内建筑物与围墙距离均大于5m。</w:t>
            </w:r>
          </w:p>
        </w:tc>
        <w:tc>
          <w:tcPr>
            <w:tcW w:w="517" w:type="pct"/>
            <w:tcBorders>
              <w:tl2br w:val="nil"/>
              <w:tr2bl w:val="nil"/>
            </w:tcBorders>
            <w:noWrap w:val="0"/>
            <w:vAlign w:val="center"/>
          </w:tcPr>
          <w:p w14:paraId="09275AEC">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kern w:val="0"/>
                <w:sz w:val="21"/>
                <w:szCs w:val="21"/>
                <w:lang w:val="zh-CN"/>
              </w:rPr>
            </w:pPr>
            <w:r>
              <w:rPr>
                <w:rFonts w:hint="eastAsia" w:ascii="宋体" w:hAnsi="宋体" w:eastAsia="宋体" w:cs="宋体"/>
                <w:color w:val="000000"/>
                <w:kern w:val="0"/>
                <w:sz w:val="21"/>
                <w:szCs w:val="21"/>
                <w:lang w:val="zh-CN"/>
              </w:rPr>
              <w:t>符合要求</w:t>
            </w:r>
          </w:p>
        </w:tc>
      </w:tr>
      <w:tr w14:paraId="40C7D5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0" w:hRule="atLeast"/>
          <w:jc w:val="center"/>
        </w:trPr>
        <w:tc>
          <w:tcPr>
            <w:tcW w:w="262" w:type="pct"/>
            <w:tcBorders>
              <w:tl2br w:val="nil"/>
              <w:tr2bl w:val="nil"/>
            </w:tcBorders>
            <w:noWrap w:val="0"/>
            <w:vAlign w:val="center"/>
          </w:tcPr>
          <w:p w14:paraId="2CF45A22">
            <w:pPr>
              <w:keepNext w:val="0"/>
              <w:keepLines w:val="0"/>
              <w:pageBreakBefore w:val="0"/>
              <w:widowControl w:val="0"/>
              <w:numPr>
                <w:ilvl w:val="0"/>
                <w:numId w:val="97"/>
              </w:numPr>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rPr>
            </w:pPr>
          </w:p>
        </w:tc>
        <w:tc>
          <w:tcPr>
            <w:tcW w:w="2308" w:type="pct"/>
            <w:tcBorders>
              <w:tl2br w:val="nil"/>
              <w:tr2bl w:val="nil"/>
            </w:tcBorders>
            <w:noWrap w:val="0"/>
            <w:vAlign w:val="center"/>
          </w:tcPr>
          <w:p w14:paraId="5D1D045B">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sz w:val="21"/>
                <w:szCs w:val="21"/>
              </w:rPr>
              <w:t>厂房、仓库的安全出口应分散布置。每个防火分区、一个防火分区的每个楼层，其相邻的2个安全出口最近边缘之间的水平距离不应小于5m。</w:t>
            </w:r>
          </w:p>
        </w:tc>
        <w:tc>
          <w:tcPr>
            <w:tcW w:w="1066" w:type="pct"/>
            <w:tcBorders>
              <w:tl2br w:val="nil"/>
              <w:tr2bl w:val="nil"/>
            </w:tcBorders>
            <w:noWrap w:val="0"/>
            <w:vAlign w:val="center"/>
          </w:tcPr>
          <w:p w14:paraId="2E99E41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w:t>
            </w:r>
            <w:r>
              <w:rPr>
                <w:rFonts w:hint="eastAsia" w:cs="宋体"/>
                <w:color w:val="000000"/>
                <w:sz w:val="21"/>
                <w:szCs w:val="21"/>
                <w:lang w:eastAsia="zh-CN"/>
              </w:rPr>
              <w:t>建筑设计防火规范（2018年版）</w:t>
            </w:r>
            <w:r>
              <w:rPr>
                <w:rFonts w:hint="eastAsia" w:ascii="宋体" w:hAnsi="宋体" w:eastAsia="宋体" w:cs="宋体"/>
                <w:color w:val="000000"/>
                <w:sz w:val="21"/>
                <w:szCs w:val="21"/>
                <w:lang w:eastAsia="zh-CN"/>
              </w:rPr>
              <w:t>》（</w:t>
            </w:r>
            <w:r>
              <w:rPr>
                <w:rFonts w:hint="eastAsia" w:cs="宋体"/>
                <w:color w:val="000000"/>
                <w:sz w:val="21"/>
                <w:szCs w:val="21"/>
                <w:lang w:eastAsia="zh-CN"/>
              </w:rPr>
              <w:t>GB50016-2014</w:t>
            </w:r>
            <w:r>
              <w:rPr>
                <w:rFonts w:hint="eastAsia" w:ascii="宋体" w:hAnsi="宋体" w:eastAsia="宋体" w:cs="宋体"/>
                <w:color w:val="000000"/>
                <w:sz w:val="21"/>
                <w:szCs w:val="21"/>
                <w:lang w:eastAsia="zh-CN"/>
              </w:rPr>
              <w:t>）3.7.1</w:t>
            </w:r>
          </w:p>
        </w:tc>
        <w:tc>
          <w:tcPr>
            <w:tcW w:w="846" w:type="pct"/>
            <w:tcBorders>
              <w:tl2br w:val="nil"/>
              <w:tr2bl w:val="nil"/>
            </w:tcBorders>
            <w:noWrap w:val="0"/>
            <w:vAlign w:val="center"/>
          </w:tcPr>
          <w:p w14:paraId="2202798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sz w:val="21"/>
                <w:szCs w:val="21"/>
              </w:rPr>
              <w:t>安全出口分散布置，相邻出口水平距离大于5m</w:t>
            </w:r>
          </w:p>
        </w:tc>
        <w:tc>
          <w:tcPr>
            <w:tcW w:w="517" w:type="pct"/>
            <w:tcBorders>
              <w:tl2br w:val="nil"/>
              <w:tr2bl w:val="nil"/>
            </w:tcBorders>
            <w:noWrap w:val="0"/>
            <w:vAlign w:val="center"/>
          </w:tcPr>
          <w:p w14:paraId="6CA34E87">
            <w:pPr>
              <w:keepNext w:val="0"/>
              <w:keepLines w:val="0"/>
              <w:pageBreakBefore w:val="0"/>
              <w:widowControl w:val="0"/>
              <w:suppressLineNumbers w:val="0"/>
              <w:kinsoku/>
              <w:wordWrap/>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000000"/>
                <w:kern w:val="2"/>
                <w:sz w:val="21"/>
                <w:szCs w:val="21"/>
                <w:lang w:val="zh-CN" w:eastAsia="zh-CN" w:bidi="ar-SA"/>
              </w:rPr>
            </w:pPr>
            <w:r>
              <w:rPr>
                <w:rFonts w:hint="eastAsia" w:ascii="宋体" w:hAnsi="宋体" w:eastAsia="宋体" w:cs="宋体"/>
                <w:color w:val="000000"/>
                <w:sz w:val="21"/>
                <w:szCs w:val="21"/>
                <w:lang w:val="zh-CN"/>
              </w:rPr>
              <w:t>符合要求</w:t>
            </w:r>
          </w:p>
        </w:tc>
      </w:tr>
    </w:tbl>
    <w:p w14:paraId="06743155">
      <w:pPr>
        <w:keepNext w:val="0"/>
        <w:keepLines w:val="0"/>
        <w:pageBreakBefore w:val="0"/>
        <w:widowControl w:val="0"/>
        <w:kinsoku/>
        <w:bidi w:val="0"/>
        <w:rPr>
          <w:rFonts w:hint="eastAsia"/>
          <w:lang w:val="en-US" w:eastAsia="zh-CN"/>
        </w:rPr>
      </w:pPr>
      <w:bookmarkStart w:id="993" w:name="_Toc7855"/>
      <w:r>
        <w:rPr>
          <w:rFonts w:hint="eastAsia"/>
        </w:rPr>
        <w:t>通过</w:t>
      </w:r>
      <w:r>
        <w:rPr>
          <w:rFonts w:hint="eastAsia"/>
          <w:lang w:val="en-US" w:eastAsia="zh-CN"/>
        </w:rPr>
        <w:t>检查，</w:t>
      </w:r>
      <w:r>
        <w:rPr>
          <w:rFonts w:hint="eastAsia"/>
        </w:rPr>
        <w:t>该项目选址、总平面布置及建构筑物等相关内容</w:t>
      </w:r>
      <w:r>
        <w:rPr>
          <w:rFonts w:hint="eastAsia"/>
          <w:lang w:val="en-US" w:eastAsia="zh-CN"/>
        </w:rPr>
        <w:t>均符合规范要求。</w:t>
      </w:r>
    </w:p>
    <w:p w14:paraId="4600E7C1">
      <w:pPr>
        <w:pStyle w:val="4"/>
        <w:keepNext w:val="0"/>
        <w:keepLines w:val="0"/>
        <w:pageBreakBefore w:val="0"/>
        <w:widowControl w:val="0"/>
        <w:kinsoku/>
        <w:bidi w:val="0"/>
        <w:ind w:left="720" w:leftChars="0" w:hanging="720" w:firstLineChars="0"/>
      </w:pPr>
      <w:bookmarkStart w:id="994" w:name="_Toc4367"/>
      <w:r>
        <w:rPr>
          <w:rFonts w:hint="eastAsia"/>
        </w:rPr>
        <w:t>选址、总平面布置及建构筑物单元符合性评价结果</w:t>
      </w:r>
      <w:bookmarkEnd w:id="994"/>
    </w:p>
    <w:p w14:paraId="17D1CCB0">
      <w:pPr>
        <w:bidi w:val="0"/>
        <w:rPr>
          <w:rFonts w:hint="default"/>
          <w:lang w:val="en-US" w:eastAsia="zh-CN"/>
        </w:rPr>
      </w:pPr>
      <w:r>
        <w:rPr>
          <w:rFonts w:hint="eastAsia"/>
          <w:lang w:val="en-US" w:eastAsia="zh-CN"/>
        </w:rPr>
        <w:t>根据检查，</w:t>
      </w:r>
      <w:r>
        <w:rPr>
          <w:rFonts w:hint="eastAsia"/>
        </w:rPr>
        <w:t>该项目选址、总平面布置及建构筑物等相关内容</w:t>
      </w:r>
      <w:r>
        <w:rPr>
          <w:rFonts w:hint="eastAsia"/>
          <w:lang w:val="en-US" w:eastAsia="zh-CN"/>
        </w:rPr>
        <w:t>总体</w:t>
      </w:r>
      <w:r>
        <w:rPr>
          <w:rFonts w:hint="eastAsia"/>
        </w:rPr>
        <w:t>符合</w:t>
      </w:r>
      <w:r>
        <w:rPr>
          <w:rFonts w:hint="eastAsia"/>
          <w:lang w:eastAsia="zh-CN"/>
        </w:rPr>
        <w:t>《建筑设计防火规范（2018年版）》（GB 50016-2014）</w:t>
      </w:r>
      <w:r>
        <w:rPr>
          <w:rFonts w:hint="eastAsia"/>
        </w:rPr>
        <w:t>、《工业企业总平面设计规范》</w:t>
      </w:r>
      <w:r>
        <w:rPr>
          <w:rFonts w:hint="eastAsia"/>
          <w:lang w:eastAsia="zh-CN"/>
        </w:rPr>
        <w:t>（GB 50187-2012）</w:t>
      </w:r>
      <w:r>
        <w:rPr>
          <w:rFonts w:hint="eastAsia"/>
        </w:rPr>
        <w:t>等相关标准、规范的要求。</w:t>
      </w:r>
    </w:p>
    <w:bookmarkEnd w:id="986"/>
    <w:bookmarkEnd w:id="987"/>
    <w:bookmarkEnd w:id="988"/>
    <w:bookmarkEnd w:id="989"/>
    <w:bookmarkEnd w:id="990"/>
    <w:bookmarkEnd w:id="991"/>
    <w:bookmarkEnd w:id="993"/>
    <w:p w14:paraId="76B1903B">
      <w:pPr>
        <w:pStyle w:val="3"/>
        <w:keepNext w:val="0"/>
        <w:keepLines w:val="0"/>
        <w:pageBreakBefore w:val="0"/>
        <w:widowControl w:val="0"/>
        <w:kinsoku/>
        <w:bidi w:val="0"/>
        <w:rPr>
          <w:rFonts w:hint="default"/>
          <w:lang w:val="en-US" w:eastAsia="zh-CN"/>
        </w:rPr>
      </w:pPr>
      <w:bookmarkStart w:id="995" w:name="_Toc881"/>
      <w:bookmarkStart w:id="996" w:name="_Toc8432"/>
      <w:bookmarkStart w:id="997" w:name="_Toc46697242"/>
      <w:bookmarkStart w:id="998" w:name="_Toc60925416"/>
      <w:bookmarkStart w:id="999" w:name="_Toc55945307"/>
      <w:r>
        <w:rPr>
          <w:rFonts w:hint="eastAsia"/>
          <w:lang w:val="en-US" w:eastAsia="zh-CN"/>
        </w:rPr>
        <w:t>物料、产品安全性评价单元</w:t>
      </w:r>
      <w:bookmarkEnd w:id="995"/>
      <w:bookmarkEnd w:id="996"/>
    </w:p>
    <w:p w14:paraId="0EA38AC8">
      <w:pPr>
        <w:pStyle w:val="4"/>
        <w:keepNext w:val="0"/>
        <w:keepLines w:val="0"/>
        <w:pageBreakBefore w:val="0"/>
        <w:widowControl w:val="0"/>
        <w:kinsoku/>
        <w:bidi w:val="0"/>
        <w:rPr>
          <w:rFonts w:hint="default"/>
          <w:lang w:val="en-US" w:eastAsia="zh-CN"/>
        </w:rPr>
      </w:pPr>
      <w:bookmarkStart w:id="1000" w:name="_Toc28238"/>
      <w:r>
        <w:rPr>
          <w:rFonts w:hint="eastAsia"/>
          <w:lang w:val="en-US" w:eastAsia="zh-CN"/>
        </w:rPr>
        <w:t>物料、产品安全性评价单元符合性检查</w:t>
      </w:r>
      <w:bookmarkEnd w:id="1000"/>
    </w:p>
    <w:p w14:paraId="1EEE1E0B">
      <w:pPr>
        <w:bidi w:val="0"/>
        <w:rPr>
          <w:rFonts w:hint="eastAsia" w:ascii="宋体" w:hAnsi="宋体" w:eastAsia="宋体" w:cs="宋体"/>
          <w:szCs w:val="28"/>
        </w:rPr>
      </w:pPr>
      <w:r>
        <w:rPr>
          <w:rFonts w:hint="eastAsia"/>
        </w:rPr>
        <w:t>本节采用安全检查表</w:t>
      </w:r>
      <w:r>
        <w:rPr>
          <w:rFonts w:hint="eastAsia"/>
          <w:lang w:eastAsia="zh-CN"/>
        </w:rPr>
        <w:t>评价方法</w:t>
      </w:r>
      <w:r>
        <w:rPr>
          <w:rFonts w:hint="eastAsia"/>
        </w:rPr>
        <w:t>，依据《生产过程安全卫生要求总则》（GB/T12801-2008）等规范标准对本项目</w:t>
      </w:r>
      <w:r>
        <w:rPr>
          <w:rFonts w:hint="eastAsia"/>
          <w:lang w:val="en-US" w:eastAsia="zh-CN"/>
        </w:rPr>
        <w:t>物料、产品在生产、输送、储存、使用、废弃等环节的防范措施是否符合相关规范进行符合性评价</w:t>
      </w:r>
      <w:r>
        <w:rPr>
          <w:rFonts w:hint="eastAsia"/>
        </w:rPr>
        <w:t>。</w:t>
      </w:r>
    </w:p>
    <w:p w14:paraId="16265A72">
      <w:pPr>
        <w:pStyle w:val="12"/>
        <w:keepNext w:val="0"/>
        <w:keepLines w:val="0"/>
        <w:pageBreakBefore w:val="0"/>
        <w:widowControl w:val="0"/>
        <w:kinsoku/>
        <w:wordWrap/>
        <w:bidi w:val="0"/>
        <w:rPr>
          <w:rFonts w:hint="eastAsia"/>
          <w:lang w:val="en-US" w:eastAsia="zh-CN"/>
        </w:rPr>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3</w:t>
      </w:r>
      <w:r>
        <w:rPr>
          <w:rFonts w:hint="eastAsia"/>
          <w:lang w:val="en-US" w:eastAsia="zh-CN"/>
        </w:rPr>
        <w:fldChar w:fldCharType="end"/>
      </w:r>
      <w:r>
        <w:rPr>
          <w:rFonts w:hint="eastAsia"/>
          <w:lang w:val="en-US" w:eastAsia="zh-CN"/>
        </w:rPr>
        <w:t>物料、产品安全性符合性安全检查表</w:t>
      </w:r>
    </w:p>
    <w:tbl>
      <w:tblPr>
        <w:tblStyle w:val="32"/>
        <w:tblW w:w="854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4"/>
        <w:gridCol w:w="3975"/>
        <w:gridCol w:w="1755"/>
        <w:gridCol w:w="1650"/>
        <w:gridCol w:w="524"/>
      </w:tblGrid>
      <w:tr w14:paraId="7814DB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44" w:type="dxa"/>
            <w:tcBorders>
              <w:tl2br w:val="nil"/>
              <w:tr2bl w:val="nil"/>
            </w:tcBorders>
            <w:noWrap w:val="0"/>
            <w:vAlign w:val="center"/>
          </w:tcPr>
          <w:p w14:paraId="4EECA27F">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3975" w:type="dxa"/>
            <w:tcBorders>
              <w:tl2br w:val="nil"/>
              <w:tr2bl w:val="nil"/>
            </w:tcBorders>
            <w:noWrap w:val="0"/>
            <w:vAlign w:val="center"/>
          </w:tcPr>
          <w:p w14:paraId="14240C66">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检查内容</w:t>
            </w:r>
          </w:p>
        </w:tc>
        <w:tc>
          <w:tcPr>
            <w:tcW w:w="1755" w:type="dxa"/>
            <w:tcBorders>
              <w:tl2br w:val="nil"/>
              <w:tr2bl w:val="nil"/>
            </w:tcBorders>
            <w:noWrap w:val="0"/>
            <w:vAlign w:val="center"/>
          </w:tcPr>
          <w:p w14:paraId="794025A6">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依据标准</w:t>
            </w:r>
          </w:p>
        </w:tc>
        <w:tc>
          <w:tcPr>
            <w:tcW w:w="1650" w:type="dxa"/>
            <w:tcBorders>
              <w:tl2br w:val="nil"/>
              <w:tr2bl w:val="nil"/>
            </w:tcBorders>
            <w:noWrap w:val="0"/>
            <w:vAlign w:val="center"/>
          </w:tcPr>
          <w:p w14:paraId="61E72C94">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检查情况</w:t>
            </w:r>
          </w:p>
        </w:tc>
        <w:tc>
          <w:tcPr>
            <w:tcW w:w="524" w:type="dxa"/>
            <w:tcBorders>
              <w:tl2br w:val="nil"/>
              <w:tr2bl w:val="nil"/>
            </w:tcBorders>
            <w:noWrap w:val="0"/>
            <w:vAlign w:val="center"/>
          </w:tcPr>
          <w:p w14:paraId="2EB105FA">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结论</w:t>
            </w:r>
          </w:p>
        </w:tc>
      </w:tr>
      <w:tr w14:paraId="38AE9C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4" w:type="dxa"/>
            <w:tcBorders>
              <w:tl2br w:val="nil"/>
              <w:tr2bl w:val="nil"/>
            </w:tcBorders>
            <w:noWrap w:val="0"/>
            <w:vAlign w:val="center"/>
          </w:tcPr>
          <w:p w14:paraId="53924B17">
            <w:pPr>
              <w:keepNext w:val="0"/>
              <w:keepLines w:val="0"/>
              <w:pageBreakBefore w:val="0"/>
              <w:widowControl w:val="0"/>
              <w:numPr>
                <w:ilvl w:val="0"/>
                <w:numId w:val="106"/>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3975" w:type="dxa"/>
            <w:tcBorders>
              <w:tl2br w:val="nil"/>
              <w:tr2bl w:val="nil"/>
            </w:tcBorders>
            <w:noWrap w:val="0"/>
            <w:vAlign w:val="center"/>
          </w:tcPr>
          <w:p w14:paraId="7E07EC05">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应优先选用无毒和低毒的生产物料。若使用给人员带来危险和有害作用的生产物料时，则应采取相应的防护措施，并制定使用、处理、储存和运输的安全、卫生标准。</w:t>
            </w:r>
          </w:p>
        </w:tc>
        <w:tc>
          <w:tcPr>
            <w:tcW w:w="1755" w:type="dxa"/>
            <w:tcBorders>
              <w:tl2br w:val="nil"/>
              <w:tr2bl w:val="nil"/>
            </w:tcBorders>
            <w:noWrap w:val="0"/>
            <w:vAlign w:val="center"/>
          </w:tcPr>
          <w:p w14:paraId="43811636">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《生产过程安全卫生要求总则》</w:t>
            </w:r>
          </w:p>
          <w:p w14:paraId="4608EA71">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（GB/T12801-2008）</w:t>
            </w:r>
          </w:p>
          <w:p w14:paraId="60A32592">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第5.</w:t>
            </w:r>
            <w:r>
              <w:rPr>
                <w:rFonts w:hint="eastAsia"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.1条</w:t>
            </w:r>
          </w:p>
        </w:tc>
        <w:tc>
          <w:tcPr>
            <w:tcW w:w="1650" w:type="dxa"/>
            <w:tcBorders>
              <w:tl2br w:val="nil"/>
              <w:tr2bl w:val="nil"/>
            </w:tcBorders>
            <w:noWrap w:val="0"/>
            <w:vAlign w:val="center"/>
          </w:tcPr>
          <w:p w14:paraId="272D37E8">
            <w:pPr>
              <w:keepNext w:val="0"/>
              <w:keepLines w:val="0"/>
              <w:pageBreakBefore w:val="0"/>
              <w:widowControl w:val="0"/>
              <w:suppressLineNumbers w:val="0"/>
              <w:tabs>
                <w:tab w:val="left" w:pos="2898"/>
              </w:tabs>
              <w:kinsoku/>
              <w:wordWrap/>
              <w:bidi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本项目所使用的</w:t>
            </w:r>
            <w:r>
              <w:rPr>
                <w:rFonts w:hint="eastAsia" w:ascii="Times New Roman" w:hAnsi="Times New Roman" w:eastAsia="宋体" w:cs="Times New Roman"/>
                <w:sz w:val="21"/>
                <w:szCs w:val="21"/>
                <w:lang w:val="en-US" w:eastAsia="zh-CN"/>
              </w:rPr>
              <w:t>生产物料按要求选用无毒和低毒的物料。并在使用给人员带来危险和有害作用的生产物料时，采取相应的防护措施，并制定使用、处理、储存和运输的安全、卫生标准。</w:t>
            </w:r>
          </w:p>
        </w:tc>
        <w:tc>
          <w:tcPr>
            <w:tcW w:w="524" w:type="dxa"/>
            <w:tcBorders>
              <w:tl2br w:val="nil"/>
              <w:tr2bl w:val="nil"/>
            </w:tcBorders>
            <w:noWrap w:val="0"/>
            <w:vAlign w:val="center"/>
          </w:tcPr>
          <w:p w14:paraId="543F542B">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4C41D9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4" w:type="dxa"/>
            <w:tcBorders>
              <w:tl2br w:val="nil"/>
              <w:tr2bl w:val="nil"/>
            </w:tcBorders>
            <w:noWrap w:val="0"/>
            <w:vAlign w:val="center"/>
          </w:tcPr>
          <w:p w14:paraId="2E7F07D8">
            <w:pPr>
              <w:keepNext w:val="0"/>
              <w:keepLines w:val="0"/>
              <w:pageBreakBefore w:val="0"/>
              <w:widowControl w:val="0"/>
              <w:numPr>
                <w:ilvl w:val="0"/>
                <w:numId w:val="106"/>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3975" w:type="dxa"/>
            <w:tcBorders>
              <w:tl2br w:val="nil"/>
              <w:tr2bl w:val="nil"/>
            </w:tcBorders>
            <w:noWrap w:val="0"/>
            <w:vAlign w:val="center"/>
          </w:tcPr>
          <w:p w14:paraId="67469E9D">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对不易搬运的物料，应设置或采用便于吊装及搬运的装置或设施</w:t>
            </w:r>
            <w:r>
              <w:rPr>
                <w:rFonts w:hint="eastAsia" w:ascii="Times New Roman" w:hAnsi="Times New Roman" w:eastAsia="宋体" w:cs="Times New Roman"/>
                <w:sz w:val="21"/>
                <w:szCs w:val="21"/>
                <w:lang w:val="en-US" w:eastAsia="zh-CN"/>
              </w:rPr>
              <w:t>。</w:t>
            </w:r>
          </w:p>
        </w:tc>
        <w:tc>
          <w:tcPr>
            <w:tcW w:w="1755" w:type="dxa"/>
            <w:tcBorders>
              <w:tl2br w:val="nil"/>
              <w:tr2bl w:val="nil"/>
            </w:tcBorders>
            <w:noWrap w:val="0"/>
            <w:vAlign w:val="center"/>
          </w:tcPr>
          <w:p w14:paraId="4A868BFB">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《生产过程安全卫生要求总则》</w:t>
            </w:r>
          </w:p>
          <w:p w14:paraId="3C897F13">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（GB/T12801-2008）</w:t>
            </w:r>
          </w:p>
          <w:p w14:paraId="7822ECB9">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第5.</w:t>
            </w:r>
            <w:r>
              <w:rPr>
                <w:rFonts w:hint="eastAsia"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条</w:t>
            </w:r>
          </w:p>
        </w:tc>
        <w:tc>
          <w:tcPr>
            <w:tcW w:w="1650" w:type="dxa"/>
            <w:tcBorders>
              <w:tl2br w:val="nil"/>
              <w:tr2bl w:val="nil"/>
            </w:tcBorders>
            <w:noWrap w:val="0"/>
            <w:vAlign w:val="center"/>
          </w:tcPr>
          <w:p w14:paraId="49077D4C">
            <w:pPr>
              <w:keepNext w:val="0"/>
              <w:keepLines w:val="0"/>
              <w:pageBreakBefore w:val="0"/>
              <w:widowControl w:val="0"/>
              <w:suppressLineNumbers w:val="0"/>
              <w:tabs>
                <w:tab w:val="left" w:pos="2898"/>
              </w:tabs>
              <w:kinsoku/>
              <w:wordWrap/>
              <w:bidi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项目使用</w:t>
            </w:r>
            <w:r>
              <w:rPr>
                <w:rFonts w:hint="eastAsia" w:ascii="Times New Roman" w:hAnsi="Times New Roman" w:cs="Times New Roman"/>
                <w:sz w:val="21"/>
                <w:szCs w:val="21"/>
                <w:lang w:val="en-US" w:eastAsia="zh-CN"/>
              </w:rPr>
              <w:t>起重机和</w:t>
            </w:r>
            <w:r>
              <w:rPr>
                <w:rFonts w:hint="eastAsia" w:ascii="Times New Roman" w:hAnsi="Times New Roman" w:eastAsia="宋体" w:cs="Times New Roman"/>
                <w:sz w:val="21"/>
                <w:szCs w:val="21"/>
                <w:lang w:val="en-US" w:eastAsia="zh-CN"/>
              </w:rPr>
              <w:t>叉车</w:t>
            </w:r>
            <w:r>
              <w:rPr>
                <w:rFonts w:hint="eastAsia" w:ascii="Times New Roman" w:hAnsi="Times New Roman" w:cs="Times New Roman"/>
                <w:sz w:val="21"/>
                <w:szCs w:val="21"/>
                <w:lang w:val="en-US" w:eastAsia="zh-CN"/>
              </w:rPr>
              <w:t>进行物料转运、</w:t>
            </w:r>
            <w:r>
              <w:rPr>
                <w:rFonts w:hint="eastAsia" w:ascii="Times New Roman" w:hAnsi="Times New Roman" w:eastAsia="宋体" w:cs="Times New Roman"/>
                <w:sz w:val="21"/>
                <w:szCs w:val="21"/>
                <w:lang w:val="en-US" w:eastAsia="zh-CN"/>
              </w:rPr>
              <w:t>装卸。</w:t>
            </w:r>
          </w:p>
        </w:tc>
        <w:tc>
          <w:tcPr>
            <w:tcW w:w="524" w:type="dxa"/>
            <w:tcBorders>
              <w:tl2br w:val="nil"/>
              <w:tr2bl w:val="nil"/>
            </w:tcBorders>
            <w:noWrap w:val="0"/>
            <w:vAlign w:val="center"/>
          </w:tcPr>
          <w:p w14:paraId="77E90553">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BC2F4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4" w:type="dxa"/>
            <w:tcBorders>
              <w:tl2br w:val="nil"/>
              <w:tr2bl w:val="nil"/>
            </w:tcBorders>
            <w:noWrap w:val="0"/>
            <w:vAlign w:val="center"/>
          </w:tcPr>
          <w:p w14:paraId="5C6E0324">
            <w:pPr>
              <w:keepNext w:val="0"/>
              <w:keepLines w:val="0"/>
              <w:pageBreakBefore w:val="0"/>
              <w:widowControl w:val="0"/>
              <w:numPr>
                <w:ilvl w:val="0"/>
                <w:numId w:val="106"/>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3975" w:type="dxa"/>
            <w:tcBorders>
              <w:tl2br w:val="nil"/>
              <w:tr2bl w:val="nil"/>
            </w:tcBorders>
            <w:noWrap w:val="0"/>
            <w:vAlign w:val="center"/>
          </w:tcPr>
          <w:p w14:paraId="4D54A005">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生产过程中废弃物的处置应符合有关安全卫生规定。</w:t>
            </w:r>
          </w:p>
        </w:tc>
        <w:tc>
          <w:tcPr>
            <w:tcW w:w="1755" w:type="dxa"/>
            <w:tcBorders>
              <w:tl2br w:val="nil"/>
              <w:tr2bl w:val="nil"/>
            </w:tcBorders>
            <w:noWrap w:val="0"/>
            <w:vAlign w:val="center"/>
          </w:tcPr>
          <w:p w14:paraId="600FC1CD">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《生产过程安全卫生要求总则》</w:t>
            </w:r>
          </w:p>
          <w:p w14:paraId="1165C0B4">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（GB/T12801-2008）</w:t>
            </w:r>
          </w:p>
          <w:p w14:paraId="4EC799D5">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第5.</w:t>
            </w:r>
            <w:r>
              <w:rPr>
                <w:rFonts w:hint="eastAsia"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条</w:t>
            </w:r>
          </w:p>
        </w:tc>
        <w:tc>
          <w:tcPr>
            <w:tcW w:w="1650" w:type="dxa"/>
            <w:tcBorders>
              <w:tl2br w:val="nil"/>
              <w:tr2bl w:val="nil"/>
            </w:tcBorders>
            <w:noWrap w:val="0"/>
            <w:vAlign w:val="center"/>
          </w:tcPr>
          <w:p w14:paraId="652452FB">
            <w:pPr>
              <w:keepNext w:val="0"/>
              <w:keepLines w:val="0"/>
              <w:pageBreakBefore w:val="0"/>
              <w:widowControl w:val="0"/>
              <w:suppressLineNumbers w:val="0"/>
              <w:tabs>
                <w:tab w:val="left" w:pos="2898"/>
              </w:tabs>
              <w:kinsoku/>
              <w:wordWrap/>
              <w:bidi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项目设置有专门的废弃物处置间，回收的废弃物按相关要求进行处置。</w:t>
            </w:r>
          </w:p>
        </w:tc>
        <w:tc>
          <w:tcPr>
            <w:tcW w:w="524" w:type="dxa"/>
            <w:tcBorders>
              <w:tl2br w:val="nil"/>
              <w:tr2bl w:val="nil"/>
            </w:tcBorders>
            <w:noWrap w:val="0"/>
            <w:vAlign w:val="center"/>
          </w:tcPr>
          <w:p w14:paraId="2A7F8DCF">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符合</w:t>
            </w:r>
          </w:p>
        </w:tc>
      </w:tr>
      <w:tr w14:paraId="1CF7C1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4" w:type="dxa"/>
            <w:tcBorders>
              <w:tl2br w:val="nil"/>
              <w:tr2bl w:val="nil"/>
            </w:tcBorders>
            <w:noWrap w:val="0"/>
            <w:vAlign w:val="center"/>
          </w:tcPr>
          <w:p w14:paraId="54D55C9F">
            <w:pPr>
              <w:keepNext w:val="0"/>
              <w:keepLines w:val="0"/>
              <w:pageBreakBefore w:val="0"/>
              <w:widowControl w:val="0"/>
              <w:numPr>
                <w:ilvl w:val="0"/>
                <w:numId w:val="106"/>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3975" w:type="dxa"/>
            <w:tcBorders>
              <w:tl2br w:val="nil"/>
              <w:tr2bl w:val="nil"/>
            </w:tcBorders>
            <w:noWrap w:val="0"/>
            <w:vAlign w:val="center"/>
          </w:tcPr>
          <w:p w14:paraId="4CFBFC4D">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要求</w:t>
            </w:r>
          </w:p>
          <w:p w14:paraId="60D8EFCC">
            <w:pPr>
              <w:keepNext w:val="0"/>
              <w:keepLines w:val="0"/>
              <w:pageBreakBefore w:val="0"/>
              <w:widowControl w:val="0"/>
              <w:numPr>
                <w:ilvl w:val="0"/>
                <w:numId w:val="107"/>
              </w:numPr>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应保证储存物品的平稳、安全。应标明物品名称、牌号、存入日期和其他注意事项；</w:t>
            </w:r>
          </w:p>
          <w:p w14:paraId="39CED97A">
            <w:pPr>
              <w:keepNext w:val="0"/>
              <w:keepLines w:val="0"/>
              <w:pageBreakBefore w:val="0"/>
              <w:widowControl w:val="0"/>
              <w:numPr>
                <w:ilvl w:val="0"/>
                <w:numId w:val="107"/>
              </w:numPr>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危险化学品应储存在专门的仓库中，并应有符合规定的包装，包装上应附有危险化学品安全标签；</w:t>
            </w:r>
          </w:p>
          <w:p w14:paraId="4CC22548">
            <w:pPr>
              <w:keepNext w:val="0"/>
              <w:keepLines w:val="0"/>
              <w:pageBreakBefore w:val="0"/>
              <w:widowControl w:val="0"/>
              <w:numPr>
                <w:ilvl w:val="0"/>
                <w:numId w:val="107"/>
              </w:numPr>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储存物品的地点、仓库、场院应严禁烟火，并配置符合规定的照明和消防器材；</w:t>
            </w:r>
          </w:p>
          <w:p w14:paraId="7609EEC6">
            <w:pPr>
              <w:keepNext w:val="0"/>
              <w:keepLines w:val="0"/>
              <w:pageBreakBefore w:val="0"/>
              <w:widowControl w:val="0"/>
              <w:numPr>
                <w:ilvl w:val="0"/>
                <w:numId w:val="107"/>
              </w:numPr>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存放物品的货架、容器等，应具有相应的强度、刚度、耐腐蚀性能；</w:t>
            </w:r>
          </w:p>
          <w:p w14:paraId="338912E3">
            <w:pPr>
              <w:keepNext w:val="0"/>
              <w:keepLines w:val="0"/>
              <w:pageBreakBefore w:val="0"/>
              <w:widowControl w:val="0"/>
              <w:numPr>
                <w:ilvl w:val="0"/>
                <w:numId w:val="107"/>
              </w:numPr>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应根据危险化学品的性质，采取隔离、隔开、分离的储存方式；</w:t>
            </w:r>
          </w:p>
          <w:p w14:paraId="1E925526">
            <w:pPr>
              <w:keepNext w:val="0"/>
              <w:keepLines w:val="0"/>
              <w:pageBreakBefore w:val="0"/>
              <w:widowControl w:val="0"/>
              <w:numPr>
                <w:ilvl w:val="0"/>
                <w:numId w:val="107"/>
              </w:numPr>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储存化学物品，应按其特性要求存放，并设置相应的支架或箱柜，配备必要的器皿、工具和工作人员的防护用品；</w:t>
            </w:r>
          </w:p>
          <w:p w14:paraId="08A4EC47">
            <w:pPr>
              <w:keepNext w:val="0"/>
              <w:keepLines w:val="0"/>
              <w:pageBreakBefore w:val="0"/>
              <w:widowControl w:val="0"/>
              <w:numPr>
                <w:ilvl w:val="0"/>
                <w:numId w:val="107"/>
              </w:numPr>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各类危险化学品不得与禁忌物料混合储存；</w:t>
            </w:r>
          </w:p>
          <w:p w14:paraId="76029988">
            <w:pPr>
              <w:keepNext w:val="0"/>
              <w:keepLines w:val="0"/>
              <w:pageBreakBefore w:val="0"/>
              <w:widowControl w:val="0"/>
              <w:numPr>
                <w:ilvl w:val="0"/>
                <w:numId w:val="107"/>
              </w:numPr>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成垛堆放生产物料、产品和剩余物料时，垛高、垛距应符合规定，垛的基础要牢固，不得产生下沉、歪斜或倾塌，垛之间的距离应便于机械化装卸和作业；</w:t>
            </w:r>
          </w:p>
          <w:p w14:paraId="23814BC3">
            <w:pPr>
              <w:keepNext w:val="0"/>
              <w:keepLines w:val="0"/>
              <w:pageBreakBefore w:val="0"/>
              <w:widowControl w:val="0"/>
              <w:numPr>
                <w:ilvl w:val="0"/>
                <w:numId w:val="107"/>
              </w:numPr>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储存易燃易爆物品的场所，应备有相应的消防器材和通讯报警装置；</w:t>
            </w:r>
          </w:p>
          <w:p w14:paraId="427B6B3A">
            <w:pPr>
              <w:keepNext w:val="0"/>
              <w:keepLines w:val="0"/>
              <w:pageBreakBefore w:val="0"/>
              <w:widowControl w:val="0"/>
              <w:numPr>
                <w:ilvl w:val="0"/>
                <w:numId w:val="107"/>
              </w:numPr>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储存危险、剧毒和放射性物品，应严格执行有关规定；</w:t>
            </w:r>
          </w:p>
          <w:p w14:paraId="35733754">
            <w:pPr>
              <w:keepNext w:val="0"/>
              <w:keepLines w:val="0"/>
              <w:pageBreakBefore w:val="0"/>
              <w:widowControl w:val="0"/>
              <w:numPr>
                <w:ilvl w:val="0"/>
                <w:numId w:val="107"/>
              </w:numPr>
              <w:suppressLineNumbers w:val="0"/>
              <w:kinsoku/>
              <w:wordWrap/>
              <w:overflowPunct/>
              <w:topLinePunct w:val="0"/>
              <w:autoSpaceDE/>
              <w:autoSpaceDN/>
              <w:bidi w:val="0"/>
              <w:adjustRightInd w:val="0"/>
              <w:snapToGrid/>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储存可燃性液体、可燃及助燃气体、液化烃的储罐，应有足够的安全距离，设置必要的消防设施、防护堤（防火堤）、防雷装置、监控仪表等防护设施。</w:t>
            </w:r>
          </w:p>
        </w:tc>
        <w:tc>
          <w:tcPr>
            <w:tcW w:w="1755" w:type="dxa"/>
            <w:tcBorders>
              <w:tl2br w:val="nil"/>
              <w:tr2bl w:val="nil"/>
            </w:tcBorders>
            <w:noWrap w:val="0"/>
            <w:vAlign w:val="center"/>
          </w:tcPr>
          <w:p w14:paraId="4C6FD487">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《生产过程安全卫生要求总则》</w:t>
            </w:r>
          </w:p>
          <w:p w14:paraId="1E50C61B">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（GB/T12801-2008）</w:t>
            </w:r>
          </w:p>
          <w:p w14:paraId="04DE2E9F">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第5.</w:t>
            </w:r>
            <w:r>
              <w:rPr>
                <w:rFonts w:hint="eastAsia" w:ascii="Times New Roman" w:hAnsi="Times New Roman" w:eastAsia="宋体" w:cs="Times New Roman"/>
                <w:sz w:val="21"/>
                <w:szCs w:val="21"/>
                <w:lang w:val="en-US" w:eastAsia="zh-CN"/>
              </w:rPr>
              <w:t>8.1.2</w:t>
            </w:r>
            <w:r>
              <w:rPr>
                <w:rFonts w:hint="default" w:ascii="Times New Roman" w:hAnsi="Times New Roman" w:eastAsia="宋体" w:cs="Times New Roman"/>
                <w:sz w:val="21"/>
                <w:szCs w:val="21"/>
                <w:lang w:val="en-US" w:eastAsia="zh-CN"/>
              </w:rPr>
              <w:t>条</w:t>
            </w:r>
          </w:p>
        </w:tc>
        <w:tc>
          <w:tcPr>
            <w:tcW w:w="1650" w:type="dxa"/>
            <w:tcBorders>
              <w:tl2br w:val="nil"/>
              <w:tr2bl w:val="nil"/>
            </w:tcBorders>
            <w:noWrap w:val="0"/>
            <w:vAlign w:val="center"/>
          </w:tcPr>
          <w:p w14:paraId="2938535E">
            <w:pPr>
              <w:keepNext w:val="0"/>
              <w:keepLines w:val="0"/>
              <w:pageBreakBefore w:val="0"/>
              <w:widowControl w:val="0"/>
              <w:suppressLineNumbers w:val="0"/>
              <w:tabs>
                <w:tab w:val="left" w:pos="2898"/>
              </w:tabs>
              <w:kinsoku/>
              <w:wordWrap/>
              <w:bidi w:val="0"/>
              <w:spacing w:before="0" w:beforeAutospacing="0" w:after="0" w:afterAutospacing="0" w:line="240" w:lineRule="auto"/>
              <w:ind w:left="0" w:right="0" w:firstLine="0" w:firstLineChars="0"/>
              <w:jc w:val="both"/>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项目</w:t>
            </w:r>
            <w:r>
              <w:rPr>
                <w:rFonts w:hint="eastAsia" w:ascii="Times New Roman" w:hAnsi="Times New Roman" w:cs="Times New Roman"/>
                <w:sz w:val="21"/>
                <w:szCs w:val="21"/>
                <w:lang w:val="en-US" w:eastAsia="zh-CN"/>
              </w:rPr>
              <w:t>叉车使用的柴油现用现买</w:t>
            </w:r>
            <w:r>
              <w:rPr>
                <w:rFonts w:hint="eastAsia" w:ascii="Times New Roman" w:hAnsi="Times New Roman" w:eastAsia="宋体" w:cs="Times New Roman"/>
                <w:sz w:val="21"/>
                <w:szCs w:val="21"/>
                <w:lang w:val="en-US" w:eastAsia="zh-CN"/>
              </w:rPr>
              <w:t>，</w:t>
            </w:r>
            <w:r>
              <w:rPr>
                <w:rFonts w:hint="eastAsia" w:ascii="Times New Roman" w:hAnsi="Times New Roman" w:cs="Times New Roman"/>
                <w:sz w:val="21"/>
                <w:szCs w:val="21"/>
                <w:lang w:val="en-US" w:eastAsia="zh-CN"/>
              </w:rPr>
              <w:t>检修用气瓶设有专用气瓶库储存，</w:t>
            </w:r>
            <w:r>
              <w:rPr>
                <w:rFonts w:hint="default" w:ascii="Times New Roman" w:hAnsi="Times New Roman" w:eastAsia="宋体" w:cs="Times New Roman"/>
                <w:sz w:val="21"/>
                <w:szCs w:val="21"/>
                <w:lang w:val="en-US" w:eastAsia="zh-CN"/>
              </w:rPr>
              <w:t>危险化学品</w:t>
            </w:r>
            <w:r>
              <w:rPr>
                <w:rFonts w:hint="eastAsia" w:ascii="Times New Roman" w:hAnsi="Times New Roman" w:cs="Times New Roman"/>
                <w:sz w:val="21"/>
                <w:szCs w:val="21"/>
                <w:lang w:val="en-US" w:eastAsia="zh-CN"/>
              </w:rPr>
              <w:t>盐酸</w:t>
            </w:r>
            <w:r>
              <w:rPr>
                <w:rFonts w:hint="default" w:ascii="Times New Roman" w:hAnsi="Times New Roman" w:eastAsia="宋体" w:cs="Times New Roman"/>
                <w:sz w:val="21"/>
                <w:szCs w:val="21"/>
                <w:lang w:val="en-US" w:eastAsia="zh-CN"/>
              </w:rPr>
              <w:t>储存在</w:t>
            </w:r>
            <w:r>
              <w:rPr>
                <w:rFonts w:hint="eastAsia" w:ascii="Times New Roman" w:hAnsi="Times New Roman" w:cs="Times New Roman"/>
                <w:sz w:val="21"/>
                <w:szCs w:val="21"/>
                <w:lang w:val="en-US" w:eastAsia="zh-CN"/>
              </w:rPr>
              <w:t>化验室专用</w:t>
            </w:r>
            <w:r>
              <w:rPr>
                <w:rFonts w:hint="default" w:ascii="Times New Roman" w:hAnsi="Times New Roman" w:eastAsia="宋体" w:cs="Times New Roman"/>
                <w:sz w:val="21"/>
                <w:szCs w:val="21"/>
                <w:lang w:val="en-US" w:eastAsia="zh-CN"/>
              </w:rPr>
              <w:t>的</w:t>
            </w:r>
            <w:r>
              <w:rPr>
                <w:rFonts w:hint="eastAsia" w:ascii="Times New Roman" w:hAnsi="Times New Roman" w:cs="Times New Roman"/>
                <w:sz w:val="21"/>
                <w:szCs w:val="21"/>
                <w:lang w:val="en-US" w:eastAsia="zh-CN"/>
              </w:rPr>
              <w:t>储柜</w:t>
            </w:r>
            <w:r>
              <w:rPr>
                <w:rFonts w:hint="default" w:ascii="Times New Roman" w:hAnsi="Times New Roman" w:eastAsia="宋体" w:cs="Times New Roman"/>
                <w:sz w:val="21"/>
                <w:szCs w:val="21"/>
                <w:lang w:val="en-US" w:eastAsia="zh-CN"/>
              </w:rPr>
              <w:t>中</w:t>
            </w:r>
            <w:r>
              <w:rPr>
                <w:rFonts w:hint="eastAsia" w:ascii="Times New Roman" w:hAnsi="Times New Roman" w:eastAsia="宋体" w:cs="Times New Roman"/>
                <w:sz w:val="21"/>
                <w:szCs w:val="21"/>
                <w:lang w:val="en-US" w:eastAsia="zh-CN"/>
              </w:rPr>
              <w:t>。项目的物资堆码</w:t>
            </w:r>
            <w:r>
              <w:rPr>
                <w:rFonts w:hint="default" w:ascii="Times New Roman" w:hAnsi="Times New Roman" w:eastAsia="宋体" w:cs="Times New Roman"/>
                <w:sz w:val="21"/>
                <w:szCs w:val="21"/>
                <w:lang w:val="en-US" w:eastAsia="zh-CN"/>
              </w:rPr>
              <w:t>垛高、垛距符合规定</w:t>
            </w:r>
            <w:r>
              <w:rPr>
                <w:rFonts w:hint="eastAsia" w:ascii="Times New Roman" w:hAnsi="Times New Roman" w:eastAsia="宋体" w:cs="Times New Roman"/>
                <w:sz w:val="21"/>
                <w:szCs w:val="21"/>
                <w:lang w:val="en-US" w:eastAsia="zh-CN"/>
              </w:rPr>
              <w:t>。项目储存物品的地点、仓库、</w:t>
            </w:r>
            <w:r>
              <w:rPr>
                <w:rFonts w:hint="eastAsia" w:ascii="Times New Roman" w:hAnsi="Times New Roman" w:cs="Times New Roman"/>
                <w:sz w:val="21"/>
                <w:szCs w:val="21"/>
                <w:lang w:val="en-US" w:eastAsia="zh-CN"/>
              </w:rPr>
              <w:t>原料堆场</w:t>
            </w:r>
            <w:r>
              <w:rPr>
                <w:rFonts w:hint="eastAsia" w:ascii="Times New Roman" w:hAnsi="Times New Roman" w:eastAsia="宋体" w:cs="Times New Roman"/>
                <w:sz w:val="21"/>
                <w:szCs w:val="21"/>
                <w:lang w:val="en-US" w:eastAsia="zh-CN"/>
              </w:rPr>
              <w:t>严禁烟火，并配置符合规定的照明和消防器材项目的生产物料、产品、剩余物料的储存符合要求。</w:t>
            </w:r>
          </w:p>
          <w:p w14:paraId="7A579F94">
            <w:pPr>
              <w:keepNext w:val="0"/>
              <w:keepLines w:val="0"/>
              <w:pageBreakBefore w:val="0"/>
              <w:widowControl w:val="0"/>
              <w:suppressLineNumbers w:val="0"/>
              <w:tabs>
                <w:tab w:val="left" w:pos="2898"/>
              </w:tabs>
              <w:kinsoku/>
              <w:wordWrap/>
              <w:bidi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lang w:val="en-US" w:eastAsia="zh-CN"/>
              </w:rPr>
            </w:pPr>
          </w:p>
        </w:tc>
        <w:tc>
          <w:tcPr>
            <w:tcW w:w="524" w:type="dxa"/>
            <w:tcBorders>
              <w:tl2br w:val="nil"/>
              <w:tr2bl w:val="nil"/>
            </w:tcBorders>
            <w:noWrap w:val="0"/>
            <w:vAlign w:val="center"/>
          </w:tcPr>
          <w:p w14:paraId="78F57BBF">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符合</w:t>
            </w:r>
          </w:p>
        </w:tc>
      </w:tr>
      <w:tr w14:paraId="19495C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4" w:type="dxa"/>
            <w:tcBorders>
              <w:tl2br w:val="nil"/>
              <w:tr2bl w:val="nil"/>
            </w:tcBorders>
            <w:noWrap w:val="0"/>
            <w:vAlign w:val="center"/>
          </w:tcPr>
          <w:p w14:paraId="74FE5DD3">
            <w:pPr>
              <w:keepNext w:val="0"/>
              <w:keepLines w:val="0"/>
              <w:pageBreakBefore w:val="0"/>
              <w:widowControl w:val="0"/>
              <w:numPr>
                <w:ilvl w:val="0"/>
                <w:numId w:val="106"/>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3975" w:type="dxa"/>
            <w:tcBorders>
              <w:tl2br w:val="nil"/>
              <w:tr2bl w:val="nil"/>
            </w:tcBorders>
            <w:noWrap w:val="0"/>
            <w:vAlign w:val="center"/>
          </w:tcPr>
          <w:p w14:paraId="43986913">
            <w:pPr>
              <w:keepNext w:val="0"/>
              <w:keepLines w:val="0"/>
              <w:pageBreakBefore w:val="0"/>
              <w:widowControl w:val="0"/>
              <w:numPr>
                <w:ilvl w:val="0"/>
                <w:numId w:val="108"/>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生产使用的危险和有害的液态、气态和粉状物料，应尽量采用不受该物料侵蚀的管道输送。采用容器输送时，应符合有关规定，确保安全；</w:t>
            </w:r>
          </w:p>
          <w:p w14:paraId="59FB549A">
            <w:pPr>
              <w:keepNext w:val="0"/>
              <w:keepLines w:val="0"/>
              <w:pageBreakBefore w:val="0"/>
              <w:widowControl w:val="0"/>
              <w:numPr>
                <w:ilvl w:val="0"/>
                <w:numId w:val="108"/>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运送重量较大的生产物料、产品和剩余物料时，应采用机械吊装输送，并掌握车辆，道路环境等情况，以确保输送安全；</w:t>
            </w:r>
          </w:p>
          <w:p w14:paraId="34780674">
            <w:pPr>
              <w:keepNext w:val="0"/>
              <w:keepLines w:val="0"/>
              <w:pageBreakBefore w:val="0"/>
              <w:widowControl w:val="0"/>
              <w:numPr>
                <w:ilvl w:val="0"/>
                <w:numId w:val="108"/>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输送危险化学品时，应符合配装规定，专车专用，并有明显标志；</w:t>
            </w:r>
          </w:p>
          <w:p w14:paraId="1F8458CE">
            <w:pPr>
              <w:keepNext w:val="0"/>
              <w:keepLines w:val="0"/>
              <w:pageBreakBefore w:val="0"/>
              <w:widowControl w:val="0"/>
              <w:numPr>
                <w:ilvl w:val="0"/>
                <w:numId w:val="108"/>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对输送管线、设备和工具应定期进行维护、保养和检修；</w:t>
            </w:r>
          </w:p>
          <w:p w14:paraId="49757281">
            <w:pPr>
              <w:keepNext w:val="0"/>
              <w:keepLines w:val="0"/>
              <w:pageBreakBefore w:val="0"/>
              <w:widowControl w:val="0"/>
              <w:numPr>
                <w:ilvl w:val="0"/>
                <w:numId w:val="108"/>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装卸、运输方法应符合</w:t>
            </w:r>
            <w:r>
              <w:rPr>
                <w:rFonts w:hint="eastAsia" w:ascii="Times New Roman" w:hAnsi="Times New Roman" w:eastAsia="宋体" w:cs="Times New Roman"/>
                <w:sz w:val="21"/>
                <w:szCs w:val="21"/>
                <w:lang w:val="en-US" w:eastAsia="zh-CN"/>
              </w:rPr>
              <w:t>GB4387</w:t>
            </w:r>
            <w:r>
              <w:rPr>
                <w:rFonts w:hint="default" w:ascii="Times New Roman" w:hAnsi="Times New Roman" w:eastAsia="宋体" w:cs="Times New Roman"/>
                <w:sz w:val="21"/>
                <w:szCs w:val="21"/>
                <w:lang w:val="en-US" w:eastAsia="zh-CN"/>
              </w:rPr>
              <w:t>和有关标准要求，或根据作业特点和环境条件，编写专门的装卸、运输作业安全规程。</w:t>
            </w:r>
          </w:p>
        </w:tc>
        <w:tc>
          <w:tcPr>
            <w:tcW w:w="1755" w:type="dxa"/>
            <w:tcBorders>
              <w:tl2br w:val="nil"/>
              <w:tr2bl w:val="nil"/>
            </w:tcBorders>
            <w:noWrap w:val="0"/>
            <w:vAlign w:val="center"/>
          </w:tcPr>
          <w:p w14:paraId="600A9DFD">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《生产过程安全卫生要求总则》</w:t>
            </w:r>
          </w:p>
          <w:p w14:paraId="5EBE247C">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（GB/T12801-2008）</w:t>
            </w:r>
          </w:p>
          <w:p w14:paraId="03EDD7CD">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第5.</w:t>
            </w:r>
            <w:r>
              <w:rPr>
                <w:rFonts w:hint="eastAsia" w:ascii="Times New Roman" w:hAnsi="Times New Roman" w:eastAsia="宋体" w:cs="Times New Roman"/>
                <w:sz w:val="21"/>
                <w:szCs w:val="21"/>
                <w:lang w:val="en-US" w:eastAsia="zh-CN"/>
              </w:rPr>
              <w:t>8.2.2</w:t>
            </w:r>
            <w:r>
              <w:rPr>
                <w:rFonts w:hint="default" w:ascii="Times New Roman" w:hAnsi="Times New Roman" w:eastAsia="宋体" w:cs="Times New Roman"/>
                <w:sz w:val="21"/>
                <w:szCs w:val="21"/>
                <w:lang w:val="en-US" w:eastAsia="zh-CN"/>
              </w:rPr>
              <w:t>条</w:t>
            </w:r>
          </w:p>
        </w:tc>
        <w:tc>
          <w:tcPr>
            <w:tcW w:w="1650" w:type="dxa"/>
            <w:tcBorders>
              <w:tl2br w:val="nil"/>
              <w:tr2bl w:val="nil"/>
            </w:tcBorders>
            <w:noWrap w:val="0"/>
            <w:vAlign w:val="center"/>
          </w:tcPr>
          <w:p w14:paraId="4C27BF82">
            <w:pPr>
              <w:keepNext w:val="0"/>
              <w:keepLines w:val="0"/>
              <w:pageBreakBefore w:val="0"/>
              <w:widowControl w:val="0"/>
              <w:suppressLineNumbers w:val="0"/>
              <w:tabs>
                <w:tab w:val="left" w:pos="2898"/>
              </w:tabs>
              <w:kinsoku/>
              <w:wordWrap/>
              <w:bidi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厂内物料输送、装卸、运输按规范要求进行。</w:t>
            </w:r>
          </w:p>
        </w:tc>
        <w:tc>
          <w:tcPr>
            <w:tcW w:w="524" w:type="dxa"/>
            <w:tcBorders>
              <w:tl2br w:val="nil"/>
              <w:tr2bl w:val="nil"/>
            </w:tcBorders>
            <w:noWrap w:val="0"/>
            <w:vAlign w:val="center"/>
          </w:tcPr>
          <w:p w14:paraId="0FB80A98">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符合</w:t>
            </w:r>
          </w:p>
        </w:tc>
      </w:tr>
    </w:tbl>
    <w:p w14:paraId="651BA82B">
      <w:pPr>
        <w:keepNext w:val="0"/>
        <w:keepLines w:val="0"/>
        <w:pageBreakBefore w:val="0"/>
        <w:widowControl w:val="0"/>
        <w:kinsoku/>
        <w:bidi w:val="0"/>
        <w:rPr>
          <w:rFonts w:hint="eastAsia"/>
          <w:lang w:val="en-US" w:eastAsia="zh-CN"/>
        </w:rPr>
      </w:pPr>
      <w:r>
        <w:rPr>
          <w:rFonts w:hint="eastAsia"/>
          <w:lang w:val="en-US" w:eastAsia="zh-CN"/>
        </w:rPr>
        <w:t>通过以上安全检查表分析，本项目物料、产品在生产、输送、储存、使用、废弃等环节的防范措施符合规范要求。</w:t>
      </w:r>
    </w:p>
    <w:p w14:paraId="073FA49B">
      <w:pPr>
        <w:pStyle w:val="4"/>
        <w:keepNext w:val="0"/>
        <w:keepLines w:val="0"/>
        <w:pageBreakBefore w:val="0"/>
        <w:widowControl w:val="0"/>
        <w:kinsoku/>
        <w:bidi w:val="0"/>
        <w:rPr>
          <w:rFonts w:hint="default"/>
          <w:lang w:val="en-US" w:eastAsia="zh-CN"/>
        </w:rPr>
      </w:pPr>
      <w:bookmarkStart w:id="1001" w:name="_Toc32673"/>
      <w:r>
        <w:rPr>
          <w:rFonts w:hint="eastAsia"/>
          <w:lang w:val="en-US" w:eastAsia="zh-CN"/>
        </w:rPr>
        <w:t>物料、产品安全性评价单元符合性评价结果</w:t>
      </w:r>
      <w:bookmarkEnd w:id="1001"/>
    </w:p>
    <w:p w14:paraId="2B4E4B60">
      <w:pPr>
        <w:bidi w:val="0"/>
        <w:rPr>
          <w:rFonts w:hint="eastAsia"/>
          <w:lang w:val="en-US" w:eastAsia="zh-CN"/>
        </w:rPr>
      </w:pPr>
      <w:r>
        <w:rPr>
          <w:rFonts w:hint="eastAsia"/>
          <w:lang w:val="en-US" w:eastAsia="zh-CN"/>
        </w:rPr>
        <w:t>该</w:t>
      </w:r>
      <w:r>
        <w:rPr>
          <w:rFonts w:hint="eastAsia"/>
        </w:rPr>
        <w:t>项目</w:t>
      </w:r>
      <w:r>
        <w:rPr>
          <w:rFonts w:hint="eastAsia"/>
          <w:lang w:val="en-US" w:eastAsia="zh-CN"/>
        </w:rPr>
        <w:t>物料、产品在生产、输送、储存、使用、废弃等环节的防范措施符合</w:t>
      </w:r>
      <w:r>
        <w:rPr>
          <w:rFonts w:hint="eastAsia"/>
          <w:lang w:eastAsia="zh-CN"/>
        </w:rPr>
        <w:t>《</w:t>
      </w:r>
      <w:r>
        <w:rPr>
          <w:rFonts w:hint="eastAsia"/>
        </w:rPr>
        <w:t>生产过程安全卫生要求总则》（GB/T12801-2008）等规范标准</w:t>
      </w:r>
      <w:r>
        <w:rPr>
          <w:rFonts w:hint="eastAsia"/>
          <w:lang w:val="en-US" w:eastAsia="zh-CN"/>
        </w:rPr>
        <w:t>要求</w:t>
      </w:r>
      <w:r>
        <w:rPr>
          <w:rFonts w:hint="eastAsia"/>
        </w:rPr>
        <w:t>。</w:t>
      </w:r>
    </w:p>
    <w:p w14:paraId="7DB0D827">
      <w:pPr>
        <w:pStyle w:val="3"/>
        <w:keepNext w:val="0"/>
        <w:keepLines w:val="0"/>
        <w:pageBreakBefore w:val="0"/>
        <w:widowControl w:val="0"/>
        <w:kinsoku/>
        <w:bidi w:val="0"/>
        <w:ind w:left="575" w:leftChars="0" w:hanging="575" w:firstLineChars="0"/>
      </w:pPr>
      <w:bookmarkStart w:id="1002" w:name="_Toc15063"/>
      <w:bookmarkStart w:id="1003" w:name="_Toc19989"/>
      <w:r>
        <w:rPr>
          <w:rFonts w:hint="eastAsia"/>
        </w:rPr>
        <w:t>生产工艺系统、装置、设施、设备单元</w:t>
      </w:r>
      <w:bookmarkEnd w:id="997"/>
      <w:bookmarkEnd w:id="998"/>
      <w:bookmarkEnd w:id="999"/>
      <w:bookmarkEnd w:id="1002"/>
      <w:bookmarkEnd w:id="1003"/>
    </w:p>
    <w:p w14:paraId="77B5C59F">
      <w:pPr>
        <w:pStyle w:val="4"/>
        <w:keepNext w:val="0"/>
        <w:keepLines w:val="0"/>
        <w:pageBreakBefore w:val="0"/>
        <w:widowControl w:val="0"/>
        <w:kinsoku/>
        <w:bidi w:val="0"/>
      </w:pPr>
      <w:bookmarkStart w:id="1004" w:name="_Toc20325"/>
      <w:r>
        <w:rPr>
          <w:rFonts w:hint="eastAsia"/>
          <w:lang w:val="en-US" w:eastAsia="zh-CN"/>
        </w:rPr>
        <w:t>生产工艺系统、装置、设施、设备单元符合性检查</w:t>
      </w:r>
      <w:bookmarkEnd w:id="1004"/>
    </w:p>
    <w:p w14:paraId="20E421C0">
      <w:pPr>
        <w:bidi w:val="0"/>
        <w:rPr>
          <w:rFonts w:hint="eastAsia" w:ascii="宋体" w:hAnsi="宋体" w:eastAsia="宋体" w:cs="宋体"/>
          <w:szCs w:val="28"/>
        </w:rPr>
      </w:pPr>
      <w:r>
        <w:rPr>
          <w:rFonts w:hint="eastAsia"/>
        </w:rPr>
        <w:t>本节采用安全检查表</w:t>
      </w:r>
      <w:r>
        <w:rPr>
          <w:rFonts w:hint="eastAsia"/>
          <w:lang w:eastAsia="zh-CN"/>
        </w:rPr>
        <w:t>评价方法</w:t>
      </w:r>
      <w:r>
        <w:rPr>
          <w:rFonts w:hint="eastAsia"/>
        </w:rPr>
        <w:t>，依据</w:t>
      </w:r>
      <w:r>
        <w:rPr>
          <w:rFonts w:hint="eastAsia"/>
          <w:lang w:eastAsia="zh-CN"/>
        </w:rPr>
        <w:t>《中华人民共和国安全生产法》《</w:t>
      </w:r>
      <w:r>
        <w:rPr>
          <w:rFonts w:hint="eastAsia"/>
        </w:rPr>
        <w:t>生产过程安全卫生要求总则》（GB/T12801-2008）、《生产设备安全卫生设计总则》（GB5083-1999）</w:t>
      </w:r>
      <w:r>
        <w:rPr>
          <w:rFonts w:hint="eastAsia"/>
          <w:lang w:eastAsia="zh-CN"/>
        </w:rPr>
        <w:t>、《工业企业设计卫生标准》（GBZ 1-2010）</w:t>
      </w:r>
      <w:r>
        <w:rPr>
          <w:rFonts w:hint="eastAsia"/>
        </w:rPr>
        <w:t>等规范标准对本项目生产工艺系统进行安全检查。检查结果见下表。</w:t>
      </w:r>
    </w:p>
    <w:p w14:paraId="21CB043A">
      <w:pPr>
        <w:pStyle w:val="12"/>
        <w:keepNext w:val="0"/>
        <w:keepLines w:val="0"/>
        <w:pageBreakBefore w:val="0"/>
        <w:widowControl w:val="0"/>
        <w:kinsoku/>
        <w:wordWrap/>
        <w:bidi w:val="0"/>
        <w:rPr>
          <w:rFonts w:hint="eastAsia"/>
          <w:lang w:val="en-US" w:eastAsia="zh-CN"/>
        </w:rPr>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4</w:t>
      </w:r>
      <w:r>
        <w:rPr>
          <w:rFonts w:hint="eastAsia"/>
          <w:lang w:val="en-US" w:eastAsia="zh-CN"/>
        </w:rPr>
        <w:fldChar w:fldCharType="end"/>
      </w:r>
      <w:r>
        <w:rPr>
          <w:rFonts w:hint="eastAsia"/>
          <w:lang w:val="en-US" w:eastAsia="zh-CN"/>
        </w:rPr>
        <w:t>生产工艺系统安全检查表</w:t>
      </w:r>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3885"/>
        <w:gridCol w:w="2131"/>
        <w:gridCol w:w="1581"/>
        <w:gridCol w:w="496"/>
      </w:tblGrid>
      <w:tr w14:paraId="22CF93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175366AD">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2279" w:type="pct"/>
            <w:tcBorders>
              <w:tl2br w:val="nil"/>
              <w:tr2bl w:val="nil"/>
            </w:tcBorders>
            <w:noWrap w:val="0"/>
            <w:vAlign w:val="center"/>
          </w:tcPr>
          <w:p w14:paraId="17C3D426">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检查内容</w:t>
            </w:r>
          </w:p>
        </w:tc>
        <w:tc>
          <w:tcPr>
            <w:tcW w:w="1250" w:type="pct"/>
            <w:tcBorders>
              <w:tl2br w:val="nil"/>
              <w:tr2bl w:val="nil"/>
            </w:tcBorders>
            <w:noWrap w:val="0"/>
            <w:vAlign w:val="center"/>
          </w:tcPr>
          <w:p w14:paraId="77F86F43">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依据标准</w:t>
            </w:r>
          </w:p>
        </w:tc>
        <w:tc>
          <w:tcPr>
            <w:tcW w:w="927" w:type="pct"/>
            <w:tcBorders>
              <w:tl2br w:val="nil"/>
              <w:tr2bl w:val="nil"/>
            </w:tcBorders>
            <w:noWrap w:val="0"/>
            <w:vAlign w:val="center"/>
          </w:tcPr>
          <w:p w14:paraId="55156443">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检查情况</w:t>
            </w:r>
          </w:p>
        </w:tc>
        <w:tc>
          <w:tcPr>
            <w:tcW w:w="291" w:type="pct"/>
            <w:tcBorders>
              <w:tl2br w:val="nil"/>
              <w:tr2bl w:val="nil"/>
            </w:tcBorders>
            <w:noWrap w:val="0"/>
            <w:vAlign w:val="center"/>
          </w:tcPr>
          <w:p w14:paraId="44D04B81">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结论</w:t>
            </w:r>
          </w:p>
        </w:tc>
      </w:tr>
      <w:tr w14:paraId="3A73A5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0191772F">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5D105C21">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sz w:val="21"/>
                <w:szCs w:val="21"/>
              </w:rPr>
            </w:pPr>
            <w:r>
              <w:rPr>
                <w:rFonts w:hint="eastAsia" w:ascii="宋体" w:hAnsi="宋体" w:eastAsia="宋体" w:cs="Times New Roman"/>
                <w:color w:val="000000"/>
                <w:sz w:val="21"/>
                <w:szCs w:val="21"/>
              </w:rPr>
              <w:t>生产经营单位不得使用应当淘汰的危及生产安全的工艺、设备。</w:t>
            </w:r>
          </w:p>
        </w:tc>
        <w:tc>
          <w:tcPr>
            <w:tcW w:w="1250" w:type="pct"/>
            <w:tcBorders>
              <w:tl2br w:val="nil"/>
              <w:tr2bl w:val="nil"/>
            </w:tcBorders>
            <w:noWrap w:val="0"/>
            <w:vAlign w:val="center"/>
          </w:tcPr>
          <w:p w14:paraId="2A47CFE8">
            <w:pPr>
              <w:pStyle w:val="95"/>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center"/>
              <w:textAlignment w:val="auto"/>
              <w:rPr>
                <w:rFonts w:hint="eastAsia" w:ascii="宋体" w:hAnsi="宋体" w:cs="Times New Roman"/>
                <w:color w:val="000000"/>
                <w:sz w:val="21"/>
                <w:szCs w:val="21"/>
                <w:lang w:val="en-US" w:eastAsia="zh-CN"/>
              </w:rPr>
            </w:pPr>
            <w:r>
              <w:rPr>
                <w:rFonts w:hint="eastAsia" w:ascii="宋体" w:hAnsi="宋体" w:cs="Times New Roman"/>
                <w:color w:val="000000"/>
                <w:sz w:val="21"/>
                <w:szCs w:val="21"/>
                <w:lang w:val="en-US" w:eastAsia="zh-CN"/>
              </w:rPr>
              <w:t>《中华人民共和国安全生产法》</w:t>
            </w:r>
          </w:p>
          <w:p w14:paraId="5A67AA73">
            <w:pPr>
              <w:pStyle w:val="95"/>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宋体" w:hAnsi="宋体" w:cs="Times New Roman"/>
                <w:color w:val="000000"/>
                <w:sz w:val="21"/>
                <w:szCs w:val="21"/>
                <w:lang w:val="en-US" w:eastAsia="zh-CN"/>
              </w:rPr>
              <w:t>第三十八条</w:t>
            </w:r>
          </w:p>
        </w:tc>
        <w:tc>
          <w:tcPr>
            <w:tcW w:w="927" w:type="pct"/>
            <w:tcBorders>
              <w:tl2br w:val="nil"/>
              <w:tr2bl w:val="nil"/>
            </w:tcBorders>
            <w:noWrap w:val="0"/>
            <w:vAlign w:val="center"/>
          </w:tcPr>
          <w:p w14:paraId="48C8A7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default" w:ascii="Times New Roman" w:hAnsi="Times New Roman" w:eastAsia="宋体" w:cs="Times New Roman"/>
                <w:sz w:val="21"/>
                <w:szCs w:val="21"/>
              </w:rPr>
            </w:pPr>
            <w:r>
              <w:rPr>
                <w:rFonts w:hint="eastAsia" w:ascii="宋体" w:hAnsi="宋体" w:eastAsia="宋体" w:cs="宋体"/>
                <w:color w:val="000000"/>
                <w:kern w:val="0"/>
                <w:sz w:val="21"/>
                <w:szCs w:val="21"/>
              </w:rPr>
              <w:t>无国家明令禁止使用或淘汰的工艺及设备</w:t>
            </w:r>
          </w:p>
        </w:tc>
        <w:tc>
          <w:tcPr>
            <w:tcW w:w="291" w:type="pct"/>
            <w:tcBorders>
              <w:tl2br w:val="nil"/>
              <w:tr2bl w:val="nil"/>
            </w:tcBorders>
            <w:noWrap w:val="0"/>
            <w:vAlign w:val="center"/>
          </w:tcPr>
          <w:p w14:paraId="0F3170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宋体" w:hAnsi="宋体"/>
                <w:color w:val="000000"/>
                <w:sz w:val="21"/>
                <w:szCs w:val="21"/>
              </w:rPr>
              <w:t>符合</w:t>
            </w:r>
          </w:p>
        </w:tc>
      </w:tr>
      <w:tr w14:paraId="4F17E6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39034E8F">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6C31FC2D">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生产设备及其零部件，必须有足够的强度刚度、稳定性和可靠性。在按规定条件制造、运输、贮存、安装和使用时，不得对人员造成危险。</w:t>
            </w:r>
          </w:p>
        </w:tc>
        <w:tc>
          <w:tcPr>
            <w:tcW w:w="1250" w:type="pct"/>
            <w:tcBorders>
              <w:tl2br w:val="nil"/>
              <w:tr2bl w:val="nil"/>
            </w:tcBorders>
            <w:noWrap w:val="0"/>
            <w:vAlign w:val="center"/>
          </w:tcPr>
          <w:p w14:paraId="72C179B9">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《生产设备安全卫生设计总则》（GB5083-1999）</w:t>
            </w:r>
          </w:p>
          <w:p w14:paraId="21CB541A">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第4.1条</w:t>
            </w:r>
          </w:p>
        </w:tc>
        <w:tc>
          <w:tcPr>
            <w:tcW w:w="927" w:type="pct"/>
            <w:tcBorders>
              <w:tl2br w:val="nil"/>
              <w:tr2bl w:val="nil"/>
            </w:tcBorders>
            <w:noWrap w:val="0"/>
            <w:vAlign w:val="center"/>
          </w:tcPr>
          <w:p w14:paraId="59259875">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本项目所使用的设备及其零部件均</w:t>
            </w:r>
            <w:r>
              <w:rPr>
                <w:rFonts w:hint="eastAsia" w:ascii="Times New Roman" w:hAnsi="Times New Roman" w:eastAsia="宋体" w:cs="Times New Roman"/>
                <w:sz w:val="21"/>
                <w:szCs w:val="21"/>
                <w:lang w:val="en-US" w:eastAsia="zh-CN"/>
              </w:rPr>
              <w:t>向合格供应商采购，</w:t>
            </w:r>
            <w:r>
              <w:rPr>
                <w:rFonts w:hint="default" w:ascii="Times New Roman" w:hAnsi="Times New Roman" w:eastAsia="宋体" w:cs="Times New Roman"/>
                <w:sz w:val="21"/>
                <w:szCs w:val="21"/>
              </w:rPr>
              <w:t>厂家设计、制造、安装，能满足使用要求。</w:t>
            </w:r>
          </w:p>
        </w:tc>
        <w:tc>
          <w:tcPr>
            <w:tcW w:w="291" w:type="pct"/>
            <w:tcBorders>
              <w:tl2br w:val="nil"/>
              <w:tr2bl w:val="nil"/>
            </w:tcBorders>
            <w:noWrap w:val="0"/>
            <w:vAlign w:val="center"/>
          </w:tcPr>
          <w:p w14:paraId="60A4B975">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749EC3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0EA5AB7F">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1F2ABA32">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在规定使用期限内，生产设备应满足使用环境要求，特别是满足防腐蚀、耐磨损、抗疲劳、抗老化和抵御失效的要求。</w:t>
            </w:r>
          </w:p>
        </w:tc>
        <w:tc>
          <w:tcPr>
            <w:tcW w:w="1250" w:type="pct"/>
            <w:tcBorders>
              <w:tl2br w:val="nil"/>
              <w:tr2bl w:val="nil"/>
            </w:tcBorders>
            <w:noWrap w:val="0"/>
            <w:vAlign w:val="center"/>
          </w:tcPr>
          <w:p w14:paraId="73B1F0C8">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《生产设备安全卫生设计总则》（GB5083-1999）</w:t>
            </w:r>
          </w:p>
          <w:p w14:paraId="1DADA81A">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第5.1条</w:t>
            </w:r>
          </w:p>
        </w:tc>
        <w:tc>
          <w:tcPr>
            <w:tcW w:w="927" w:type="pct"/>
            <w:tcBorders>
              <w:tl2br w:val="nil"/>
              <w:tr2bl w:val="nil"/>
            </w:tcBorders>
            <w:noWrap w:val="0"/>
            <w:vAlign w:val="center"/>
          </w:tcPr>
          <w:p w14:paraId="6F91253A">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right="0" w:firstLine="0" w:firstLineChars="0"/>
              <w:jc w:val="both"/>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生产设备满足要求</w:t>
            </w:r>
            <w:r>
              <w:rPr>
                <w:rFonts w:hint="eastAsia" w:ascii="Times New Roman" w:hAnsi="Times New Roman" w:eastAsia="宋体" w:cs="Times New Roman"/>
                <w:sz w:val="21"/>
                <w:szCs w:val="21"/>
                <w:lang w:eastAsia="zh-CN"/>
              </w:rPr>
              <w:t>。</w:t>
            </w:r>
          </w:p>
        </w:tc>
        <w:tc>
          <w:tcPr>
            <w:tcW w:w="291" w:type="pct"/>
            <w:tcBorders>
              <w:tl2br w:val="nil"/>
              <w:tr2bl w:val="nil"/>
            </w:tcBorders>
            <w:noWrap w:val="0"/>
            <w:vAlign w:val="center"/>
          </w:tcPr>
          <w:p w14:paraId="3A04B232">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151F97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666DE916">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6A412562">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生产设备不应在振动、风载或其他可预见的外载荷作用下倾覆或产生允许范围外的运动。</w:t>
            </w:r>
          </w:p>
        </w:tc>
        <w:tc>
          <w:tcPr>
            <w:tcW w:w="1250" w:type="pct"/>
            <w:tcBorders>
              <w:tl2br w:val="nil"/>
              <w:tr2bl w:val="nil"/>
            </w:tcBorders>
            <w:noWrap w:val="0"/>
            <w:vAlign w:val="center"/>
          </w:tcPr>
          <w:p w14:paraId="64282E9D">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《生产设备安全卫生设计总则》（GB5083-1999）</w:t>
            </w:r>
          </w:p>
          <w:p w14:paraId="3AA82A2A">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第5.3.1条</w:t>
            </w:r>
          </w:p>
        </w:tc>
        <w:tc>
          <w:tcPr>
            <w:tcW w:w="927" w:type="pct"/>
            <w:tcBorders>
              <w:tl2br w:val="nil"/>
              <w:tr2bl w:val="nil"/>
            </w:tcBorders>
            <w:noWrap w:val="0"/>
            <w:vAlign w:val="center"/>
          </w:tcPr>
          <w:p w14:paraId="5070D182">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本项目的生产设备均进行了良好的固定，能保证振动情况下的稳定性。</w:t>
            </w:r>
          </w:p>
        </w:tc>
        <w:tc>
          <w:tcPr>
            <w:tcW w:w="291" w:type="pct"/>
            <w:tcBorders>
              <w:tl2br w:val="nil"/>
              <w:tr2bl w:val="nil"/>
            </w:tcBorders>
            <w:noWrap w:val="0"/>
            <w:vAlign w:val="center"/>
          </w:tcPr>
          <w:p w14:paraId="1B8C0571">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4DD555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0CE6D392">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69008222">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信号和显示器应在安全、清晰、迅速的原则下，根据工艺流程、重要程度和使用频繁程度、配置在人员易看到和易听到的范围内。</w:t>
            </w:r>
          </w:p>
        </w:tc>
        <w:tc>
          <w:tcPr>
            <w:tcW w:w="1250" w:type="pct"/>
            <w:tcBorders>
              <w:tl2br w:val="nil"/>
              <w:tr2bl w:val="nil"/>
            </w:tcBorders>
            <w:noWrap w:val="0"/>
            <w:vAlign w:val="center"/>
          </w:tcPr>
          <w:p w14:paraId="01E75375">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《生产设备安全卫生设计总则》（GB5083-1999）</w:t>
            </w:r>
          </w:p>
          <w:p w14:paraId="6E134DB1">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第5.5.2条</w:t>
            </w:r>
          </w:p>
        </w:tc>
        <w:tc>
          <w:tcPr>
            <w:tcW w:w="927" w:type="pct"/>
            <w:tcBorders>
              <w:tl2br w:val="nil"/>
              <w:tr2bl w:val="nil"/>
            </w:tcBorders>
            <w:noWrap w:val="0"/>
            <w:vAlign w:val="center"/>
          </w:tcPr>
          <w:p w14:paraId="77BBC94B">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本项目控制系统符合要求。</w:t>
            </w:r>
          </w:p>
        </w:tc>
        <w:tc>
          <w:tcPr>
            <w:tcW w:w="291" w:type="pct"/>
            <w:tcBorders>
              <w:tl2br w:val="nil"/>
              <w:tr2bl w:val="nil"/>
            </w:tcBorders>
            <w:noWrap w:val="0"/>
            <w:vAlign w:val="center"/>
          </w:tcPr>
          <w:p w14:paraId="55516D1E">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DEFE1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7543F4B3">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52B4C4D3">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自动或半自动控制系统应设有必要的保护装置，以防止控制指令紊乱。同时，在每台设备上还应辅以能单独操纵的手动控制装置。</w:t>
            </w:r>
          </w:p>
        </w:tc>
        <w:tc>
          <w:tcPr>
            <w:tcW w:w="1250" w:type="pct"/>
            <w:tcBorders>
              <w:tl2br w:val="nil"/>
              <w:tr2bl w:val="nil"/>
            </w:tcBorders>
            <w:noWrap w:val="0"/>
            <w:vAlign w:val="center"/>
          </w:tcPr>
          <w:p w14:paraId="392B5D40">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《生产设备安全卫生设计总则》（GB5083-1999）</w:t>
            </w:r>
          </w:p>
          <w:p w14:paraId="748E7A52">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第5.6.1.2条</w:t>
            </w:r>
          </w:p>
        </w:tc>
        <w:tc>
          <w:tcPr>
            <w:tcW w:w="927" w:type="pct"/>
            <w:tcBorders>
              <w:tl2br w:val="nil"/>
              <w:tr2bl w:val="nil"/>
            </w:tcBorders>
            <w:noWrap w:val="0"/>
            <w:vAlign w:val="center"/>
          </w:tcPr>
          <w:p w14:paraId="04D9EDDC">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本项目各设备集中控制系统可对设备进行联锁停车保护，设备现场控制柜也设“紧急停机”按钮，可以手动停车。</w:t>
            </w:r>
          </w:p>
        </w:tc>
        <w:tc>
          <w:tcPr>
            <w:tcW w:w="291" w:type="pct"/>
            <w:tcBorders>
              <w:tl2br w:val="nil"/>
              <w:tr2bl w:val="nil"/>
            </w:tcBorders>
            <w:noWrap w:val="0"/>
            <w:vAlign w:val="center"/>
          </w:tcPr>
          <w:p w14:paraId="71DA4D7A">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0FB74C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7FB00A89">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78D787CE">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sz w:val="21"/>
                <w:szCs w:val="21"/>
              </w:rPr>
            </w:pPr>
            <w:r>
              <w:rPr>
                <w:rFonts w:hint="default" w:ascii="宋体" w:hAnsi="宋体"/>
                <w:color w:val="000000"/>
                <w:sz w:val="21"/>
                <w:szCs w:val="21"/>
              </w:rPr>
              <w:t>生产设备上易发生故障或危险性较大的区域，应配置声、光或声、光组合的报警装置。事故信号，宜能显示故障的位置和种类。危险信号，应具有足够强度并与其他信号有明显区别，其强度应明显高于生产设备使用现场其他声、光信号的强度。</w:t>
            </w:r>
          </w:p>
        </w:tc>
        <w:tc>
          <w:tcPr>
            <w:tcW w:w="1250" w:type="pct"/>
            <w:tcBorders>
              <w:tl2br w:val="nil"/>
              <w:tr2bl w:val="nil"/>
            </w:tcBorders>
            <w:noWrap w:val="0"/>
            <w:vAlign w:val="center"/>
          </w:tcPr>
          <w:p w14:paraId="2A1DE9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《生产设备安全卫生设计总则》 GB5083-1999</w:t>
            </w:r>
          </w:p>
          <w:p w14:paraId="088674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宋体" w:hAnsi="宋体" w:eastAsia="宋体" w:cs="Times New Roman"/>
                <w:color w:val="000000"/>
                <w:sz w:val="21"/>
                <w:szCs w:val="21"/>
              </w:rPr>
              <w:t>5.5.2</w:t>
            </w:r>
          </w:p>
        </w:tc>
        <w:tc>
          <w:tcPr>
            <w:tcW w:w="927" w:type="pct"/>
            <w:tcBorders>
              <w:tl2br w:val="nil"/>
              <w:tr2bl w:val="nil"/>
            </w:tcBorders>
            <w:noWrap w:val="0"/>
            <w:vAlign w:val="center"/>
          </w:tcPr>
          <w:p w14:paraId="529D0A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宋体" w:hAnsi="宋体"/>
                <w:color w:val="000000"/>
                <w:sz w:val="21"/>
                <w:szCs w:val="21"/>
              </w:rPr>
              <w:t>生产设备上易发生故障或危险性较大的区域，配置</w:t>
            </w:r>
            <w:r>
              <w:rPr>
                <w:rFonts w:hint="eastAsia" w:ascii="宋体" w:hAnsi="宋体"/>
                <w:color w:val="000000"/>
                <w:sz w:val="21"/>
                <w:szCs w:val="21"/>
                <w:lang w:val="en-US" w:eastAsia="zh-CN"/>
              </w:rPr>
              <w:t>有</w:t>
            </w:r>
            <w:r>
              <w:rPr>
                <w:rFonts w:hint="default" w:ascii="宋体" w:hAnsi="宋体"/>
                <w:color w:val="000000"/>
                <w:sz w:val="21"/>
                <w:szCs w:val="21"/>
              </w:rPr>
              <w:t>声、光或声、光组合的报警装置。</w:t>
            </w:r>
          </w:p>
        </w:tc>
        <w:tc>
          <w:tcPr>
            <w:tcW w:w="291" w:type="pct"/>
            <w:tcBorders>
              <w:tl2br w:val="nil"/>
              <w:tr2bl w:val="nil"/>
            </w:tcBorders>
            <w:noWrap w:val="0"/>
            <w:vAlign w:val="center"/>
          </w:tcPr>
          <w:p w14:paraId="7A27AD4E">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14EC9C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53D7CF4A">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0A136091">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left"/>
              <w:textAlignment w:val="auto"/>
              <w:rPr>
                <w:rFonts w:hint="default" w:ascii="宋体" w:hAnsi="宋体"/>
                <w:color w:val="000000"/>
                <w:sz w:val="21"/>
                <w:szCs w:val="21"/>
              </w:rPr>
            </w:pPr>
            <w:r>
              <w:rPr>
                <w:rFonts w:hint="default" w:ascii="宋体" w:hAnsi="宋体"/>
                <w:color w:val="000000"/>
                <w:sz w:val="21"/>
                <w:szCs w:val="21"/>
              </w:rPr>
              <w:t>对于在调整、检查、维修时需要察看危险区域或人体局部</w:t>
            </w:r>
            <w:r>
              <w:rPr>
                <w:rFonts w:hint="eastAsia" w:ascii="宋体" w:hAnsi="宋体"/>
                <w:color w:val="000000"/>
                <w:sz w:val="21"/>
                <w:szCs w:val="21"/>
                <w:lang w:eastAsia="zh-CN"/>
              </w:rPr>
              <w:t>（</w:t>
            </w:r>
            <w:r>
              <w:rPr>
                <w:rFonts w:hint="default" w:ascii="宋体" w:hAnsi="宋体"/>
                <w:color w:val="000000"/>
                <w:sz w:val="21"/>
                <w:szCs w:val="21"/>
              </w:rPr>
              <w:t>手或臂</w:t>
            </w:r>
            <w:r>
              <w:rPr>
                <w:rFonts w:hint="eastAsia" w:ascii="宋体" w:hAnsi="宋体"/>
                <w:color w:val="000000"/>
                <w:sz w:val="21"/>
                <w:szCs w:val="21"/>
                <w:lang w:eastAsia="zh-CN"/>
              </w:rPr>
              <w:t>）</w:t>
            </w:r>
            <w:r>
              <w:rPr>
                <w:rFonts w:hint="default" w:ascii="宋体" w:hAnsi="宋体"/>
                <w:color w:val="000000"/>
                <w:sz w:val="21"/>
                <w:szCs w:val="21"/>
              </w:rPr>
              <w:t>需要伸进危险区域的生产设备，设计上必须采取防止意外起动措施</w:t>
            </w:r>
            <w:r>
              <w:rPr>
                <w:rFonts w:hint="eastAsia" w:ascii="宋体" w:hAnsi="宋体"/>
                <w:color w:val="000000"/>
                <w:sz w:val="21"/>
                <w:szCs w:val="21"/>
              </w:rPr>
              <w:t>。</w:t>
            </w:r>
          </w:p>
        </w:tc>
        <w:tc>
          <w:tcPr>
            <w:tcW w:w="1250" w:type="pct"/>
            <w:tcBorders>
              <w:tl2br w:val="nil"/>
              <w:tr2bl w:val="nil"/>
            </w:tcBorders>
            <w:noWrap w:val="0"/>
            <w:vAlign w:val="center"/>
          </w:tcPr>
          <w:p w14:paraId="5471BE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lang w:val="en-US" w:eastAsia="zh-CN"/>
              </w:rPr>
            </w:pPr>
            <w:r>
              <w:rPr>
                <w:rFonts w:hint="eastAsia" w:ascii="宋体" w:hAnsi="宋体" w:eastAsia="宋体" w:cs="Times New Roman"/>
                <w:color w:val="000000"/>
                <w:sz w:val="21"/>
                <w:szCs w:val="21"/>
              </w:rPr>
              <w:t xml:space="preserve">《生产设备安全卫生设计总则》 </w:t>
            </w:r>
            <w:r>
              <w:rPr>
                <w:rFonts w:hint="eastAsia" w:ascii="宋体" w:hAnsi="宋体" w:eastAsia="宋体" w:cs="Times New Roman"/>
                <w:color w:val="000000"/>
                <w:sz w:val="21"/>
                <w:szCs w:val="21"/>
                <w:lang w:val="en-US" w:eastAsia="zh-CN"/>
              </w:rPr>
              <w:t>(</w:t>
            </w:r>
            <w:r>
              <w:rPr>
                <w:rFonts w:hint="eastAsia" w:ascii="宋体" w:hAnsi="宋体" w:eastAsia="宋体" w:cs="Times New Roman"/>
                <w:color w:val="000000"/>
                <w:sz w:val="21"/>
                <w:szCs w:val="21"/>
              </w:rPr>
              <w:t>GB5083-1999</w:t>
            </w:r>
            <w:r>
              <w:rPr>
                <w:rFonts w:hint="eastAsia" w:ascii="宋体" w:hAnsi="宋体" w:eastAsia="宋体" w:cs="Times New Roman"/>
                <w:color w:val="000000"/>
                <w:sz w:val="21"/>
                <w:szCs w:val="21"/>
                <w:lang w:val="en-US" w:eastAsia="zh-CN"/>
              </w:rPr>
              <w:t>)</w:t>
            </w:r>
          </w:p>
          <w:p w14:paraId="75EFB7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5.6.3.1</w:t>
            </w:r>
          </w:p>
        </w:tc>
        <w:tc>
          <w:tcPr>
            <w:tcW w:w="927" w:type="pct"/>
            <w:tcBorders>
              <w:tl2br w:val="nil"/>
              <w:tr2bl w:val="nil"/>
            </w:tcBorders>
            <w:noWrap w:val="0"/>
            <w:vAlign w:val="center"/>
          </w:tcPr>
          <w:p w14:paraId="34619C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项目</w:t>
            </w:r>
            <w:r>
              <w:rPr>
                <w:rFonts w:hint="default" w:ascii="宋体" w:hAnsi="宋体"/>
                <w:color w:val="000000"/>
                <w:sz w:val="21"/>
                <w:szCs w:val="21"/>
              </w:rPr>
              <w:t>生产设备</w:t>
            </w:r>
            <w:r>
              <w:rPr>
                <w:rFonts w:hint="eastAsia" w:ascii="宋体" w:hAnsi="宋体"/>
                <w:color w:val="000000"/>
                <w:sz w:val="21"/>
                <w:szCs w:val="21"/>
                <w:lang w:val="en-US" w:eastAsia="zh-CN"/>
              </w:rPr>
              <w:t>设置有</w:t>
            </w:r>
            <w:r>
              <w:rPr>
                <w:rFonts w:hint="default" w:ascii="宋体" w:hAnsi="宋体"/>
                <w:color w:val="000000"/>
                <w:sz w:val="21"/>
                <w:szCs w:val="21"/>
              </w:rPr>
              <w:t>防止意外起动措施</w:t>
            </w:r>
          </w:p>
        </w:tc>
        <w:tc>
          <w:tcPr>
            <w:tcW w:w="291" w:type="pct"/>
            <w:tcBorders>
              <w:tl2br w:val="nil"/>
              <w:tr2bl w:val="nil"/>
            </w:tcBorders>
            <w:noWrap w:val="0"/>
            <w:vAlign w:val="center"/>
          </w:tcPr>
          <w:p w14:paraId="25CE99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宋体" w:hAnsi="宋体"/>
                <w:color w:val="000000"/>
                <w:sz w:val="21"/>
                <w:szCs w:val="21"/>
              </w:rPr>
              <w:t>符合</w:t>
            </w:r>
          </w:p>
        </w:tc>
      </w:tr>
      <w:tr w14:paraId="67F756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2AA4A33E">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5CDE8FB8">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left"/>
              <w:textAlignment w:val="auto"/>
              <w:rPr>
                <w:rFonts w:hint="default" w:ascii="宋体" w:hAnsi="宋体"/>
                <w:color w:val="000000"/>
                <w:sz w:val="21"/>
                <w:szCs w:val="21"/>
              </w:rPr>
            </w:pPr>
            <w:r>
              <w:rPr>
                <w:rFonts w:hint="eastAsia" w:ascii="宋体" w:hAnsi="宋体"/>
                <w:color w:val="000000"/>
                <w:sz w:val="21"/>
                <w:szCs w:val="21"/>
              </w:rPr>
              <w:t>生产设备因意外启动可能危及人身安全时，必须配置起强制作用的安全防护装置。必要时，应配置两种以上互为联锁的安全装置，以防止意外启动。</w:t>
            </w:r>
          </w:p>
        </w:tc>
        <w:tc>
          <w:tcPr>
            <w:tcW w:w="1250" w:type="pct"/>
            <w:tcBorders>
              <w:tl2br w:val="nil"/>
              <w:tr2bl w:val="nil"/>
            </w:tcBorders>
            <w:noWrap w:val="0"/>
            <w:vAlign w:val="center"/>
          </w:tcPr>
          <w:p w14:paraId="52C295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lang w:val="en-US" w:eastAsia="zh-CN"/>
              </w:rPr>
            </w:pPr>
            <w:r>
              <w:rPr>
                <w:rFonts w:hint="eastAsia" w:ascii="宋体" w:hAnsi="宋体" w:eastAsia="宋体" w:cs="Times New Roman"/>
                <w:color w:val="000000"/>
                <w:sz w:val="21"/>
                <w:szCs w:val="21"/>
              </w:rPr>
              <w:t xml:space="preserve">《生产设备安全卫生设计总则》 </w:t>
            </w:r>
            <w:r>
              <w:rPr>
                <w:rFonts w:hint="eastAsia" w:ascii="宋体" w:hAnsi="宋体" w:eastAsia="宋体" w:cs="Times New Roman"/>
                <w:color w:val="000000"/>
                <w:sz w:val="21"/>
                <w:szCs w:val="21"/>
                <w:lang w:val="en-US" w:eastAsia="zh-CN"/>
              </w:rPr>
              <w:t>(</w:t>
            </w:r>
            <w:r>
              <w:rPr>
                <w:rFonts w:hint="eastAsia" w:ascii="宋体" w:hAnsi="宋体" w:eastAsia="宋体" w:cs="Times New Roman"/>
                <w:color w:val="000000"/>
                <w:sz w:val="21"/>
                <w:szCs w:val="21"/>
              </w:rPr>
              <w:t>GB5083-1999</w:t>
            </w:r>
            <w:r>
              <w:rPr>
                <w:rFonts w:hint="eastAsia" w:ascii="宋体" w:hAnsi="宋体" w:eastAsia="宋体" w:cs="Times New Roman"/>
                <w:color w:val="000000"/>
                <w:sz w:val="21"/>
                <w:szCs w:val="21"/>
                <w:lang w:val="en-US" w:eastAsia="zh-CN"/>
              </w:rPr>
              <w:t>)</w:t>
            </w:r>
          </w:p>
          <w:p w14:paraId="259575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5.6.3.2</w:t>
            </w:r>
          </w:p>
        </w:tc>
        <w:tc>
          <w:tcPr>
            <w:tcW w:w="927" w:type="pct"/>
            <w:tcBorders>
              <w:tl2br w:val="nil"/>
              <w:tr2bl w:val="nil"/>
            </w:tcBorders>
            <w:noWrap w:val="0"/>
            <w:vAlign w:val="center"/>
          </w:tcPr>
          <w:p w14:paraId="78006F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color w:val="000000"/>
                <w:sz w:val="21"/>
                <w:szCs w:val="21"/>
              </w:rPr>
            </w:pPr>
            <w:r>
              <w:rPr>
                <w:rFonts w:hint="eastAsia" w:ascii="宋体" w:hAnsi="宋体"/>
                <w:color w:val="000000"/>
                <w:sz w:val="21"/>
                <w:szCs w:val="21"/>
              </w:rPr>
              <w:t>生产设备配置起强制作用的安全防护装置。</w:t>
            </w:r>
          </w:p>
        </w:tc>
        <w:tc>
          <w:tcPr>
            <w:tcW w:w="291" w:type="pct"/>
            <w:tcBorders>
              <w:tl2br w:val="nil"/>
              <w:tr2bl w:val="nil"/>
            </w:tcBorders>
            <w:noWrap w:val="0"/>
            <w:vAlign w:val="center"/>
          </w:tcPr>
          <w:p w14:paraId="182200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宋体" w:hAnsi="宋体"/>
                <w:color w:val="000000"/>
                <w:sz w:val="21"/>
                <w:szCs w:val="21"/>
              </w:rPr>
              <w:t>符合</w:t>
            </w:r>
          </w:p>
        </w:tc>
      </w:tr>
      <w:tr w14:paraId="59B87C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15FB8B1B">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5F81F0E3">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left"/>
              <w:textAlignment w:val="auto"/>
              <w:rPr>
                <w:rFonts w:hint="default" w:ascii="宋体" w:hAnsi="宋体"/>
                <w:color w:val="000000"/>
                <w:sz w:val="21"/>
                <w:szCs w:val="21"/>
              </w:rPr>
            </w:pPr>
            <w:r>
              <w:rPr>
                <w:rFonts w:hint="eastAsia" w:ascii="宋体" w:hAnsi="宋体"/>
                <w:color w:val="000000"/>
                <w:sz w:val="21"/>
                <w:szCs w:val="21"/>
              </w:rPr>
              <w:t>当动力源因故偶然切断后又</w:t>
            </w:r>
            <w:r>
              <w:rPr>
                <w:rFonts w:hint="eastAsia" w:ascii="宋体" w:hAnsi="宋体"/>
                <w:color w:val="000000"/>
                <w:sz w:val="21"/>
                <w:szCs w:val="21"/>
                <w:lang w:eastAsia="zh-CN"/>
              </w:rPr>
              <w:t>重新</w:t>
            </w:r>
            <w:r>
              <w:rPr>
                <w:rFonts w:hint="eastAsia" w:ascii="宋体" w:hAnsi="宋体"/>
                <w:color w:val="000000"/>
                <w:sz w:val="21"/>
                <w:szCs w:val="21"/>
              </w:rPr>
              <w:t>自动接通时，控制设备应能避免生产设备产生危险运转。</w:t>
            </w:r>
          </w:p>
        </w:tc>
        <w:tc>
          <w:tcPr>
            <w:tcW w:w="1250" w:type="pct"/>
            <w:tcBorders>
              <w:tl2br w:val="nil"/>
              <w:tr2bl w:val="nil"/>
            </w:tcBorders>
            <w:noWrap w:val="0"/>
            <w:vAlign w:val="center"/>
          </w:tcPr>
          <w:p w14:paraId="753E26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lang w:val="en-US" w:eastAsia="zh-CN"/>
              </w:rPr>
            </w:pPr>
            <w:r>
              <w:rPr>
                <w:rFonts w:hint="eastAsia" w:ascii="宋体" w:hAnsi="宋体" w:eastAsia="宋体" w:cs="Times New Roman"/>
                <w:color w:val="000000"/>
                <w:sz w:val="21"/>
                <w:szCs w:val="21"/>
              </w:rPr>
              <w:t xml:space="preserve">《生产设备安全卫生设计总则》 </w:t>
            </w:r>
            <w:r>
              <w:rPr>
                <w:rFonts w:hint="eastAsia" w:ascii="宋体" w:hAnsi="宋体" w:eastAsia="宋体" w:cs="Times New Roman"/>
                <w:color w:val="000000"/>
                <w:sz w:val="21"/>
                <w:szCs w:val="21"/>
                <w:lang w:val="en-US" w:eastAsia="zh-CN"/>
              </w:rPr>
              <w:t>(</w:t>
            </w:r>
            <w:r>
              <w:rPr>
                <w:rFonts w:hint="eastAsia" w:ascii="宋体" w:hAnsi="宋体" w:eastAsia="宋体" w:cs="Times New Roman"/>
                <w:color w:val="000000"/>
                <w:sz w:val="21"/>
                <w:szCs w:val="21"/>
              </w:rPr>
              <w:t>GB5083-1999</w:t>
            </w:r>
            <w:r>
              <w:rPr>
                <w:rFonts w:hint="eastAsia" w:ascii="宋体" w:hAnsi="宋体" w:eastAsia="宋体" w:cs="Times New Roman"/>
                <w:color w:val="000000"/>
                <w:sz w:val="21"/>
                <w:szCs w:val="21"/>
                <w:lang w:val="en-US" w:eastAsia="zh-CN"/>
              </w:rPr>
              <w:t>)</w:t>
            </w:r>
          </w:p>
          <w:p w14:paraId="5E3728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5.6.3.3</w:t>
            </w:r>
          </w:p>
        </w:tc>
        <w:tc>
          <w:tcPr>
            <w:tcW w:w="927" w:type="pct"/>
            <w:tcBorders>
              <w:tl2br w:val="nil"/>
              <w:tr2bl w:val="nil"/>
            </w:tcBorders>
            <w:noWrap w:val="0"/>
            <w:vAlign w:val="center"/>
          </w:tcPr>
          <w:p w14:paraId="658714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项目设置</w:t>
            </w:r>
            <w:r>
              <w:rPr>
                <w:rFonts w:hint="eastAsia" w:ascii="宋体" w:hAnsi="宋体"/>
                <w:color w:val="000000"/>
                <w:sz w:val="21"/>
                <w:szCs w:val="21"/>
              </w:rPr>
              <w:t>生产设备控制设备</w:t>
            </w:r>
            <w:r>
              <w:rPr>
                <w:rFonts w:hint="eastAsia" w:ascii="宋体" w:hAnsi="宋体"/>
                <w:color w:val="000000"/>
                <w:sz w:val="21"/>
                <w:szCs w:val="21"/>
                <w:lang w:val="en-US" w:eastAsia="zh-CN"/>
              </w:rPr>
              <w:t>能</w:t>
            </w:r>
            <w:r>
              <w:rPr>
                <w:rFonts w:hint="eastAsia" w:ascii="宋体" w:hAnsi="宋体"/>
                <w:color w:val="000000"/>
                <w:sz w:val="21"/>
                <w:szCs w:val="21"/>
              </w:rPr>
              <w:t>避免</w:t>
            </w:r>
            <w:r>
              <w:rPr>
                <w:rFonts w:hint="eastAsia" w:ascii="宋体" w:hAnsi="宋体"/>
                <w:color w:val="000000"/>
                <w:sz w:val="21"/>
                <w:szCs w:val="21"/>
                <w:lang w:val="en-US" w:eastAsia="zh-CN"/>
              </w:rPr>
              <w:t>停电后</w:t>
            </w:r>
            <w:r>
              <w:rPr>
                <w:rFonts w:hint="eastAsia" w:ascii="宋体" w:hAnsi="宋体"/>
                <w:color w:val="000000"/>
                <w:sz w:val="21"/>
                <w:szCs w:val="21"/>
              </w:rPr>
              <w:t>生产设备产生危险运转。</w:t>
            </w:r>
          </w:p>
        </w:tc>
        <w:tc>
          <w:tcPr>
            <w:tcW w:w="291" w:type="pct"/>
            <w:tcBorders>
              <w:tl2br w:val="nil"/>
              <w:tr2bl w:val="nil"/>
            </w:tcBorders>
            <w:noWrap w:val="0"/>
            <w:vAlign w:val="center"/>
          </w:tcPr>
          <w:p w14:paraId="00DF91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宋体" w:hAnsi="宋体"/>
                <w:color w:val="000000"/>
                <w:sz w:val="21"/>
                <w:szCs w:val="21"/>
              </w:rPr>
              <w:t>符合</w:t>
            </w:r>
          </w:p>
        </w:tc>
      </w:tr>
      <w:tr w14:paraId="3FE281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0EF70E46">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5672849E">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宋体" w:hAnsi="宋体"/>
                <w:color w:val="000000"/>
                <w:sz w:val="21"/>
                <w:szCs w:val="21"/>
              </w:rPr>
            </w:pPr>
            <w:r>
              <w:rPr>
                <w:rFonts w:hint="default" w:ascii="Times New Roman" w:hAnsi="Times New Roman" w:eastAsia="宋体" w:cs="Times New Roman"/>
                <w:sz w:val="21"/>
                <w:szCs w:val="21"/>
              </w:rPr>
              <w:t>生产设备上供人员作业的工作位置应安全可靠。其工作空间应保证操作人员的头、臂、手、腿、足在正常作业中有充分的活动余地。</w:t>
            </w:r>
          </w:p>
        </w:tc>
        <w:tc>
          <w:tcPr>
            <w:tcW w:w="1250" w:type="pct"/>
            <w:tcBorders>
              <w:tl2br w:val="nil"/>
              <w:tr2bl w:val="nil"/>
            </w:tcBorders>
            <w:noWrap w:val="0"/>
            <w:vAlign w:val="center"/>
          </w:tcPr>
          <w:p w14:paraId="34DF74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《生产设备安全卫生设计总则》（GB5083-1999）</w:t>
            </w:r>
          </w:p>
          <w:p w14:paraId="5A0CDF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第5.7条</w:t>
            </w:r>
          </w:p>
        </w:tc>
        <w:tc>
          <w:tcPr>
            <w:tcW w:w="927" w:type="pct"/>
            <w:tcBorders>
              <w:tl2br w:val="nil"/>
              <w:tr2bl w:val="nil"/>
            </w:tcBorders>
            <w:noWrap w:val="0"/>
            <w:vAlign w:val="center"/>
          </w:tcPr>
          <w:p w14:paraId="0C0276D4">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宋体" w:hAnsi="宋体"/>
                <w:color w:val="000000"/>
                <w:sz w:val="21"/>
                <w:szCs w:val="21"/>
                <w:lang w:val="en-US" w:eastAsia="zh-CN"/>
              </w:rPr>
            </w:pPr>
            <w:r>
              <w:rPr>
                <w:rFonts w:hint="default" w:ascii="Times New Roman" w:hAnsi="Times New Roman" w:eastAsia="宋体" w:cs="Times New Roman"/>
                <w:sz w:val="21"/>
                <w:szCs w:val="21"/>
              </w:rPr>
              <w:t>本项目内生产设备人员工作的操作位置，有供作业人员工作的位置，安全可靠，危险作业点有退避空间</w:t>
            </w:r>
          </w:p>
        </w:tc>
        <w:tc>
          <w:tcPr>
            <w:tcW w:w="291" w:type="pct"/>
            <w:tcBorders>
              <w:tl2br w:val="nil"/>
              <w:tr2bl w:val="nil"/>
            </w:tcBorders>
            <w:noWrap w:val="0"/>
            <w:vAlign w:val="center"/>
          </w:tcPr>
          <w:p w14:paraId="4F14E769">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color w:val="000000"/>
                <w:sz w:val="21"/>
                <w:szCs w:val="21"/>
              </w:rPr>
            </w:pPr>
            <w:r>
              <w:rPr>
                <w:rFonts w:hint="default" w:ascii="Times New Roman" w:hAnsi="Times New Roman" w:eastAsia="宋体" w:cs="Times New Roman"/>
                <w:sz w:val="21"/>
                <w:szCs w:val="21"/>
              </w:rPr>
              <w:t>符合</w:t>
            </w:r>
          </w:p>
        </w:tc>
      </w:tr>
      <w:tr w14:paraId="37776E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4069CF54">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76FFF969">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宋体" w:hAnsi="宋体"/>
                <w:color w:val="000000"/>
                <w:sz w:val="21"/>
                <w:szCs w:val="21"/>
              </w:rPr>
            </w:pPr>
            <w:r>
              <w:rPr>
                <w:rFonts w:hint="default" w:ascii="Times New Roman" w:hAnsi="Times New Roman" w:eastAsia="宋体" w:cs="Times New Roman"/>
                <w:sz w:val="21"/>
                <w:szCs w:val="21"/>
              </w:rPr>
              <w:t>生产设备上的操作位置，宜能保证操作者交替采用坐姿和立姿。</w:t>
            </w:r>
          </w:p>
        </w:tc>
        <w:tc>
          <w:tcPr>
            <w:tcW w:w="1250" w:type="pct"/>
            <w:tcBorders>
              <w:tl2br w:val="nil"/>
              <w:tr2bl w:val="nil"/>
            </w:tcBorders>
            <w:noWrap w:val="0"/>
            <w:vAlign w:val="center"/>
          </w:tcPr>
          <w:p w14:paraId="61810CE4">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《生产设备安全卫生设计总则》（GB5083-1999）</w:t>
            </w:r>
          </w:p>
          <w:p w14:paraId="1FFB7E86">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Times New Roman"/>
                <w:color w:val="000000"/>
                <w:sz w:val="21"/>
                <w:szCs w:val="21"/>
              </w:rPr>
            </w:pPr>
            <w:r>
              <w:rPr>
                <w:rFonts w:hint="default" w:ascii="Times New Roman" w:hAnsi="Times New Roman" w:eastAsia="宋体" w:cs="Times New Roman"/>
                <w:sz w:val="21"/>
                <w:szCs w:val="21"/>
              </w:rPr>
              <w:t>第5.7.1条</w:t>
            </w:r>
          </w:p>
        </w:tc>
        <w:tc>
          <w:tcPr>
            <w:tcW w:w="927" w:type="pct"/>
            <w:tcBorders>
              <w:tl2br w:val="nil"/>
              <w:tr2bl w:val="nil"/>
            </w:tcBorders>
            <w:noWrap w:val="0"/>
            <w:vAlign w:val="center"/>
          </w:tcPr>
          <w:p w14:paraId="46FB5D3B">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宋体" w:hAnsi="宋体"/>
                <w:color w:val="000000"/>
                <w:sz w:val="21"/>
                <w:szCs w:val="21"/>
                <w:lang w:val="en-US" w:eastAsia="zh-CN"/>
              </w:rPr>
            </w:pPr>
            <w:r>
              <w:rPr>
                <w:rFonts w:hint="default" w:ascii="Times New Roman" w:hAnsi="Times New Roman" w:eastAsia="宋体" w:cs="Times New Roman"/>
                <w:sz w:val="21"/>
                <w:szCs w:val="21"/>
              </w:rPr>
              <w:t>本项目根据实际的操作情况，设置操作位置，能满足操作者正常的操作姿势。</w:t>
            </w:r>
          </w:p>
        </w:tc>
        <w:tc>
          <w:tcPr>
            <w:tcW w:w="291" w:type="pct"/>
            <w:tcBorders>
              <w:tl2br w:val="nil"/>
              <w:tr2bl w:val="nil"/>
            </w:tcBorders>
            <w:noWrap w:val="0"/>
            <w:vAlign w:val="center"/>
          </w:tcPr>
          <w:p w14:paraId="2F0D64AA">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color w:val="000000"/>
                <w:sz w:val="21"/>
                <w:szCs w:val="21"/>
              </w:rPr>
            </w:pPr>
            <w:r>
              <w:rPr>
                <w:rFonts w:hint="default" w:ascii="Times New Roman" w:hAnsi="Times New Roman" w:eastAsia="宋体" w:cs="Times New Roman"/>
                <w:sz w:val="21"/>
                <w:szCs w:val="21"/>
              </w:rPr>
              <w:t>符合</w:t>
            </w:r>
          </w:p>
        </w:tc>
      </w:tr>
      <w:tr w14:paraId="12C1A3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25B1D032">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6A49A162">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宋体" w:hAnsi="宋体"/>
                <w:color w:val="000000"/>
                <w:sz w:val="21"/>
                <w:szCs w:val="21"/>
              </w:rPr>
            </w:pPr>
            <w:r>
              <w:rPr>
                <w:rFonts w:hint="default" w:ascii="Times New Roman" w:hAnsi="Times New Roman" w:eastAsia="宋体" w:cs="Times New Roman"/>
                <w:sz w:val="21"/>
                <w:szCs w:val="21"/>
              </w:rPr>
              <w:t>操纵室必须保证人员操作的安全、方便和舒适。同时宜保证操作者在座位上能直接控制全部操作部位及操作件并使其具有良好的视野。</w:t>
            </w:r>
          </w:p>
        </w:tc>
        <w:tc>
          <w:tcPr>
            <w:tcW w:w="1250" w:type="pct"/>
            <w:tcBorders>
              <w:tl2br w:val="nil"/>
              <w:tr2bl w:val="nil"/>
            </w:tcBorders>
            <w:noWrap w:val="0"/>
            <w:vAlign w:val="center"/>
          </w:tcPr>
          <w:p w14:paraId="19FD79CE">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《生产设备安全卫生设计总则》（GB5083-1999）</w:t>
            </w:r>
          </w:p>
          <w:p w14:paraId="52278711">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Times New Roman"/>
                <w:color w:val="000000"/>
                <w:sz w:val="21"/>
                <w:szCs w:val="21"/>
              </w:rPr>
            </w:pPr>
            <w:r>
              <w:rPr>
                <w:rFonts w:hint="default" w:ascii="Times New Roman" w:hAnsi="Times New Roman" w:eastAsia="宋体" w:cs="Times New Roman"/>
                <w:sz w:val="21"/>
                <w:szCs w:val="21"/>
              </w:rPr>
              <w:t>第5.7.3.1条</w:t>
            </w:r>
          </w:p>
        </w:tc>
        <w:tc>
          <w:tcPr>
            <w:tcW w:w="927" w:type="pct"/>
            <w:tcBorders>
              <w:tl2br w:val="nil"/>
              <w:tr2bl w:val="nil"/>
            </w:tcBorders>
            <w:noWrap w:val="0"/>
            <w:vAlign w:val="center"/>
          </w:tcPr>
          <w:p w14:paraId="0CB81F90">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宋体" w:hAnsi="宋体"/>
                <w:color w:val="000000"/>
                <w:sz w:val="21"/>
                <w:szCs w:val="21"/>
                <w:lang w:val="en-US" w:eastAsia="zh-CN"/>
              </w:rPr>
            </w:pPr>
            <w:r>
              <w:rPr>
                <w:rFonts w:hint="default" w:ascii="Times New Roman" w:hAnsi="Times New Roman" w:eastAsia="宋体" w:cs="Times New Roman"/>
                <w:sz w:val="21"/>
                <w:szCs w:val="21"/>
              </w:rPr>
              <w:t>本项目生产车间各操作间能保证人员操作的安全、方便及舒适。</w:t>
            </w:r>
          </w:p>
        </w:tc>
        <w:tc>
          <w:tcPr>
            <w:tcW w:w="291" w:type="pct"/>
            <w:tcBorders>
              <w:tl2br w:val="nil"/>
              <w:tr2bl w:val="nil"/>
            </w:tcBorders>
            <w:noWrap w:val="0"/>
            <w:vAlign w:val="center"/>
          </w:tcPr>
          <w:p w14:paraId="64288FA4">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color w:val="000000"/>
                <w:sz w:val="21"/>
                <w:szCs w:val="21"/>
              </w:rPr>
            </w:pPr>
            <w:r>
              <w:rPr>
                <w:rFonts w:hint="default" w:ascii="Times New Roman" w:hAnsi="Times New Roman" w:eastAsia="宋体" w:cs="Times New Roman"/>
                <w:sz w:val="21"/>
                <w:szCs w:val="21"/>
              </w:rPr>
              <w:t>符合</w:t>
            </w:r>
          </w:p>
        </w:tc>
      </w:tr>
      <w:tr w14:paraId="44E539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48C016D9">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3354A4B5">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宋体" w:hAnsi="宋体"/>
                <w:color w:val="000000"/>
                <w:sz w:val="21"/>
                <w:szCs w:val="21"/>
              </w:rPr>
            </w:pPr>
            <w:r>
              <w:rPr>
                <w:rFonts w:hint="default" w:ascii="Times New Roman" w:hAnsi="Times New Roman" w:eastAsia="宋体" w:cs="Times New Roman"/>
                <w:sz w:val="21"/>
                <w:szCs w:val="21"/>
              </w:rPr>
              <w:t>若操作人员进行操作、维护、调节的工作位置在坠落基准面2m以上时，则必须在生产设备上配置供站立的平台和防坠落的护栏、护板或安全圈等。</w:t>
            </w:r>
          </w:p>
        </w:tc>
        <w:tc>
          <w:tcPr>
            <w:tcW w:w="1250" w:type="pct"/>
            <w:tcBorders>
              <w:tl2br w:val="nil"/>
              <w:tr2bl w:val="nil"/>
            </w:tcBorders>
            <w:noWrap w:val="0"/>
            <w:vAlign w:val="center"/>
          </w:tcPr>
          <w:p w14:paraId="5F9678AF">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《生产设备安全卫生设计总则》（GB5083-1999）</w:t>
            </w:r>
          </w:p>
          <w:p w14:paraId="50CD998C">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Times New Roman"/>
                <w:color w:val="000000"/>
                <w:sz w:val="21"/>
                <w:szCs w:val="21"/>
              </w:rPr>
            </w:pPr>
            <w:r>
              <w:rPr>
                <w:rFonts w:hint="default" w:ascii="Times New Roman" w:hAnsi="Times New Roman" w:eastAsia="宋体" w:cs="Times New Roman"/>
                <w:sz w:val="21"/>
                <w:szCs w:val="21"/>
              </w:rPr>
              <w:t>第5.7.4条</w:t>
            </w:r>
          </w:p>
        </w:tc>
        <w:tc>
          <w:tcPr>
            <w:tcW w:w="927" w:type="pct"/>
            <w:tcBorders>
              <w:tl2br w:val="nil"/>
              <w:tr2bl w:val="nil"/>
            </w:tcBorders>
            <w:noWrap w:val="0"/>
            <w:vAlign w:val="center"/>
          </w:tcPr>
          <w:p w14:paraId="1F4ED7A8">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宋体" w:hAnsi="宋体"/>
                <w:color w:val="000000"/>
                <w:sz w:val="21"/>
                <w:szCs w:val="21"/>
                <w:lang w:val="en-US" w:eastAsia="zh-CN"/>
              </w:rPr>
            </w:pPr>
            <w:r>
              <w:rPr>
                <w:rFonts w:hint="default" w:ascii="Times New Roman" w:hAnsi="Times New Roman" w:eastAsia="宋体" w:cs="Times New Roman"/>
                <w:sz w:val="21"/>
                <w:szCs w:val="21"/>
              </w:rPr>
              <w:t>高处平台周边已设置防护栏。</w:t>
            </w:r>
          </w:p>
        </w:tc>
        <w:tc>
          <w:tcPr>
            <w:tcW w:w="291" w:type="pct"/>
            <w:tcBorders>
              <w:tl2br w:val="nil"/>
              <w:tr2bl w:val="nil"/>
            </w:tcBorders>
            <w:noWrap w:val="0"/>
            <w:vAlign w:val="center"/>
          </w:tcPr>
          <w:p w14:paraId="6E3472E2">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color w:val="000000"/>
                <w:sz w:val="21"/>
                <w:szCs w:val="21"/>
              </w:rPr>
            </w:pPr>
            <w:r>
              <w:rPr>
                <w:rFonts w:hint="default" w:ascii="Times New Roman" w:hAnsi="Times New Roman" w:eastAsia="宋体" w:cs="Times New Roman"/>
                <w:sz w:val="21"/>
                <w:szCs w:val="21"/>
              </w:rPr>
              <w:t>符合</w:t>
            </w:r>
          </w:p>
        </w:tc>
      </w:tr>
      <w:tr w14:paraId="0D9DA4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39318200">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7DA01E22">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宋体" w:hAnsi="宋体"/>
                <w:color w:val="000000"/>
                <w:sz w:val="21"/>
                <w:szCs w:val="21"/>
              </w:rPr>
            </w:pPr>
            <w:r>
              <w:rPr>
                <w:rFonts w:hint="default" w:ascii="Times New Roman" w:hAnsi="Times New Roman" w:eastAsia="宋体" w:cs="Times New Roman"/>
                <w:sz w:val="21"/>
                <w:szCs w:val="21"/>
              </w:rPr>
              <w:t>生产设备必须保证操作点和操作区域有足够的照度，但要避免各种频闪效应和眩光现象。</w:t>
            </w:r>
          </w:p>
        </w:tc>
        <w:tc>
          <w:tcPr>
            <w:tcW w:w="1250" w:type="pct"/>
            <w:tcBorders>
              <w:tl2br w:val="nil"/>
              <w:tr2bl w:val="nil"/>
            </w:tcBorders>
            <w:noWrap w:val="0"/>
            <w:vAlign w:val="center"/>
          </w:tcPr>
          <w:p w14:paraId="225E8E7A">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《生产设备安全卫生设计总则》（GB5083-1999）</w:t>
            </w:r>
          </w:p>
          <w:p w14:paraId="2770EDC7">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Times New Roman"/>
                <w:color w:val="000000"/>
                <w:sz w:val="21"/>
                <w:szCs w:val="21"/>
              </w:rPr>
            </w:pPr>
            <w:r>
              <w:rPr>
                <w:rFonts w:hint="default" w:ascii="Times New Roman" w:hAnsi="Times New Roman" w:eastAsia="宋体" w:cs="Times New Roman"/>
                <w:sz w:val="21"/>
                <w:szCs w:val="21"/>
              </w:rPr>
              <w:t>第5.8.1条</w:t>
            </w:r>
          </w:p>
        </w:tc>
        <w:tc>
          <w:tcPr>
            <w:tcW w:w="927" w:type="pct"/>
            <w:tcBorders>
              <w:tl2br w:val="nil"/>
              <w:tr2bl w:val="nil"/>
            </w:tcBorders>
            <w:noWrap w:val="0"/>
            <w:vAlign w:val="center"/>
          </w:tcPr>
          <w:p w14:paraId="111810CE">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本项目各作业场所均设置了照明设施，能保证操作</w:t>
            </w:r>
            <w:r>
              <w:rPr>
                <w:rFonts w:hint="eastAsia" w:ascii="Times New Roman" w:hAnsi="Times New Roman" w:eastAsia="宋体" w:cs="Times New Roman"/>
                <w:sz w:val="21"/>
                <w:szCs w:val="21"/>
                <w:lang w:val="en-US" w:eastAsia="zh-CN"/>
              </w:rPr>
              <w:t>所需</w:t>
            </w:r>
            <w:r>
              <w:rPr>
                <w:rFonts w:hint="default" w:ascii="Times New Roman" w:hAnsi="Times New Roman" w:eastAsia="宋体" w:cs="Times New Roman"/>
                <w:sz w:val="21"/>
                <w:szCs w:val="21"/>
              </w:rPr>
              <w:t>照度。</w:t>
            </w:r>
          </w:p>
        </w:tc>
        <w:tc>
          <w:tcPr>
            <w:tcW w:w="291" w:type="pct"/>
            <w:tcBorders>
              <w:tl2br w:val="nil"/>
              <w:tr2bl w:val="nil"/>
            </w:tcBorders>
            <w:noWrap w:val="0"/>
            <w:vAlign w:val="center"/>
          </w:tcPr>
          <w:p w14:paraId="57EC8E98">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color w:val="000000"/>
                <w:sz w:val="21"/>
                <w:szCs w:val="21"/>
              </w:rPr>
            </w:pPr>
            <w:r>
              <w:rPr>
                <w:rFonts w:hint="default" w:ascii="Times New Roman" w:hAnsi="Times New Roman" w:eastAsia="宋体" w:cs="Times New Roman"/>
                <w:sz w:val="21"/>
                <w:szCs w:val="21"/>
              </w:rPr>
              <w:t>符合</w:t>
            </w:r>
          </w:p>
        </w:tc>
      </w:tr>
      <w:tr w14:paraId="0C46F4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2E6AFA17">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67912C99">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宋体" w:hAnsi="宋体"/>
                <w:color w:val="000000"/>
                <w:sz w:val="21"/>
                <w:szCs w:val="21"/>
              </w:rPr>
            </w:pPr>
            <w:r>
              <w:rPr>
                <w:rFonts w:hint="default" w:ascii="Times New Roman" w:hAnsi="Times New Roman" w:eastAsia="宋体" w:cs="Times New Roman"/>
                <w:sz w:val="21"/>
                <w:szCs w:val="21"/>
              </w:rPr>
              <w:t>设计生产设备，必须考虑检查和维修的安全性、方便性。必要时，应随设备配备专用检查、维修工具或装置。</w:t>
            </w:r>
          </w:p>
        </w:tc>
        <w:tc>
          <w:tcPr>
            <w:tcW w:w="1250" w:type="pct"/>
            <w:tcBorders>
              <w:tl2br w:val="nil"/>
              <w:tr2bl w:val="nil"/>
            </w:tcBorders>
            <w:noWrap w:val="0"/>
            <w:vAlign w:val="center"/>
          </w:tcPr>
          <w:p w14:paraId="1968D882">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《生产设备安全卫生设计总则》（GB5083-1999）</w:t>
            </w:r>
          </w:p>
          <w:p w14:paraId="2D64CBBC">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Times New Roman"/>
                <w:color w:val="000000"/>
                <w:sz w:val="21"/>
                <w:szCs w:val="21"/>
              </w:rPr>
            </w:pPr>
            <w:r>
              <w:rPr>
                <w:rFonts w:hint="default" w:ascii="Times New Roman" w:hAnsi="Times New Roman" w:eastAsia="宋体" w:cs="Times New Roman"/>
                <w:sz w:val="21"/>
                <w:szCs w:val="21"/>
              </w:rPr>
              <w:t>第5.10.1条</w:t>
            </w:r>
          </w:p>
        </w:tc>
        <w:tc>
          <w:tcPr>
            <w:tcW w:w="927" w:type="pct"/>
            <w:tcBorders>
              <w:tl2br w:val="nil"/>
              <w:tr2bl w:val="nil"/>
            </w:tcBorders>
            <w:noWrap w:val="0"/>
            <w:vAlign w:val="center"/>
          </w:tcPr>
          <w:p w14:paraId="66237C4A">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本项目设备的设计及安装均考虑了检查和维修的安全性、方便性，配备了专用的检查、维修工具。</w:t>
            </w:r>
          </w:p>
        </w:tc>
        <w:tc>
          <w:tcPr>
            <w:tcW w:w="291" w:type="pct"/>
            <w:tcBorders>
              <w:tl2br w:val="nil"/>
              <w:tr2bl w:val="nil"/>
            </w:tcBorders>
            <w:noWrap w:val="0"/>
            <w:vAlign w:val="center"/>
          </w:tcPr>
          <w:p w14:paraId="30AF281C">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color w:val="000000"/>
                <w:sz w:val="21"/>
                <w:szCs w:val="21"/>
              </w:rPr>
            </w:pPr>
            <w:r>
              <w:rPr>
                <w:rFonts w:hint="default" w:ascii="Times New Roman" w:hAnsi="Times New Roman" w:eastAsia="宋体" w:cs="Times New Roman"/>
                <w:sz w:val="21"/>
                <w:szCs w:val="21"/>
              </w:rPr>
              <w:t>符合</w:t>
            </w:r>
          </w:p>
        </w:tc>
      </w:tr>
      <w:tr w14:paraId="3FD823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3283E169">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5B716FB2">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left"/>
              <w:textAlignment w:val="auto"/>
              <w:rPr>
                <w:rFonts w:hint="default" w:ascii="宋体" w:hAnsi="宋体"/>
                <w:color w:val="000000"/>
                <w:sz w:val="21"/>
                <w:szCs w:val="21"/>
              </w:rPr>
            </w:pPr>
            <w:r>
              <w:rPr>
                <w:rFonts w:hint="eastAsia" w:ascii="宋体" w:hAnsi="宋体"/>
                <w:color w:val="000000"/>
                <w:kern w:val="0"/>
                <w:sz w:val="21"/>
                <w:szCs w:val="21"/>
              </w:rPr>
              <w:t>人员易触及的可动零部件，应尽可能封闭或隔离。</w:t>
            </w:r>
          </w:p>
        </w:tc>
        <w:tc>
          <w:tcPr>
            <w:tcW w:w="1250" w:type="pct"/>
            <w:tcBorders>
              <w:tl2br w:val="nil"/>
              <w:tr2bl w:val="nil"/>
            </w:tcBorders>
            <w:noWrap w:val="0"/>
            <w:vAlign w:val="center"/>
          </w:tcPr>
          <w:p w14:paraId="439BEC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lang w:val="en-US" w:eastAsia="zh-CN"/>
              </w:rPr>
            </w:pPr>
            <w:r>
              <w:rPr>
                <w:rFonts w:hint="eastAsia" w:ascii="宋体" w:hAnsi="宋体" w:eastAsia="宋体" w:cs="Times New Roman"/>
                <w:color w:val="000000"/>
                <w:sz w:val="21"/>
                <w:szCs w:val="21"/>
              </w:rPr>
              <w:t xml:space="preserve">《生产设备安全卫生设计总则》 </w:t>
            </w:r>
            <w:r>
              <w:rPr>
                <w:rFonts w:hint="eastAsia" w:ascii="宋体" w:hAnsi="宋体" w:eastAsia="宋体" w:cs="Times New Roman"/>
                <w:color w:val="000000"/>
                <w:sz w:val="21"/>
                <w:szCs w:val="21"/>
                <w:lang w:val="en-US" w:eastAsia="zh-CN"/>
              </w:rPr>
              <w:t>(</w:t>
            </w:r>
            <w:r>
              <w:rPr>
                <w:rFonts w:hint="eastAsia" w:ascii="宋体" w:hAnsi="宋体" w:eastAsia="宋体" w:cs="Times New Roman"/>
                <w:color w:val="000000"/>
                <w:sz w:val="21"/>
                <w:szCs w:val="21"/>
              </w:rPr>
              <w:t>GB5083-1999</w:t>
            </w:r>
            <w:r>
              <w:rPr>
                <w:rFonts w:hint="eastAsia" w:ascii="宋体" w:hAnsi="宋体" w:eastAsia="宋体" w:cs="Times New Roman"/>
                <w:color w:val="000000"/>
                <w:sz w:val="21"/>
                <w:szCs w:val="21"/>
                <w:lang w:val="en-US" w:eastAsia="zh-CN"/>
              </w:rPr>
              <w:t>)</w:t>
            </w:r>
          </w:p>
          <w:p w14:paraId="634993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6.1.1</w:t>
            </w:r>
          </w:p>
        </w:tc>
        <w:tc>
          <w:tcPr>
            <w:tcW w:w="927" w:type="pct"/>
            <w:tcBorders>
              <w:tl2br w:val="nil"/>
              <w:tr2bl w:val="nil"/>
            </w:tcBorders>
            <w:noWrap w:val="0"/>
            <w:vAlign w:val="center"/>
          </w:tcPr>
          <w:p w14:paraId="12BC8598">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项目生产设备</w:t>
            </w:r>
            <w:r>
              <w:rPr>
                <w:rFonts w:hint="eastAsia" w:ascii="Times New Roman" w:hAnsi="Times New Roman" w:eastAsia="宋体" w:cs="Times New Roman"/>
                <w:sz w:val="21"/>
                <w:szCs w:val="21"/>
              </w:rPr>
              <w:t>人员易触及的可动零部件，</w:t>
            </w:r>
            <w:r>
              <w:rPr>
                <w:rFonts w:hint="eastAsia" w:ascii="Times New Roman" w:hAnsi="Times New Roman" w:eastAsia="宋体" w:cs="Times New Roman"/>
                <w:sz w:val="21"/>
                <w:szCs w:val="21"/>
                <w:lang w:val="en-US" w:eastAsia="zh-CN"/>
              </w:rPr>
              <w:t>有</w:t>
            </w:r>
            <w:r>
              <w:rPr>
                <w:rFonts w:hint="eastAsia" w:ascii="Times New Roman" w:hAnsi="Times New Roman" w:eastAsia="宋体" w:cs="Times New Roman"/>
                <w:sz w:val="21"/>
                <w:szCs w:val="21"/>
              </w:rPr>
              <w:t>封闭或隔离</w:t>
            </w:r>
            <w:r>
              <w:rPr>
                <w:rFonts w:hint="eastAsia" w:ascii="Times New Roman" w:hAnsi="Times New Roman" w:eastAsia="宋体" w:cs="Times New Roman"/>
                <w:sz w:val="21"/>
                <w:szCs w:val="21"/>
                <w:lang w:val="en-US" w:eastAsia="zh-CN"/>
              </w:rPr>
              <w:t>措施</w:t>
            </w:r>
            <w:r>
              <w:rPr>
                <w:rFonts w:hint="eastAsia" w:ascii="Times New Roman" w:hAnsi="Times New Roman" w:eastAsia="宋体" w:cs="Times New Roman"/>
                <w:sz w:val="21"/>
                <w:szCs w:val="21"/>
              </w:rPr>
              <w:t>。</w:t>
            </w:r>
          </w:p>
        </w:tc>
        <w:tc>
          <w:tcPr>
            <w:tcW w:w="291" w:type="pct"/>
            <w:tcBorders>
              <w:tl2br w:val="nil"/>
              <w:tr2bl w:val="nil"/>
            </w:tcBorders>
            <w:noWrap w:val="0"/>
            <w:vAlign w:val="center"/>
          </w:tcPr>
          <w:p w14:paraId="192955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宋体" w:hAnsi="宋体"/>
                <w:color w:val="000000"/>
                <w:sz w:val="21"/>
                <w:szCs w:val="21"/>
              </w:rPr>
              <w:t>符合</w:t>
            </w:r>
          </w:p>
        </w:tc>
      </w:tr>
      <w:tr w14:paraId="5703BA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565C81D2">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10847889">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left"/>
              <w:textAlignment w:val="auto"/>
              <w:rPr>
                <w:rFonts w:hint="default" w:ascii="宋体" w:hAnsi="宋体"/>
                <w:color w:val="000000"/>
                <w:sz w:val="21"/>
                <w:szCs w:val="21"/>
              </w:rPr>
            </w:pPr>
            <w:r>
              <w:rPr>
                <w:rFonts w:hint="eastAsia" w:ascii="宋体" w:hAnsi="宋体"/>
                <w:color w:val="000000"/>
                <w:kern w:val="0"/>
                <w:sz w:val="21"/>
                <w:szCs w:val="21"/>
              </w:rPr>
              <w:t>对操作人员在设备运行时可能触及的可动零部件，必须配置必要的安全防护装置。</w:t>
            </w:r>
          </w:p>
        </w:tc>
        <w:tc>
          <w:tcPr>
            <w:tcW w:w="1250" w:type="pct"/>
            <w:tcBorders>
              <w:tl2br w:val="nil"/>
              <w:tr2bl w:val="nil"/>
            </w:tcBorders>
            <w:noWrap w:val="0"/>
            <w:vAlign w:val="center"/>
          </w:tcPr>
          <w:p w14:paraId="1B1E30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lang w:val="en-US" w:eastAsia="zh-CN"/>
              </w:rPr>
            </w:pPr>
            <w:r>
              <w:rPr>
                <w:rFonts w:hint="eastAsia" w:ascii="宋体" w:hAnsi="宋体" w:eastAsia="宋体" w:cs="Times New Roman"/>
                <w:color w:val="000000"/>
                <w:sz w:val="21"/>
                <w:szCs w:val="21"/>
              </w:rPr>
              <w:t xml:space="preserve">《生产设备安全卫生设计总则》 </w:t>
            </w:r>
            <w:r>
              <w:rPr>
                <w:rFonts w:hint="eastAsia" w:ascii="宋体" w:hAnsi="宋体" w:eastAsia="宋体" w:cs="Times New Roman"/>
                <w:color w:val="000000"/>
                <w:sz w:val="21"/>
                <w:szCs w:val="21"/>
                <w:lang w:val="en-US" w:eastAsia="zh-CN"/>
              </w:rPr>
              <w:t>(</w:t>
            </w:r>
            <w:r>
              <w:rPr>
                <w:rFonts w:hint="eastAsia" w:ascii="宋体" w:hAnsi="宋体" w:eastAsia="宋体" w:cs="Times New Roman"/>
                <w:color w:val="000000"/>
                <w:sz w:val="21"/>
                <w:szCs w:val="21"/>
              </w:rPr>
              <w:t>GB5083-1999</w:t>
            </w:r>
            <w:r>
              <w:rPr>
                <w:rFonts w:hint="eastAsia" w:ascii="宋体" w:hAnsi="宋体" w:eastAsia="宋体" w:cs="Times New Roman"/>
                <w:color w:val="000000"/>
                <w:sz w:val="21"/>
                <w:szCs w:val="21"/>
                <w:lang w:val="en-US" w:eastAsia="zh-CN"/>
              </w:rPr>
              <w:t>)</w:t>
            </w:r>
          </w:p>
          <w:p w14:paraId="079F03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6.1.2</w:t>
            </w:r>
          </w:p>
        </w:tc>
        <w:tc>
          <w:tcPr>
            <w:tcW w:w="927" w:type="pct"/>
            <w:tcBorders>
              <w:tl2br w:val="nil"/>
              <w:tr2bl w:val="nil"/>
            </w:tcBorders>
            <w:noWrap w:val="0"/>
            <w:vAlign w:val="center"/>
          </w:tcPr>
          <w:p w14:paraId="2C4DAA2C">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设置有相应</w:t>
            </w:r>
            <w:r>
              <w:rPr>
                <w:rFonts w:hint="eastAsia" w:ascii="Times New Roman" w:hAnsi="Times New Roman" w:eastAsia="宋体" w:cs="Times New Roman"/>
                <w:sz w:val="21"/>
                <w:szCs w:val="21"/>
              </w:rPr>
              <w:t>安全防护装置</w:t>
            </w:r>
          </w:p>
        </w:tc>
        <w:tc>
          <w:tcPr>
            <w:tcW w:w="291" w:type="pct"/>
            <w:tcBorders>
              <w:tl2br w:val="nil"/>
              <w:tr2bl w:val="nil"/>
            </w:tcBorders>
            <w:noWrap w:val="0"/>
            <w:vAlign w:val="center"/>
          </w:tcPr>
          <w:p w14:paraId="718E4A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宋体" w:hAnsi="宋体"/>
                <w:color w:val="000000"/>
                <w:sz w:val="21"/>
                <w:szCs w:val="21"/>
              </w:rPr>
              <w:t>符合</w:t>
            </w:r>
          </w:p>
        </w:tc>
      </w:tr>
      <w:tr w14:paraId="070649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746007CD">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73886878">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left"/>
              <w:textAlignment w:val="auto"/>
              <w:rPr>
                <w:rFonts w:hint="default" w:ascii="宋体" w:hAnsi="宋体"/>
                <w:color w:val="000000"/>
                <w:sz w:val="21"/>
                <w:szCs w:val="21"/>
              </w:rPr>
            </w:pPr>
            <w:r>
              <w:rPr>
                <w:rFonts w:hint="eastAsia" w:ascii="宋体" w:hAnsi="宋体"/>
                <w:color w:val="000000"/>
                <w:kern w:val="0"/>
                <w:sz w:val="21"/>
                <w:szCs w:val="21"/>
              </w:rPr>
              <w:t>若可动零部件</w:t>
            </w:r>
            <w:r>
              <w:rPr>
                <w:rFonts w:hint="eastAsia" w:ascii="宋体" w:hAnsi="宋体"/>
                <w:color w:val="000000"/>
                <w:kern w:val="0"/>
                <w:sz w:val="21"/>
                <w:szCs w:val="21"/>
                <w:lang w:eastAsia="zh-CN"/>
              </w:rPr>
              <w:t>（</w:t>
            </w:r>
            <w:r>
              <w:rPr>
                <w:rFonts w:hint="eastAsia" w:ascii="宋体" w:hAnsi="宋体"/>
                <w:color w:val="000000"/>
                <w:kern w:val="0"/>
                <w:sz w:val="21"/>
                <w:szCs w:val="21"/>
              </w:rPr>
              <w:t>含其载荷</w:t>
            </w:r>
            <w:r>
              <w:rPr>
                <w:rFonts w:hint="eastAsia" w:ascii="宋体" w:hAnsi="宋体"/>
                <w:color w:val="000000"/>
                <w:kern w:val="0"/>
                <w:sz w:val="21"/>
                <w:szCs w:val="21"/>
                <w:lang w:eastAsia="zh-CN"/>
              </w:rPr>
              <w:t>）</w:t>
            </w:r>
            <w:r>
              <w:rPr>
                <w:rFonts w:hint="eastAsia" w:ascii="宋体" w:hAnsi="宋体"/>
                <w:color w:val="000000"/>
                <w:kern w:val="0"/>
                <w:sz w:val="21"/>
                <w:szCs w:val="21"/>
              </w:rPr>
              <w:t>所具有的动能或势能可能引起危险时，则必须配置限速、防坠落或防逆转装置。</w:t>
            </w:r>
          </w:p>
        </w:tc>
        <w:tc>
          <w:tcPr>
            <w:tcW w:w="1250" w:type="pct"/>
            <w:tcBorders>
              <w:tl2br w:val="nil"/>
              <w:tr2bl w:val="nil"/>
            </w:tcBorders>
            <w:noWrap w:val="0"/>
            <w:vAlign w:val="center"/>
          </w:tcPr>
          <w:p w14:paraId="5D2ACB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lang w:val="en-US" w:eastAsia="zh-CN"/>
              </w:rPr>
            </w:pPr>
            <w:r>
              <w:rPr>
                <w:rFonts w:hint="eastAsia" w:ascii="宋体" w:hAnsi="宋体" w:eastAsia="宋体" w:cs="Times New Roman"/>
                <w:color w:val="000000"/>
                <w:sz w:val="21"/>
                <w:szCs w:val="21"/>
              </w:rPr>
              <w:t xml:space="preserve">《生产设备安全卫生设计总则》 </w:t>
            </w:r>
            <w:r>
              <w:rPr>
                <w:rFonts w:hint="eastAsia" w:ascii="宋体" w:hAnsi="宋体" w:eastAsia="宋体" w:cs="Times New Roman"/>
                <w:color w:val="000000"/>
                <w:sz w:val="21"/>
                <w:szCs w:val="21"/>
                <w:lang w:val="en-US" w:eastAsia="zh-CN"/>
              </w:rPr>
              <w:t>(</w:t>
            </w:r>
            <w:r>
              <w:rPr>
                <w:rFonts w:hint="eastAsia" w:ascii="宋体" w:hAnsi="宋体" w:eastAsia="宋体" w:cs="Times New Roman"/>
                <w:color w:val="000000"/>
                <w:sz w:val="21"/>
                <w:szCs w:val="21"/>
              </w:rPr>
              <w:t>GB5083-1999</w:t>
            </w:r>
            <w:r>
              <w:rPr>
                <w:rFonts w:hint="eastAsia" w:ascii="宋体" w:hAnsi="宋体" w:eastAsia="宋体" w:cs="Times New Roman"/>
                <w:color w:val="000000"/>
                <w:sz w:val="21"/>
                <w:szCs w:val="21"/>
                <w:lang w:val="en-US" w:eastAsia="zh-CN"/>
              </w:rPr>
              <w:t>)</w:t>
            </w:r>
          </w:p>
          <w:p w14:paraId="172E54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6.1.4</w:t>
            </w:r>
          </w:p>
        </w:tc>
        <w:tc>
          <w:tcPr>
            <w:tcW w:w="927" w:type="pct"/>
            <w:tcBorders>
              <w:tl2br w:val="nil"/>
              <w:tr2bl w:val="nil"/>
            </w:tcBorders>
            <w:noWrap w:val="0"/>
            <w:vAlign w:val="center"/>
          </w:tcPr>
          <w:p w14:paraId="44C19F39">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相应设置</w:t>
            </w:r>
            <w:r>
              <w:rPr>
                <w:rFonts w:hint="eastAsia" w:ascii="Times New Roman" w:hAnsi="Times New Roman" w:eastAsia="宋体" w:cs="Times New Roman"/>
                <w:sz w:val="21"/>
                <w:szCs w:val="21"/>
              </w:rPr>
              <w:t>配置</w:t>
            </w:r>
            <w:r>
              <w:rPr>
                <w:rFonts w:hint="eastAsia" w:ascii="Times New Roman" w:hAnsi="Times New Roman" w:eastAsia="宋体" w:cs="Times New Roman"/>
                <w:sz w:val="21"/>
                <w:szCs w:val="21"/>
                <w:lang w:val="en-US" w:eastAsia="zh-CN"/>
              </w:rPr>
              <w:t>有</w:t>
            </w:r>
            <w:r>
              <w:rPr>
                <w:rFonts w:hint="eastAsia" w:ascii="Times New Roman" w:hAnsi="Times New Roman" w:eastAsia="宋体" w:cs="Times New Roman"/>
                <w:sz w:val="21"/>
                <w:szCs w:val="21"/>
              </w:rPr>
              <w:t>限速、防坠落或防逆转装置。</w:t>
            </w:r>
          </w:p>
        </w:tc>
        <w:tc>
          <w:tcPr>
            <w:tcW w:w="291" w:type="pct"/>
            <w:tcBorders>
              <w:tl2br w:val="nil"/>
              <w:tr2bl w:val="nil"/>
            </w:tcBorders>
            <w:noWrap w:val="0"/>
            <w:vAlign w:val="center"/>
          </w:tcPr>
          <w:p w14:paraId="42317A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宋体" w:hAnsi="宋体"/>
                <w:color w:val="000000"/>
                <w:sz w:val="21"/>
                <w:szCs w:val="21"/>
              </w:rPr>
              <w:t>符合</w:t>
            </w:r>
          </w:p>
        </w:tc>
      </w:tr>
      <w:tr w14:paraId="6FEB22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3322CBF5">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7819B066">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left"/>
              <w:textAlignment w:val="auto"/>
              <w:rPr>
                <w:rFonts w:hint="eastAsia" w:ascii="宋体" w:hAnsi="宋体"/>
                <w:color w:val="000000"/>
                <w:kern w:val="0"/>
                <w:sz w:val="21"/>
                <w:szCs w:val="21"/>
              </w:rPr>
            </w:pPr>
            <w:r>
              <w:rPr>
                <w:rFonts w:hint="eastAsia" w:ascii="宋体" w:hAnsi="宋体"/>
                <w:color w:val="000000"/>
                <w:kern w:val="0"/>
                <w:sz w:val="21"/>
                <w:szCs w:val="21"/>
              </w:rPr>
              <w:t>设计安全装置，应满足下列要求：</w:t>
            </w:r>
          </w:p>
          <w:p w14:paraId="7AB761A7">
            <w:pPr>
              <w:keepNext w:val="0"/>
              <w:keepLines w:val="0"/>
              <w:pageBreakBefore w:val="0"/>
              <w:widowControl w:val="0"/>
              <w:numPr>
                <w:ilvl w:val="0"/>
                <w:numId w:val="11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color w:val="000000"/>
                <w:kern w:val="0"/>
                <w:sz w:val="21"/>
                <w:szCs w:val="21"/>
              </w:rPr>
            </w:pPr>
            <w:r>
              <w:rPr>
                <w:rFonts w:hint="eastAsia" w:ascii="宋体" w:hAnsi="宋体"/>
                <w:color w:val="000000"/>
                <w:kern w:val="0"/>
                <w:sz w:val="21"/>
                <w:szCs w:val="21"/>
              </w:rPr>
              <w:t>使操作者触及不到运转中的可动部件，其防护距离应符合</w:t>
            </w:r>
            <w:r>
              <w:rPr>
                <w:rFonts w:hint="eastAsia"/>
                <w:color w:val="000000"/>
                <w:kern w:val="0"/>
                <w:sz w:val="21"/>
                <w:szCs w:val="21"/>
                <w:lang w:eastAsia="zh-CN"/>
              </w:rPr>
              <w:t>GB12265</w:t>
            </w:r>
            <w:r>
              <w:rPr>
                <w:rFonts w:hint="eastAsia" w:ascii="宋体" w:hAnsi="宋体"/>
                <w:color w:val="000000"/>
                <w:kern w:val="0"/>
                <w:sz w:val="21"/>
                <w:szCs w:val="21"/>
              </w:rPr>
              <w:t>的要求；</w:t>
            </w:r>
          </w:p>
          <w:p w14:paraId="5B1D9CC9">
            <w:pPr>
              <w:keepNext w:val="0"/>
              <w:keepLines w:val="0"/>
              <w:pageBreakBefore w:val="0"/>
              <w:widowControl w:val="0"/>
              <w:numPr>
                <w:ilvl w:val="0"/>
                <w:numId w:val="11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color w:val="000000"/>
                <w:kern w:val="0"/>
                <w:sz w:val="21"/>
                <w:szCs w:val="21"/>
              </w:rPr>
            </w:pPr>
            <w:r>
              <w:rPr>
                <w:rFonts w:hint="eastAsia" w:ascii="宋体" w:hAnsi="宋体"/>
                <w:color w:val="000000"/>
                <w:kern w:val="0"/>
                <w:sz w:val="21"/>
                <w:szCs w:val="21"/>
              </w:rPr>
              <w:t>在操作者接近可动零部件并有可能发生危险的紧急情况下，设备应不能启动或能立即自动停机、制动；</w:t>
            </w:r>
          </w:p>
          <w:p w14:paraId="47781534">
            <w:pPr>
              <w:keepNext w:val="0"/>
              <w:keepLines w:val="0"/>
              <w:pageBreakBefore w:val="0"/>
              <w:widowControl w:val="0"/>
              <w:numPr>
                <w:ilvl w:val="0"/>
                <w:numId w:val="11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color w:val="000000"/>
                <w:kern w:val="0"/>
                <w:sz w:val="21"/>
                <w:szCs w:val="21"/>
              </w:rPr>
            </w:pPr>
            <w:r>
              <w:rPr>
                <w:rFonts w:hint="eastAsia" w:ascii="宋体" w:hAnsi="宋体"/>
                <w:color w:val="000000"/>
                <w:kern w:val="0"/>
                <w:sz w:val="21"/>
                <w:szCs w:val="21"/>
              </w:rPr>
              <w:t>避免在安全装置和可动零部件之间产生接触危险；</w:t>
            </w:r>
          </w:p>
          <w:p w14:paraId="1A9B3522">
            <w:pPr>
              <w:keepNext w:val="0"/>
              <w:keepLines w:val="0"/>
              <w:pageBreakBefore w:val="0"/>
              <w:widowControl w:val="0"/>
              <w:numPr>
                <w:ilvl w:val="0"/>
                <w:numId w:val="11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color w:val="000000"/>
                <w:kern w:val="0"/>
                <w:sz w:val="21"/>
                <w:szCs w:val="21"/>
              </w:rPr>
            </w:pPr>
            <w:r>
              <w:rPr>
                <w:rFonts w:hint="eastAsia" w:ascii="宋体" w:hAnsi="宋体"/>
                <w:color w:val="000000"/>
                <w:kern w:val="0"/>
                <w:sz w:val="21"/>
                <w:szCs w:val="21"/>
              </w:rPr>
              <w:t>安全防护装置应便于调节、检查和维修，并不得成为危险源。</w:t>
            </w:r>
          </w:p>
          <w:p w14:paraId="27C41581">
            <w:pPr>
              <w:keepNext w:val="0"/>
              <w:keepLines w:val="0"/>
              <w:pageBreakBefore w:val="0"/>
              <w:widowControl w:val="0"/>
              <w:numPr>
                <w:ilvl w:val="0"/>
                <w:numId w:val="11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color w:val="000000"/>
                <w:sz w:val="21"/>
                <w:szCs w:val="21"/>
              </w:rPr>
            </w:pPr>
            <w:r>
              <w:rPr>
                <w:rFonts w:hint="eastAsia" w:ascii="宋体" w:hAnsi="宋体"/>
                <w:color w:val="000000"/>
                <w:kern w:val="0"/>
                <w:sz w:val="21"/>
                <w:szCs w:val="21"/>
              </w:rPr>
              <w:t>安全防护装置应符合产品标准规定的可靠性指标要求。</w:t>
            </w:r>
          </w:p>
        </w:tc>
        <w:tc>
          <w:tcPr>
            <w:tcW w:w="1250" w:type="pct"/>
            <w:tcBorders>
              <w:tl2br w:val="nil"/>
              <w:tr2bl w:val="nil"/>
            </w:tcBorders>
            <w:noWrap w:val="0"/>
            <w:vAlign w:val="center"/>
          </w:tcPr>
          <w:p w14:paraId="253EAF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lang w:val="en-US" w:eastAsia="zh-CN"/>
              </w:rPr>
            </w:pPr>
            <w:r>
              <w:rPr>
                <w:rFonts w:hint="eastAsia" w:ascii="宋体" w:hAnsi="宋体" w:eastAsia="宋体" w:cs="Times New Roman"/>
                <w:color w:val="000000"/>
                <w:sz w:val="21"/>
                <w:szCs w:val="21"/>
              </w:rPr>
              <w:t xml:space="preserve">《生产设备安全卫生设计总则》 </w:t>
            </w:r>
            <w:r>
              <w:rPr>
                <w:rFonts w:hint="eastAsia" w:ascii="宋体" w:hAnsi="宋体" w:eastAsia="宋体" w:cs="Times New Roman"/>
                <w:color w:val="000000"/>
                <w:sz w:val="21"/>
                <w:szCs w:val="21"/>
                <w:lang w:val="en-US" w:eastAsia="zh-CN"/>
              </w:rPr>
              <w:t>(</w:t>
            </w:r>
            <w:r>
              <w:rPr>
                <w:rFonts w:hint="eastAsia" w:ascii="宋体" w:hAnsi="宋体" w:eastAsia="宋体" w:cs="Times New Roman"/>
                <w:color w:val="000000"/>
                <w:sz w:val="21"/>
                <w:szCs w:val="21"/>
              </w:rPr>
              <w:t>GB5083-1999</w:t>
            </w:r>
            <w:r>
              <w:rPr>
                <w:rFonts w:hint="eastAsia" w:ascii="宋体" w:hAnsi="宋体" w:eastAsia="宋体" w:cs="Times New Roman"/>
                <w:color w:val="000000"/>
                <w:sz w:val="21"/>
                <w:szCs w:val="21"/>
                <w:lang w:val="en-US" w:eastAsia="zh-CN"/>
              </w:rPr>
              <w:t>)</w:t>
            </w:r>
          </w:p>
          <w:p w14:paraId="203E67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6.1.5</w:t>
            </w:r>
          </w:p>
        </w:tc>
        <w:tc>
          <w:tcPr>
            <w:tcW w:w="927" w:type="pct"/>
            <w:tcBorders>
              <w:tl2br w:val="nil"/>
              <w:tr2bl w:val="nil"/>
            </w:tcBorders>
            <w:noWrap w:val="0"/>
            <w:vAlign w:val="center"/>
          </w:tcPr>
          <w:p w14:paraId="1331A9A0">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项目生产设备配备有相应安全装置</w:t>
            </w:r>
          </w:p>
        </w:tc>
        <w:tc>
          <w:tcPr>
            <w:tcW w:w="291" w:type="pct"/>
            <w:tcBorders>
              <w:tl2br w:val="nil"/>
              <w:tr2bl w:val="nil"/>
            </w:tcBorders>
            <w:noWrap w:val="0"/>
            <w:vAlign w:val="center"/>
          </w:tcPr>
          <w:p w14:paraId="1C2C9C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宋体" w:hAnsi="宋体"/>
                <w:color w:val="000000"/>
                <w:sz w:val="21"/>
                <w:szCs w:val="21"/>
              </w:rPr>
              <w:t>符合</w:t>
            </w:r>
          </w:p>
        </w:tc>
      </w:tr>
      <w:tr w14:paraId="339FAE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6751B6B4">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517CBC91">
            <w:pPr>
              <w:keepNext w:val="0"/>
              <w:keepLines w:val="0"/>
              <w:pageBreakBefore w:val="0"/>
              <w:widowControl w:val="0"/>
              <w:suppressLineNumbers w:val="0"/>
              <w:kinsoku/>
              <w:wordWrap/>
              <w:overflowPunct/>
              <w:topLinePunct w:val="0"/>
              <w:bidi w:val="0"/>
              <w:adjustRightInd w:val="0"/>
              <w:snapToGrid/>
              <w:spacing w:before="0" w:beforeAutospacing="0" w:after="0" w:afterAutospacing="0" w:line="240" w:lineRule="auto"/>
              <w:ind w:left="0" w:leftChars="0" w:right="0" w:rightChars="0" w:firstLine="0" w:firstLineChars="0"/>
              <w:jc w:val="left"/>
              <w:textAlignment w:val="auto"/>
              <w:rPr>
                <w:rFonts w:hint="default" w:ascii="宋体" w:hAnsi="宋体"/>
                <w:color w:val="000000"/>
                <w:sz w:val="21"/>
                <w:szCs w:val="21"/>
              </w:rPr>
            </w:pPr>
            <w:r>
              <w:rPr>
                <w:rFonts w:hint="default" w:ascii="宋体" w:hAnsi="宋体"/>
                <w:color w:val="000000"/>
                <w:sz w:val="21"/>
                <w:szCs w:val="21"/>
              </w:rPr>
              <w:t>以操作人员的操作位置所在平面为基准，凡高度在2m之内的所有传动带、转轴、传动链、联轴节、带轮、齿轮、飞轮、链轮、电锯等外露危险零部件及危险部位，都必须设置安全防护装置。</w:t>
            </w:r>
          </w:p>
        </w:tc>
        <w:tc>
          <w:tcPr>
            <w:tcW w:w="1250" w:type="pct"/>
            <w:tcBorders>
              <w:tl2br w:val="nil"/>
              <w:tr2bl w:val="nil"/>
            </w:tcBorders>
            <w:noWrap w:val="0"/>
            <w:vAlign w:val="center"/>
          </w:tcPr>
          <w:p w14:paraId="5E19B2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lang w:val="en-US" w:eastAsia="zh-CN"/>
              </w:rPr>
            </w:pPr>
            <w:r>
              <w:rPr>
                <w:rFonts w:hint="eastAsia" w:ascii="宋体" w:hAnsi="宋体" w:eastAsia="宋体" w:cs="Times New Roman"/>
                <w:color w:val="000000"/>
                <w:sz w:val="21"/>
                <w:szCs w:val="21"/>
              </w:rPr>
              <w:t xml:space="preserve">《生产设备安全卫生设计总则》 </w:t>
            </w:r>
            <w:r>
              <w:rPr>
                <w:rFonts w:hint="eastAsia" w:ascii="宋体" w:hAnsi="宋体" w:eastAsia="宋体" w:cs="Times New Roman"/>
                <w:color w:val="000000"/>
                <w:sz w:val="21"/>
                <w:szCs w:val="21"/>
                <w:lang w:val="en-US" w:eastAsia="zh-CN"/>
              </w:rPr>
              <w:t>(</w:t>
            </w:r>
            <w:r>
              <w:rPr>
                <w:rFonts w:hint="eastAsia" w:ascii="宋体" w:hAnsi="宋体" w:eastAsia="宋体" w:cs="Times New Roman"/>
                <w:color w:val="000000"/>
                <w:sz w:val="21"/>
                <w:szCs w:val="21"/>
              </w:rPr>
              <w:t>GB5083-1999</w:t>
            </w:r>
            <w:r>
              <w:rPr>
                <w:rFonts w:hint="eastAsia" w:ascii="宋体" w:hAnsi="宋体" w:eastAsia="宋体" w:cs="Times New Roman"/>
                <w:color w:val="000000"/>
                <w:sz w:val="21"/>
                <w:szCs w:val="21"/>
                <w:lang w:val="en-US" w:eastAsia="zh-CN"/>
              </w:rPr>
              <w:t>)</w:t>
            </w:r>
          </w:p>
          <w:p w14:paraId="6A7938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6.1.6</w:t>
            </w:r>
          </w:p>
        </w:tc>
        <w:tc>
          <w:tcPr>
            <w:tcW w:w="927" w:type="pct"/>
            <w:tcBorders>
              <w:tl2br w:val="nil"/>
              <w:tr2bl w:val="nil"/>
            </w:tcBorders>
            <w:noWrap w:val="0"/>
            <w:vAlign w:val="center"/>
          </w:tcPr>
          <w:p w14:paraId="65A4F373">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高度</w:t>
            </w:r>
            <w:r>
              <w:rPr>
                <w:rFonts w:hint="default" w:ascii="Times New Roman" w:hAnsi="Times New Roman" w:eastAsia="宋体" w:cs="Times New Roman"/>
                <w:sz w:val="21"/>
                <w:szCs w:val="21"/>
                <w:lang w:val="en-US" w:eastAsia="zh-CN"/>
              </w:rPr>
              <w:t>2m之内的传动带、转轴、传动链、联轴节、带轮、齿轮、飞轮、链轮、电锯等外露危险零部件及危险部位，设置</w:t>
            </w:r>
            <w:r>
              <w:rPr>
                <w:rFonts w:hint="eastAsia" w:ascii="Times New Roman" w:hAnsi="Times New Roman" w:eastAsia="宋体" w:cs="Times New Roman"/>
                <w:sz w:val="21"/>
                <w:szCs w:val="21"/>
                <w:lang w:val="en-US" w:eastAsia="zh-CN"/>
              </w:rPr>
              <w:t>有</w:t>
            </w:r>
            <w:r>
              <w:rPr>
                <w:rFonts w:hint="default" w:ascii="Times New Roman" w:hAnsi="Times New Roman" w:eastAsia="宋体" w:cs="Times New Roman"/>
                <w:sz w:val="21"/>
                <w:szCs w:val="21"/>
                <w:lang w:val="en-US" w:eastAsia="zh-CN"/>
              </w:rPr>
              <w:t>安全防护装置</w:t>
            </w:r>
            <w:r>
              <w:rPr>
                <w:rFonts w:hint="eastAsia" w:ascii="Times New Roman" w:hAnsi="Times New Roman" w:eastAsia="宋体" w:cs="Times New Roman"/>
                <w:sz w:val="21"/>
                <w:szCs w:val="21"/>
                <w:lang w:val="en-US" w:eastAsia="zh-CN"/>
              </w:rPr>
              <w:t>。</w:t>
            </w:r>
          </w:p>
        </w:tc>
        <w:tc>
          <w:tcPr>
            <w:tcW w:w="291" w:type="pct"/>
            <w:tcBorders>
              <w:tl2br w:val="nil"/>
              <w:tr2bl w:val="nil"/>
            </w:tcBorders>
            <w:noWrap w:val="0"/>
            <w:vAlign w:val="center"/>
          </w:tcPr>
          <w:p w14:paraId="3BE118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宋体" w:hAnsi="宋体"/>
                <w:color w:val="000000"/>
                <w:sz w:val="21"/>
                <w:szCs w:val="21"/>
              </w:rPr>
              <w:t>符合</w:t>
            </w:r>
          </w:p>
        </w:tc>
      </w:tr>
      <w:tr w14:paraId="0DD08E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3A48C7EA">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14043266">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left"/>
              <w:textAlignment w:val="auto"/>
              <w:rPr>
                <w:rFonts w:hint="default" w:ascii="宋体" w:hAnsi="宋体"/>
                <w:color w:val="000000"/>
                <w:sz w:val="21"/>
                <w:szCs w:val="21"/>
              </w:rPr>
            </w:pPr>
            <w:r>
              <w:rPr>
                <w:rFonts w:hint="eastAsia" w:ascii="宋体" w:hAnsi="宋体" w:eastAsia="宋体" w:cs="Times New Roman"/>
                <w:color w:val="000000"/>
                <w:sz w:val="21"/>
                <w:szCs w:val="21"/>
              </w:rPr>
              <w:t>能产生噪声和</w:t>
            </w:r>
            <w:r>
              <w:rPr>
                <w:rFonts w:hint="eastAsia" w:ascii="宋体" w:hAnsi="宋体" w:eastAsia="宋体" w:cs="Times New Roman"/>
                <w:color w:val="000000"/>
                <w:sz w:val="21"/>
                <w:szCs w:val="21"/>
                <w:lang w:eastAsia="zh-CN"/>
              </w:rPr>
              <w:t>振动</w:t>
            </w:r>
            <w:r>
              <w:rPr>
                <w:rFonts w:hint="eastAsia" w:ascii="宋体" w:hAnsi="宋体" w:eastAsia="宋体" w:cs="Times New Roman"/>
                <w:color w:val="000000"/>
                <w:sz w:val="21"/>
                <w:szCs w:val="21"/>
              </w:rPr>
              <w:t>的各类生产设备，都必须在产品标准中明确规定噪声、振动指标的限值。并在设计中采取有效防治措施。对固有强噪声、强振动设备，宜设置隔离或遥控装置。生产设备噪声、振动的限值指标应符合相关规定。</w:t>
            </w:r>
          </w:p>
        </w:tc>
        <w:tc>
          <w:tcPr>
            <w:tcW w:w="1250" w:type="pct"/>
            <w:tcBorders>
              <w:tl2br w:val="nil"/>
              <w:tr2bl w:val="nil"/>
            </w:tcBorders>
            <w:noWrap w:val="0"/>
            <w:vAlign w:val="center"/>
          </w:tcPr>
          <w:p w14:paraId="61922A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lang w:val="en-US" w:eastAsia="zh-CN"/>
              </w:rPr>
            </w:pPr>
            <w:r>
              <w:rPr>
                <w:rFonts w:hint="eastAsia" w:ascii="宋体" w:hAnsi="宋体" w:eastAsia="宋体" w:cs="Times New Roman"/>
                <w:color w:val="000000"/>
                <w:sz w:val="21"/>
                <w:szCs w:val="21"/>
              </w:rPr>
              <w:t xml:space="preserve">《生产设备安全卫生设计总则》 </w:t>
            </w:r>
            <w:r>
              <w:rPr>
                <w:rFonts w:hint="eastAsia" w:ascii="宋体" w:hAnsi="宋体" w:eastAsia="宋体" w:cs="Times New Roman"/>
                <w:color w:val="000000"/>
                <w:sz w:val="21"/>
                <w:szCs w:val="21"/>
                <w:lang w:val="en-US" w:eastAsia="zh-CN"/>
              </w:rPr>
              <w:t>(</w:t>
            </w:r>
            <w:r>
              <w:rPr>
                <w:rFonts w:hint="eastAsia" w:ascii="宋体" w:hAnsi="宋体" w:eastAsia="宋体" w:cs="Times New Roman"/>
                <w:color w:val="000000"/>
                <w:sz w:val="21"/>
                <w:szCs w:val="21"/>
              </w:rPr>
              <w:t>GB5083-1999</w:t>
            </w:r>
            <w:r>
              <w:rPr>
                <w:rFonts w:hint="eastAsia" w:ascii="宋体" w:hAnsi="宋体" w:eastAsia="宋体" w:cs="Times New Roman"/>
                <w:color w:val="000000"/>
                <w:sz w:val="21"/>
                <w:szCs w:val="21"/>
                <w:lang w:val="en-US" w:eastAsia="zh-CN"/>
              </w:rPr>
              <w:t>)</w:t>
            </w:r>
          </w:p>
          <w:p w14:paraId="56859F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6.6</w:t>
            </w:r>
          </w:p>
        </w:tc>
        <w:tc>
          <w:tcPr>
            <w:tcW w:w="927" w:type="pct"/>
            <w:tcBorders>
              <w:tl2br w:val="nil"/>
              <w:tr2bl w:val="nil"/>
            </w:tcBorders>
            <w:noWrap w:val="0"/>
            <w:vAlign w:val="center"/>
          </w:tcPr>
          <w:p w14:paraId="4EFD9209">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leftChars="0" w:right="0" w:rightChars="0" w:firstLine="0" w:firstLineChars="0"/>
              <w:jc w:val="both"/>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项目选用低噪声设备，采取减震降噪的措施。生产设备噪声、振动的限值指标符合相关规定。</w:t>
            </w:r>
          </w:p>
        </w:tc>
        <w:tc>
          <w:tcPr>
            <w:tcW w:w="291" w:type="pct"/>
            <w:tcBorders>
              <w:tl2br w:val="nil"/>
              <w:tr2bl w:val="nil"/>
            </w:tcBorders>
            <w:noWrap w:val="0"/>
            <w:vAlign w:val="center"/>
          </w:tcPr>
          <w:p w14:paraId="131AB2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eastAsia" w:ascii="宋体" w:hAnsi="宋体"/>
                <w:color w:val="000000"/>
                <w:sz w:val="21"/>
                <w:szCs w:val="21"/>
              </w:rPr>
              <w:t>符合</w:t>
            </w:r>
          </w:p>
        </w:tc>
      </w:tr>
      <w:tr w14:paraId="2688AA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0" w:type="pct"/>
            <w:tcBorders>
              <w:tl2br w:val="nil"/>
              <w:tr2bl w:val="nil"/>
            </w:tcBorders>
            <w:noWrap w:val="0"/>
            <w:vAlign w:val="center"/>
          </w:tcPr>
          <w:p w14:paraId="5D9138B2">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2279" w:type="pct"/>
            <w:tcBorders>
              <w:tl2br w:val="nil"/>
              <w:tr2bl w:val="nil"/>
            </w:tcBorders>
            <w:noWrap w:val="0"/>
            <w:vAlign w:val="center"/>
          </w:tcPr>
          <w:p w14:paraId="573B3945">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设计、组织和实施的原则：</w:t>
            </w:r>
          </w:p>
          <w:p w14:paraId="067BA47E">
            <w:pPr>
              <w:keepNext w:val="0"/>
              <w:keepLines w:val="0"/>
              <w:pageBreakBefore w:val="0"/>
              <w:widowControl w:val="0"/>
              <w:numPr>
                <w:ilvl w:val="0"/>
                <w:numId w:val="111"/>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应防止工作人员直接接触具有或能产生危险和有害因素的设备、设施、生产物料、产品和剩余物料；</w:t>
            </w:r>
          </w:p>
          <w:p w14:paraId="266BD27B">
            <w:pPr>
              <w:keepNext w:val="0"/>
              <w:keepLines w:val="0"/>
              <w:pageBreakBefore w:val="0"/>
              <w:widowControl w:val="0"/>
              <w:numPr>
                <w:ilvl w:val="0"/>
                <w:numId w:val="111"/>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应优先采用没有危害或危害较小的新工艺、新技术、新设备、新材料；</w:t>
            </w:r>
          </w:p>
          <w:p w14:paraId="259FF1AE">
            <w:pPr>
              <w:keepNext w:val="0"/>
              <w:keepLines w:val="0"/>
              <w:pageBreakBefore w:val="0"/>
              <w:widowControl w:val="0"/>
              <w:numPr>
                <w:ilvl w:val="0"/>
                <w:numId w:val="111"/>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对具有危险和有害因素的生产过程应合理</w:t>
            </w:r>
            <w:r>
              <w:rPr>
                <w:rFonts w:hint="eastAsia" w:ascii="Times New Roman" w:hAnsi="Times New Roman" w:cs="Times New Roman"/>
                <w:sz w:val="21"/>
                <w:szCs w:val="21"/>
                <w:lang w:eastAsia="zh-CN"/>
              </w:rPr>
              <w:t>地</w:t>
            </w:r>
            <w:r>
              <w:rPr>
                <w:rFonts w:hint="default" w:ascii="Times New Roman" w:hAnsi="Times New Roman" w:eastAsia="宋体" w:cs="Times New Roman"/>
                <w:sz w:val="21"/>
                <w:szCs w:val="21"/>
              </w:rPr>
              <w:t>采用机械化、自动化</w:t>
            </w:r>
            <w:r>
              <w:rPr>
                <w:rFonts w:hint="eastAsia" w:ascii="Times New Roman" w:hAnsi="Times New Roman" w:eastAsia="宋体" w:cs="Times New Roman"/>
                <w:sz w:val="21"/>
                <w:szCs w:val="21"/>
                <w:lang w:eastAsia="zh-CN"/>
              </w:rPr>
              <w:t>和</w:t>
            </w:r>
            <w:r>
              <w:rPr>
                <w:rFonts w:hint="default" w:ascii="Times New Roman" w:hAnsi="Times New Roman" w:eastAsia="宋体" w:cs="Times New Roman"/>
                <w:sz w:val="21"/>
                <w:szCs w:val="21"/>
              </w:rPr>
              <w:t>计算机技术，实现遥控或隔离操作；</w:t>
            </w:r>
          </w:p>
          <w:p w14:paraId="05B561A1">
            <w:pPr>
              <w:keepNext w:val="0"/>
              <w:keepLines w:val="0"/>
              <w:pageBreakBefore w:val="0"/>
              <w:widowControl w:val="0"/>
              <w:numPr>
                <w:ilvl w:val="0"/>
                <w:numId w:val="111"/>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对产生危险和有害因素的过程，应配置监控检测仪器、仪表，必要时配置自动联锁、自动报警装置；</w:t>
            </w:r>
          </w:p>
          <w:p w14:paraId="786D716A">
            <w:pPr>
              <w:keepNext w:val="0"/>
              <w:keepLines w:val="0"/>
              <w:pageBreakBefore w:val="0"/>
              <w:widowControl w:val="0"/>
              <w:numPr>
                <w:ilvl w:val="0"/>
                <w:numId w:val="111"/>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及时排除或处理具有危险和有害因素的剩余物料；</w:t>
            </w:r>
          </w:p>
          <w:p w14:paraId="10FAF459">
            <w:pPr>
              <w:keepNext w:val="0"/>
              <w:keepLines w:val="0"/>
              <w:pageBreakBefore w:val="0"/>
              <w:widowControl w:val="0"/>
              <w:numPr>
                <w:ilvl w:val="0"/>
                <w:numId w:val="111"/>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对产生尘毒危害较大的工艺、作业和施工过程，应采取密闭、负压等综合措施；</w:t>
            </w:r>
          </w:p>
          <w:p w14:paraId="5513AB71">
            <w:pPr>
              <w:keepNext w:val="0"/>
              <w:keepLines w:val="0"/>
              <w:pageBreakBefore w:val="0"/>
              <w:widowControl w:val="0"/>
              <w:numPr>
                <w:ilvl w:val="0"/>
                <w:numId w:val="111"/>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排放的有害废气、废液和废渣，应符合国家标准和有关规定；</w:t>
            </w:r>
          </w:p>
        </w:tc>
        <w:tc>
          <w:tcPr>
            <w:tcW w:w="1250" w:type="pct"/>
            <w:tcBorders>
              <w:tl2br w:val="nil"/>
              <w:tr2bl w:val="nil"/>
            </w:tcBorders>
            <w:noWrap w:val="0"/>
            <w:vAlign w:val="center"/>
          </w:tcPr>
          <w:p w14:paraId="652FA95D">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《生产过程安全卫生要求总则》</w:t>
            </w:r>
          </w:p>
          <w:p w14:paraId="053A2BF2">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（GB/T12801-2008）</w:t>
            </w:r>
          </w:p>
          <w:p w14:paraId="7C38282D">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第5.3.1条</w:t>
            </w:r>
          </w:p>
        </w:tc>
        <w:tc>
          <w:tcPr>
            <w:tcW w:w="927" w:type="pct"/>
            <w:tcBorders>
              <w:tl2br w:val="nil"/>
              <w:tr2bl w:val="nil"/>
            </w:tcBorders>
            <w:noWrap w:val="0"/>
            <w:vAlign w:val="center"/>
          </w:tcPr>
          <w:p w14:paraId="0D6F3587">
            <w:pPr>
              <w:keepNext w:val="0"/>
              <w:keepLines w:val="0"/>
              <w:pageBreakBefore w:val="0"/>
              <w:widowControl w:val="0"/>
              <w:suppressLineNumbers w:val="0"/>
              <w:tabs>
                <w:tab w:val="left" w:pos="2898"/>
              </w:tabs>
              <w:kinsoku/>
              <w:wordWrap/>
              <w:topLinePunct w:val="0"/>
              <w:autoSpaceDE/>
              <w:autoSpaceDN/>
              <w:bidi w:val="0"/>
              <w:adjustRightInd w:val="0"/>
              <w:snapToGrid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本项目选用先进的工艺技术设备，并配备了相应的劳动防护用品。</w:t>
            </w:r>
          </w:p>
        </w:tc>
        <w:tc>
          <w:tcPr>
            <w:tcW w:w="291" w:type="pct"/>
            <w:tcBorders>
              <w:tl2br w:val="nil"/>
              <w:tr2bl w:val="nil"/>
            </w:tcBorders>
            <w:noWrap w:val="0"/>
            <w:vAlign w:val="center"/>
          </w:tcPr>
          <w:p w14:paraId="6D502C9D">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589DBE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250" w:type="pct"/>
            <w:tcBorders>
              <w:tl2br w:val="nil"/>
              <w:tr2bl w:val="nil"/>
            </w:tcBorders>
            <w:noWrap w:val="0"/>
            <w:tcMar>
              <w:top w:w="0" w:type="dxa"/>
              <w:left w:w="0" w:type="dxa"/>
              <w:bottom w:w="0" w:type="dxa"/>
              <w:right w:w="0" w:type="dxa"/>
            </w:tcMar>
            <w:vAlign w:val="center"/>
          </w:tcPr>
          <w:p w14:paraId="32B5189D">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eastAsia" w:ascii="Times New Roman" w:hAnsi="Times New Roman" w:eastAsia="宋体" w:cs="Times New Roman"/>
                <w:sz w:val="21"/>
                <w:szCs w:val="21"/>
              </w:rPr>
            </w:pPr>
          </w:p>
        </w:tc>
        <w:tc>
          <w:tcPr>
            <w:tcW w:w="2279" w:type="pct"/>
            <w:tcBorders>
              <w:tl2br w:val="nil"/>
              <w:tr2bl w:val="nil"/>
            </w:tcBorders>
            <w:noWrap w:val="0"/>
            <w:tcMar>
              <w:top w:w="0" w:type="dxa"/>
              <w:left w:w="0" w:type="dxa"/>
              <w:bottom w:w="0" w:type="dxa"/>
              <w:right w:w="0" w:type="dxa"/>
            </w:tcMar>
            <w:vAlign w:val="center"/>
          </w:tcPr>
          <w:p w14:paraId="6A559961">
            <w:pPr>
              <w:pStyle w:val="95"/>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left"/>
              <w:textAlignment w:val="auto"/>
              <w:rPr>
                <w:rFonts w:hint="eastAsia" w:ascii="宋体" w:hAnsi="宋体" w:cs="Times New Roman"/>
                <w:color w:val="000000"/>
                <w:sz w:val="21"/>
                <w:szCs w:val="21"/>
              </w:rPr>
            </w:pPr>
            <w:r>
              <w:rPr>
                <w:rFonts w:hint="eastAsia" w:ascii="宋体" w:hAnsi="宋体" w:cs="Times New Roman"/>
                <w:color w:val="000000"/>
                <w:sz w:val="21"/>
                <w:szCs w:val="21"/>
              </w:rPr>
              <w:t>产生噪声的车间与非噪声作业车间、高噪声车间与低噪声车间应分开布置。</w:t>
            </w:r>
          </w:p>
        </w:tc>
        <w:tc>
          <w:tcPr>
            <w:tcW w:w="1250" w:type="pct"/>
            <w:tcBorders>
              <w:tl2br w:val="nil"/>
              <w:tr2bl w:val="nil"/>
            </w:tcBorders>
            <w:noWrap w:val="0"/>
            <w:tcMar>
              <w:top w:w="0" w:type="dxa"/>
              <w:left w:w="0" w:type="dxa"/>
              <w:bottom w:w="0" w:type="dxa"/>
              <w:right w:w="0" w:type="dxa"/>
            </w:tcMar>
            <w:vAlign w:val="center"/>
          </w:tcPr>
          <w:p w14:paraId="3E12615E">
            <w:pPr>
              <w:pStyle w:val="95"/>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center"/>
              <w:textAlignment w:val="auto"/>
              <w:rPr>
                <w:rFonts w:hint="eastAsia" w:ascii="宋体" w:hAnsi="宋体" w:cs="Times New Roman"/>
                <w:color w:val="000000"/>
                <w:sz w:val="21"/>
                <w:szCs w:val="21"/>
                <w:lang w:eastAsia="zh-CN"/>
              </w:rPr>
            </w:pPr>
            <w:r>
              <w:rPr>
                <w:rFonts w:hint="eastAsia" w:ascii="宋体" w:hAnsi="宋体" w:cs="Times New Roman"/>
                <w:color w:val="000000"/>
                <w:sz w:val="21"/>
                <w:szCs w:val="21"/>
              </w:rPr>
              <w:t>《工业企业设计卫生标准》</w:t>
            </w:r>
            <w:r>
              <w:rPr>
                <w:rFonts w:hint="eastAsia" w:ascii="宋体" w:hAnsi="宋体" w:cs="Times New Roman"/>
                <w:color w:val="000000"/>
                <w:sz w:val="21"/>
                <w:szCs w:val="21"/>
                <w:lang w:eastAsia="zh-CN"/>
              </w:rPr>
              <w:t>（</w:t>
            </w:r>
            <w:r>
              <w:rPr>
                <w:rFonts w:hint="eastAsia" w:ascii="宋体" w:hAnsi="宋体" w:cs="Times New Roman"/>
                <w:color w:val="000000"/>
                <w:sz w:val="21"/>
                <w:szCs w:val="21"/>
              </w:rPr>
              <w:t>GBZ 1-2010</w:t>
            </w:r>
            <w:r>
              <w:rPr>
                <w:rFonts w:hint="eastAsia" w:ascii="宋体" w:hAnsi="宋体" w:cs="Times New Roman"/>
                <w:color w:val="000000"/>
                <w:sz w:val="21"/>
                <w:szCs w:val="21"/>
                <w:lang w:eastAsia="zh-CN"/>
              </w:rPr>
              <w:t>）</w:t>
            </w:r>
          </w:p>
          <w:p w14:paraId="34C36BF6">
            <w:pPr>
              <w:pStyle w:val="95"/>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center"/>
              <w:textAlignment w:val="auto"/>
              <w:rPr>
                <w:rFonts w:hint="eastAsia" w:ascii="宋体" w:hAnsi="宋体" w:cs="Times New Roman"/>
                <w:color w:val="000000"/>
                <w:sz w:val="21"/>
                <w:szCs w:val="21"/>
              </w:rPr>
            </w:pPr>
            <w:r>
              <w:rPr>
                <w:rFonts w:hint="eastAsia" w:ascii="宋体" w:hAnsi="宋体" w:cs="Times New Roman"/>
                <w:color w:val="000000"/>
                <w:sz w:val="21"/>
                <w:szCs w:val="21"/>
              </w:rPr>
              <w:t>6.3.1.2</w:t>
            </w:r>
          </w:p>
        </w:tc>
        <w:tc>
          <w:tcPr>
            <w:tcW w:w="927" w:type="pct"/>
            <w:tcBorders>
              <w:tl2br w:val="nil"/>
              <w:tr2bl w:val="nil"/>
            </w:tcBorders>
            <w:noWrap w:val="0"/>
            <w:tcMar>
              <w:top w:w="0" w:type="dxa"/>
              <w:left w:w="0" w:type="dxa"/>
              <w:bottom w:w="0" w:type="dxa"/>
              <w:right w:w="0" w:type="dxa"/>
            </w:tcMar>
            <w:vAlign w:val="center"/>
          </w:tcPr>
          <w:p w14:paraId="320089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kern w:val="0"/>
                <w:sz w:val="21"/>
                <w:szCs w:val="21"/>
              </w:rPr>
            </w:pPr>
            <w:r>
              <w:rPr>
                <w:rFonts w:hint="eastAsia" w:ascii="宋体" w:hAnsi="宋体"/>
                <w:color w:val="000000"/>
                <w:sz w:val="21"/>
                <w:szCs w:val="21"/>
              </w:rPr>
              <w:t>产生噪声的车间与非噪声作业车间、高噪声车间与低噪声车间分开布置。</w:t>
            </w:r>
          </w:p>
        </w:tc>
        <w:tc>
          <w:tcPr>
            <w:tcW w:w="291" w:type="pct"/>
            <w:tcBorders>
              <w:tl2br w:val="nil"/>
              <w:tr2bl w:val="nil"/>
            </w:tcBorders>
            <w:noWrap w:val="0"/>
            <w:tcMar>
              <w:top w:w="0" w:type="dxa"/>
              <w:left w:w="0" w:type="dxa"/>
              <w:bottom w:w="0" w:type="dxa"/>
              <w:right w:w="0" w:type="dxa"/>
            </w:tcMar>
            <w:vAlign w:val="center"/>
          </w:tcPr>
          <w:p w14:paraId="3CCF68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color w:val="000000"/>
                <w:sz w:val="21"/>
                <w:szCs w:val="21"/>
              </w:rPr>
            </w:pPr>
            <w:r>
              <w:rPr>
                <w:rFonts w:hint="eastAsia" w:ascii="宋体" w:hAnsi="宋体"/>
                <w:color w:val="000000"/>
                <w:sz w:val="21"/>
                <w:szCs w:val="21"/>
              </w:rPr>
              <w:t>符合</w:t>
            </w:r>
          </w:p>
        </w:tc>
      </w:tr>
      <w:tr w14:paraId="3F2541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10" w:hRule="atLeast"/>
          <w:jc w:val="center"/>
        </w:trPr>
        <w:tc>
          <w:tcPr>
            <w:tcW w:w="250" w:type="pct"/>
            <w:tcBorders>
              <w:tl2br w:val="nil"/>
              <w:tr2bl w:val="nil"/>
            </w:tcBorders>
            <w:noWrap w:val="0"/>
            <w:tcMar>
              <w:top w:w="0" w:type="dxa"/>
              <w:left w:w="0" w:type="dxa"/>
              <w:bottom w:w="0" w:type="dxa"/>
              <w:right w:w="0" w:type="dxa"/>
            </w:tcMar>
            <w:vAlign w:val="center"/>
          </w:tcPr>
          <w:p w14:paraId="4739ED00">
            <w:pPr>
              <w:keepNext w:val="0"/>
              <w:keepLines w:val="0"/>
              <w:pageBreakBefore w:val="0"/>
              <w:widowControl w:val="0"/>
              <w:numPr>
                <w:ilvl w:val="0"/>
                <w:numId w:val="109"/>
              </w:numPr>
              <w:suppressLineNumbers w:val="0"/>
              <w:kinsoku/>
              <w:wordWrap/>
              <w:topLinePunct w:val="0"/>
              <w:autoSpaceDE/>
              <w:autoSpaceDN/>
              <w:bidi w:val="0"/>
              <w:adjustRightInd w:val="0"/>
              <w:snapToGrid w:val="0"/>
              <w:spacing w:before="0" w:beforeAutospacing="0" w:after="0" w:afterAutospacing="0" w:line="240" w:lineRule="auto"/>
              <w:ind w:right="0" w:firstLine="0" w:firstLineChars="0"/>
              <w:jc w:val="center"/>
              <w:rPr>
                <w:rFonts w:hint="eastAsia" w:ascii="Times New Roman" w:hAnsi="Times New Roman" w:eastAsia="宋体" w:cs="Times New Roman"/>
                <w:sz w:val="21"/>
                <w:szCs w:val="21"/>
              </w:rPr>
            </w:pPr>
          </w:p>
        </w:tc>
        <w:tc>
          <w:tcPr>
            <w:tcW w:w="2279" w:type="pct"/>
            <w:tcBorders>
              <w:tl2br w:val="nil"/>
              <w:tr2bl w:val="nil"/>
            </w:tcBorders>
            <w:noWrap w:val="0"/>
            <w:tcMar>
              <w:top w:w="0" w:type="dxa"/>
              <w:left w:w="0" w:type="dxa"/>
              <w:bottom w:w="0" w:type="dxa"/>
              <w:right w:w="0" w:type="dxa"/>
            </w:tcMar>
            <w:vAlign w:val="center"/>
          </w:tcPr>
          <w:p w14:paraId="3E41BDDD">
            <w:pPr>
              <w:pStyle w:val="95"/>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left"/>
              <w:textAlignment w:val="auto"/>
              <w:rPr>
                <w:rFonts w:hint="eastAsia" w:ascii="宋体" w:hAnsi="宋体" w:cs="Times New Roman"/>
                <w:color w:val="000000"/>
                <w:sz w:val="21"/>
                <w:szCs w:val="21"/>
              </w:rPr>
            </w:pPr>
            <w:r>
              <w:rPr>
                <w:rFonts w:hint="eastAsia" w:ascii="宋体" w:hAnsi="宋体" w:cs="Times New Roman"/>
                <w:color w:val="000000"/>
                <w:sz w:val="21"/>
                <w:szCs w:val="21"/>
              </w:rPr>
              <w:t>产生噪声的车间，应在控制噪声发生源的基础上，对厂房的建筑设计采取减轻噪声影响的措施，注意增加隔声、吸声措施。</w:t>
            </w:r>
          </w:p>
        </w:tc>
        <w:tc>
          <w:tcPr>
            <w:tcW w:w="1250" w:type="pct"/>
            <w:tcBorders>
              <w:tl2br w:val="nil"/>
              <w:tr2bl w:val="nil"/>
            </w:tcBorders>
            <w:noWrap w:val="0"/>
            <w:tcMar>
              <w:top w:w="0" w:type="dxa"/>
              <w:left w:w="0" w:type="dxa"/>
              <w:bottom w:w="0" w:type="dxa"/>
              <w:right w:w="0" w:type="dxa"/>
            </w:tcMar>
            <w:vAlign w:val="center"/>
          </w:tcPr>
          <w:p w14:paraId="5E2E9597">
            <w:pPr>
              <w:pStyle w:val="95"/>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center"/>
              <w:textAlignment w:val="auto"/>
              <w:rPr>
                <w:rFonts w:hint="eastAsia" w:ascii="宋体" w:hAnsi="宋体" w:cs="Times New Roman"/>
                <w:color w:val="000000"/>
                <w:sz w:val="21"/>
                <w:szCs w:val="21"/>
                <w:lang w:eastAsia="zh-CN"/>
              </w:rPr>
            </w:pPr>
            <w:r>
              <w:rPr>
                <w:rFonts w:hint="eastAsia" w:ascii="宋体" w:hAnsi="宋体" w:cs="Times New Roman"/>
                <w:color w:val="000000"/>
                <w:sz w:val="21"/>
                <w:szCs w:val="21"/>
              </w:rPr>
              <w:t>《工业企业设计卫生标准》</w:t>
            </w:r>
            <w:r>
              <w:rPr>
                <w:rFonts w:hint="eastAsia" w:ascii="宋体" w:hAnsi="宋体" w:cs="Times New Roman"/>
                <w:color w:val="000000"/>
                <w:sz w:val="21"/>
                <w:szCs w:val="21"/>
                <w:lang w:eastAsia="zh-CN"/>
              </w:rPr>
              <w:t>（</w:t>
            </w:r>
            <w:r>
              <w:rPr>
                <w:rFonts w:hint="eastAsia" w:ascii="宋体" w:hAnsi="宋体" w:cs="Times New Roman"/>
                <w:color w:val="000000"/>
                <w:sz w:val="21"/>
                <w:szCs w:val="21"/>
              </w:rPr>
              <w:t>GBZ 1-2010</w:t>
            </w:r>
            <w:r>
              <w:rPr>
                <w:rFonts w:hint="eastAsia" w:ascii="宋体" w:hAnsi="宋体" w:cs="Times New Roman"/>
                <w:color w:val="000000"/>
                <w:sz w:val="21"/>
                <w:szCs w:val="21"/>
                <w:lang w:eastAsia="zh-CN"/>
              </w:rPr>
              <w:t>）</w:t>
            </w:r>
          </w:p>
          <w:p w14:paraId="123F3F20">
            <w:pPr>
              <w:pStyle w:val="95"/>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center"/>
              <w:textAlignment w:val="auto"/>
              <w:rPr>
                <w:rFonts w:hint="eastAsia" w:ascii="宋体" w:hAnsi="宋体" w:cs="Times New Roman"/>
                <w:color w:val="000000"/>
                <w:sz w:val="21"/>
                <w:szCs w:val="21"/>
              </w:rPr>
            </w:pPr>
            <w:r>
              <w:rPr>
                <w:rFonts w:hint="eastAsia" w:ascii="宋体" w:hAnsi="宋体" w:cs="Times New Roman"/>
                <w:color w:val="000000"/>
                <w:sz w:val="21"/>
                <w:szCs w:val="21"/>
              </w:rPr>
              <w:t>6.3.1.6</w:t>
            </w:r>
          </w:p>
        </w:tc>
        <w:tc>
          <w:tcPr>
            <w:tcW w:w="927" w:type="pct"/>
            <w:tcBorders>
              <w:tl2br w:val="nil"/>
              <w:tr2bl w:val="nil"/>
            </w:tcBorders>
            <w:noWrap w:val="0"/>
            <w:tcMar>
              <w:top w:w="0" w:type="dxa"/>
              <w:left w:w="0" w:type="dxa"/>
              <w:bottom w:w="0" w:type="dxa"/>
              <w:right w:w="0" w:type="dxa"/>
            </w:tcMar>
            <w:vAlign w:val="center"/>
          </w:tcPr>
          <w:p w14:paraId="5A4B16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rPr>
              <w:t>采取了降噪措施</w:t>
            </w:r>
            <w:r>
              <w:rPr>
                <w:rFonts w:hint="eastAsia" w:cs="宋体"/>
                <w:color w:val="000000"/>
                <w:kern w:val="0"/>
                <w:sz w:val="21"/>
                <w:szCs w:val="21"/>
                <w:lang w:eastAsia="zh-CN"/>
              </w:rPr>
              <w:t>。</w:t>
            </w:r>
          </w:p>
        </w:tc>
        <w:tc>
          <w:tcPr>
            <w:tcW w:w="291" w:type="pct"/>
            <w:tcBorders>
              <w:tl2br w:val="nil"/>
              <w:tr2bl w:val="nil"/>
            </w:tcBorders>
            <w:noWrap w:val="0"/>
            <w:tcMar>
              <w:top w:w="0" w:type="dxa"/>
              <w:left w:w="0" w:type="dxa"/>
              <w:bottom w:w="0" w:type="dxa"/>
              <w:right w:w="0" w:type="dxa"/>
            </w:tcMar>
            <w:vAlign w:val="center"/>
          </w:tcPr>
          <w:p w14:paraId="40CB6D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color w:val="000000"/>
                <w:sz w:val="21"/>
                <w:szCs w:val="21"/>
              </w:rPr>
            </w:pPr>
            <w:r>
              <w:rPr>
                <w:rFonts w:hint="eastAsia" w:ascii="宋体" w:hAnsi="宋体"/>
                <w:color w:val="000000"/>
                <w:sz w:val="21"/>
                <w:szCs w:val="21"/>
              </w:rPr>
              <w:t>符合</w:t>
            </w:r>
          </w:p>
        </w:tc>
      </w:tr>
    </w:tbl>
    <w:p w14:paraId="5920E3D3">
      <w:pPr>
        <w:bidi w:val="0"/>
        <w:rPr>
          <w:rFonts w:hint="eastAsia"/>
        </w:rPr>
      </w:pPr>
      <w:r>
        <w:rPr>
          <w:rFonts w:hint="eastAsia"/>
        </w:rPr>
        <w:t>由检查</w:t>
      </w:r>
      <w:r>
        <w:rPr>
          <w:rFonts w:hint="eastAsia"/>
          <w:lang w:val="en-US" w:eastAsia="zh-CN"/>
        </w:rPr>
        <w:t>结果</w:t>
      </w:r>
      <w:r>
        <w:rPr>
          <w:rFonts w:hint="eastAsia"/>
        </w:rPr>
        <w:t>得知，本项目生产工艺系统、装置、设施、设备单元符合</w:t>
      </w:r>
      <w:r>
        <w:rPr>
          <w:rFonts w:hint="eastAsia"/>
          <w:lang w:val="en-US" w:eastAsia="zh-CN"/>
        </w:rPr>
        <w:t>相关</w:t>
      </w:r>
      <w:r>
        <w:rPr>
          <w:rFonts w:hint="eastAsia"/>
        </w:rPr>
        <w:t>规范的要求。</w:t>
      </w:r>
    </w:p>
    <w:p w14:paraId="73ECA427">
      <w:pPr>
        <w:pStyle w:val="4"/>
        <w:keepNext w:val="0"/>
        <w:keepLines w:val="0"/>
        <w:pageBreakBefore w:val="0"/>
        <w:widowControl w:val="0"/>
        <w:kinsoku/>
        <w:bidi w:val="0"/>
      </w:pPr>
      <w:bookmarkStart w:id="1005" w:name="_Toc27042"/>
      <w:r>
        <w:rPr>
          <w:rFonts w:hint="eastAsia"/>
          <w:lang w:val="en-US" w:eastAsia="zh-CN"/>
        </w:rPr>
        <w:t>生产工艺系统、装置、设施、设备单元符合性检查结果</w:t>
      </w:r>
      <w:bookmarkEnd w:id="1005"/>
    </w:p>
    <w:p w14:paraId="628B36BC">
      <w:pPr>
        <w:keepNext w:val="0"/>
        <w:keepLines w:val="0"/>
        <w:pageBreakBefore w:val="0"/>
        <w:widowControl w:val="0"/>
        <w:kinsoku/>
        <w:wordWrap w:val="0"/>
        <w:overflowPunct/>
        <w:topLinePunct w:val="0"/>
        <w:autoSpaceDE/>
        <w:autoSpaceDN/>
        <w:bidi w:val="0"/>
        <w:adjustRightInd/>
        <w:snapToGrid/>
        <w:textAlignment w:val="auto"/>
      </w:pPr>
      <w:r>
        <w:rPr>
          <w:rFonts w:hint="eastAsia"/>
        </w:rPr>
        <w:t>本项目</w:t>
      </w:r>
      <w:r>
        <w:rPr>
          <w:rFonts w:hint="eastAsia"/>
          <w:lang w:val="en-US" w:eastAsia="zh-CN"/>
        </w:rPr>
        <w:t>生产工艺系统、装置、设施、设备</w:t>
      </w:r>
      <w:r>
        <w:rPr>
          <w:rFonts w:hint="eastAsia"/>
        </w:rPr>
        <w:t>单元符合依据</w:t>
      </w:r>
      <w:r>
        <w:rPr>
          <w:rFonts w:hint="eastAsia"/>
          <w:lang w:eastAsia="zh-CN"/>
        </w:rPr>
        <w:t>《中华人民共和国安全生产法》《</w:t>
      </w:r>
      <w:r>
        <w:rPr>
          <w:rFonts w:hint="eastAsia"/>
        </w:rPr>
        <w:t>生产过程安全卫生要求总则》（GB/T12801-2008）、《生产设备安全卫生设计总则》（GB5083-1999）</w:t>
      </w:r>
      <w:r>
        <w:rPr>
          <w:rFonts w:hint="eastAsia"/>
          <w:lang w:eastAsia="zh-CN"/>
        </w:rPr>
        <w:t>、《工业企业设计卫生标准》（GBZ 1-2010）</w:t>
      </w:r>
      <w:r>
        <w:rPr>
          <w:rFonts w:hint="eastAsia"/>
        </w:rPr>
        <w:t>等规范标准</w:t>
      </w:r>
      <w:r>
        <w:rPr>
          <w:rFonts w:hint="eastAsia"/>
          <w:lang w:val="en-US" w:eastAsia="zh-CN"/>
        </w:rPr>
        <w:t>要求。</w:t>
      </w:r>
    </w:p>
    <w:p w14:paraId="278839BE">
      <w:pPr>
        <w:pStyle w:val="3"/>
        <w:keepNext w:val="0"/>
        <w:keepLines w:val="0"/>
        <w:pageBreakBefore w:val="0"/>
        <w:widowControl w:val="0"/>
        <w:kinsoku/>
        <w:bidi w:val="0"/>
        <w:ind w:left="575" w:leftChars="0" w:hanging="575" w:firstLineChars="0"/>
      </w:pPr>
      <w:bookmarkStart w:id="1006" w:name="_Toc16057"/>
      <w:bookmarkStart w:id="1007" w:name="_Toc55945308"/>
      <w:bookmarkStart w:id="1008" w:name="_Toc60925417"/>
      <w:bookmarkStart w:id="1009" w:name="_Toc46697245"/>
      <w:bookmarkStart w:id="1010" w:name="_Toc21455"/>
      <w:r>
        <w:rPr>
          <w:rFonts w:hint="eastAsia"/>
        </w:rPr>
        <w:t>公用和辅助设备设施</w:t>
      </w:r>
      <w:bookmarkEnd w:id="1006"/>
      <w:bookmarkEnd w:id="1007"/>
      <w:bookmarkEnd w:id="1008"/>
      <w:bookmarkEnd w:id="1009"/>
      <w:r>
        <w:rPr>
          <w:rFonts w:hint="eastAsia"/>
          <w:lang w:val="en-US" w:eastAsia="zh-CN"/>
        </w:rPr>
        <w:t>单元</w:t>
      </w:r>
      <w:bookmarkEnd w:id="1010"/>
    </w:p>
    <w:p w14:paraId="0AB0D72B">
      <w:pPr>
        <w:pStyle w:val="4"/>
        <w:keepNext w:val="0"/>
        <w:keepLines w:val="0"/>
        <w:pageBreakBefore w:val="0"/>
        <w:widowControl w:val="0"/>
        <w:kinsoku/>
        <w:bidi w:val="0"/>
      </w:pPr>
      <w:bookmarkStart w:id="1011" w:name="_Toc28745"/>
      <w:r>
        <w:rPr>
          <w:rFonts w:hint="eastAsia"/>
        </w:rPr>
        <w:t>公用和辅助设备设施</w:t>
      </w:r>
      <w:r>
        <w:rPr>
          <w:rFonts w:hint="eastAsia"/>
          <w:lang w:eastAsia="zh-CN"/>
        </w:rPr>
        <w:t>单元</w:t>
      </w:r>
      <w:r>
        <w:rPr>
          <w:rFonts w:hint="eastAsia"/>
          <w:lang w:val="en-US" w:eastAsia="zh-CN"/>
        </w:rPr>
        <w:t>符合性检查</w:t>
      </w:r>
      <w:bookmarkEnd w:id="1011"/>
    </w:p>
    <w:p w14:paraId="6EAC6DD7">
      <w:pPr>
        <w:pStyle w:val="5"/>
        <w:keepNext w:val="0"/>
        <w:keepLines w:val="0"/>
        <w:pageBreakBefore w:val="0"/>
        <w:widowControl w:val="0"/>
        <w:kinsoku/>
        <w:bidi w:val="0"/>
      </w:pPr>
      <w:r>
        <w:rPr>
          <w:rFonts w:hint="eastAsia"/>
        </w:rPr>
        <w:t>供配电</w:t>
      </w:r>
      <w:r>
        <w:rPr>
          <w:rFonts w:hint="eastAsia"/>
          <w:lang w:val="en-US" w:eastAsia="zh-CN"/>
        </w:rPr>
        <w:t>系统</w:t>
      </w:r>
    </w:p>
    <w:p w14:paraId="494FB224">
      <w:pPr>
        <w:bidi w:val="0"/>
      </w:pPr>
      <w:r>
        <w:rPr>
          <w:rFonts w:hint="eastAsia"/>
        </w:rPr>
        <w:t>依据《低压配电设计规范》（</w:t>
      </w:r>
      <w:r>
        <w:t>GB50054-2011</w:t>
      </w:r>
      <w:r>
        <w:rPr>
          <w:rFonts w:hint="eastAsia"/>
        </w:rPr>
        <w:t>）、《供配电系统设计规范》（GB 50052-2009）</w:t>
      </w:r>
      <w:r>
        <w:rPr>
          <w:rFonts w:hint="eastAsia"/>
          <w:lang w:eastAsia="zh-CN"/>
        </w:rPr>
        <w:t>、《电气装置安装工程电缆线路施工及验收标准》（GB 50168-2018）、《电气装置安装工程接地装置施工及验收规范》（GB 50169-2016）、</w:t>
      </w:r>
      <w:r>
        <w:rPr>
          <w:rFonts w:hint="eastAsia"/>
        </w:rPr>
        <w:t>《建筑物防雷设计规范》（GB50057-2010）、《生产设备安全卫生设计总则</w:t>
      </w:r>
      <w:r>
        <w:rPr>
          <w:rFonts w:hint="eastAsia"/>
          <w:lang w:eastAsia="zh-CN"/>
        </w:rPr>
        <w:t>》《</w:t>
      </w:r>
      <w:r>
        <w:rPr>
          <w:rFonts w:hint="eastAsia"/>
        </w:rPr>
        <w:t>防止静电事故通用导则》（GB12158-2006）</w:t>
      </w:r>
      <w:r>
        <w:rPr>
          <w:rFonts w:hint="eastAsia"/>
          <w:lang w:eastAsia="zh-CN"/>
        </w:rPr>
        <w:t>等</w:t>
      </w:r>
      <w:r>
        <w:rPr>
          <w:rFonts w:hint="eastAsia"/>
        </w:rPr>
        <w:t>标准规范的规定，对本项目供配电系统采用安全检查表法进行分析评价。检查结果见表</w:t>
      </w:r>
      <w:r>
        <w:rPr>
          <w:rFonts w:hint="eastAsia"/>
          <w:lang w:val="en-US" w:eastAsia="zh-CN"/>
        </w:rPr>
        <w:t>5-5</w:t>
      </w:r>
      <w:r>
        <w:rPr>
          <w:rFonts w:hint="eastAsia"/>
        </w:rPr>
        <w:t>。</w:t>
      </w:r>
    </w:p>
    <w:p w14:paraId="0DA1D20D">
      <w:pPr>
        <w:pStyle w:val="12"/>
        <w:keepNext w:val="0"/>
        <w:keepLines w:val="0"/>
        <w:pageBreakBefore w:val="0"/>
        <w:widowControl w:val="0"/>
        <w:kinsoku/>
        <w:wordWrap/>
        <w:bidi w:val="0"/>
        <w:rPr>
          <w:rFonts w:hint="eastAsia"/>
          <w:lang w:val="en-US" w:eastAsia="zh-CN"/>
        </w:rPr>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供配电安全检查表</w:t>
      </w:r>
    </w:p>
    <w:tbl>
      <w:tblPr>
        <w:tblStyle w:val="32"/>
        <w:tblW w:w="868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1"/>
        <w:gridCol w:w="3355"/>
        <w:gridCol w:w="1910"/>
        <w:gridCol w:w="2451"/>
        <w:gridCol w:w="449"/>
      </w:tblGrid>
      <w:tr w14:paraId="3C36FF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21" w:type="dxa"/>
            <w:tcBorders>
              <w:tl2br w:val="nil"/>
              <w:tr2bl w:val="nil"/>
            </w:tcBorders>
            <w:noWrap w:val="0"/>
            <w:vAlign w:val="center"/>
          </w:tcPr>
          <w:p w14:paraId="0A66E58E">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3355" w:type="dxa"/>
            <w:tcBorders>
              <w:tl2br w:val="nil"/>
              <w:tr2bl w:val="nil"/>
            </w:tcBorders>
            <w:noWrap w:val="0"/>
            <w:vAlign w:val="center"/>
          </w:tcPr>
          <w:p w14:paraId="7CDAD8F4">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检查内容</w:t>
            </w:r>
          </w:p>
        </w:tc>
        <w:tc>
          <w:tcPr>
            <w:tcW w:w="1910" w:type="dxa"/>
            <w:tcBorders>
              <w:tl2br w:val="nil"/>
              <w:tr2bl w:val="nil"/>
            </w:tcBorders>
            <w:noWrap w:val="0"/>
            <w:vAlign w:val="center"/>
          </w:tcPr>
          <w:p w14:paraId="253EA809">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依据标准</w:t>
            </w:r>
          </w:p>
        </w:tc>
        <w:tc>
          <w:tcPr>
            <w:tcW w:w="2451" w:type="dxa"/>
            <w:tcBorders>
              <w:tl2br w:val="nil"/>
              <w:tr2bl w:val="nil"/>
            </w:tcBorders>
            <w:noWrap w:val="0"/>
            <w:vAlign w:val="center"/>
          </w:tcPr>
          <w:p w14:paraId="57DD3938">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检查情况</w:t>
            </w:r>
          </w:p>
        </w:tc>
        <w:tc>
          <w:tcPr>
            <w:tcW w:w="449" w:type="dxa"/>
            <w:tcBorders>
              <w:tl2br w:val="nil"/>
              <w:tr2bl w:val="nil"/>
            </w:tcBorders>
            <w:noWrap w:val="0"/>
            <w:vAlign w:val="center"/>
          </w:tcPr>
          <w:p w14:paraId="4BF16EC3">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结论</w:t>
            </w:r>
          </w:p>
        </w:tc>
      </w:tr>
      <w:tr w14:paraId="08D332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1" w:type="dxa"/>
            <w:tcBorders>
              <w:tl2br w:val="nil"/>
              <w:tr2bl w:val="nil"/>
            </w:tcBorders>
            <w:noWrap w:val="0"/>
            <w:vAlign w:val="center"/>
          </w:tcPr>
          <w:p w14:paraId="6C200468">
            <w:pPr>
              <w:keepNext w:val="0"/>
              <w:keepLines w:val="0"/>
              <w:pageBreakBefore w:val="0"/>
              <w:widowControl w:val="0"/>
              <w:numPr>
                <w:ilvl w:val="0"/>
                <w:numId w:val="112"/>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3355" w:type="dxa"/>
            <w:tcBorders>
              <w:tl2br w:val="nil"/>
              <w:tr2bl w:val="nil"/>
            </w:tcBorders>
            <w:noWrap w:val="0"/>
            <w:vAlign w:val="center"/>
          </w:tcPr>
          <w:p w14:paraId="14A1FE40">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配电室的门、窗关闭应密合；与室外相通的洞、通风孔应设防止鼠、蛇类等小动物进入网罩，其防护等级不宜低于现行国家标准《外壳防护等级（IP代码）</w:t>
            </w:r>
            <w:r>
              <w:rPr>
                <w:rFonts w:hint="eastAsia" w:ascii="Times New Roman" w:hAnsi="Times New Roman" w:eastAsia="宋体" w:cs="Times New Roman"/>
                <w:sz w:val="21"/>
                <w:szCs w:val="21"/>
                <w:lang w:eastAsia="zh-CN"/>
              </w:rPr>
              <w:t>》</w:t>
            </w:r>
            <w:r>
              <w:rPr>
                <w:rFonts w:hint="eastAsia" w:ascii="Times New Roman" w:hAnsi="Times New Roman" w:cs="Times New Roman"/>
                <w:sz w:val="21"/>
                <w:szCs w:val="21"/>
                <w:lang w:eastAsia="zh-CN"/>
              </w:rPr>
              <w:t>GB4208</w:t>
            </w:r>
            <w:r>
              <w:rPr>
                <w:rFonts w:hint="default" w:ascii="Times New Roman" w:hAnsi="Times New Roman" w:eastAsia="宋体" w:cs="Times New Roman"/>
                <w:sz w:val="21"/>
                <w:szCs w:val="21"/>
              </w:rPr>
              <w:t>B4208规定的IP3X级。直接与室外露天相通的通风孔尚应采取防止雨、雪飘入的措施。</w:t>
            </w:r>
          </w:p>
        </w:tc>
        <w:tc>
          <w:tcPr>
            <w:tcW w:w="1910" w:type="dxa"/>
            <w:tcBorders>
              <w:tl2br w:val="nil"/>
              <w:tr2bl w:val="nil"/>
            </w:tcBorders>
            <w:noWrap w:val="0"/>
            <w:vAlign w:val="center"/>
          </w:tcPr>
          <w:p w14:paraId="29315138">
            <w:pPr>
              <w:keepNext w:val="0"/>
              <w:keepLines w:val="0"/>
              <w:pageBreakBefore w:val="0"/>
              <w:widowControl w:val="0"/>
              <w:suppressLineNumbers w:val="0"/>
              <w:kinsoku/>
              <w:wordWrap/>
              <w:bidi w:val="0"/>
              <w:spacing w:before="0" w:beforeAutospacing="0" w:after="0" w:afterAutospacing="0" w:line="0" w:lineRule="atLeast"/>
              <w:ind w:left="0" w:right="0" w:firstLine="0" w:firstLine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《低压配电设计规范》（GB50054-2011）第4.3.7条</w:t>
            </w:r>
          </w:p>
        </w:tc>
        <w:tc>
          <w:tcPr>
            <w:tcW w:w="2451" w:type="dxa"/>
            <w:tcBorders>
              <w:tl2br w:val="nil"/>
              <w:tr2bl w:val="nil"/>
            </w:tcBorders>
            <w:noWrap w:val="0"/>
            <w:vAlign w:val="center"/>
          </w:tcPr>
          <w:p w14:paraId="0466DC66">
            <w:pPr>
              <w:keepNext w:val="0"/>
              <w:keepLines w:val="0"/>
              <w:pageBreakBefore w:val="0"/>
              <w:widowControl w:val="0"/>
              <w:suppressLineNumbers w:val="0"/>
              <w:kinsoku/>
              <w:wordWrap/>
              <w:overflowPunct w:val="0"/>
              <w:bidi w:val="0"/>
              <w:adjustRightInd w:val="0"/>
              <w:spacing w:before="40" w:beforeAutospacing="0" w:after="60" w:afterAutospacing="0" w:line="200" w:lineRule="atLeast"/>
              <w:ind w:left="0" w:right="0" w:firstLine="0" w:firstLineChars="0"/>
              <w:jc w:val="both"/>
              <w:textAlignment w:val="baseline"/>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配电室的门、窗关闭密合。与室外相通的洞、通风孔设置了防止鼠、蛇类等小动物进入网罩。</w:t>
            </w:r>
          </w:p>
        </w:tc>
        <w:tc>
          <w:tcPr>
            <w:tcW w:w="449" w:type="dxa"/>
            <w:tcBorders>
              <w:tl2br w:val="nil"/>
              <w:tr2bl w:val="nil"/>
            </w:tcBorders>
            <w:noWrap w:val="0"/>
            <w:vAlign w:val="center"/>
          </w:tcPr>
          <w:p w14:paraId="03C3B85D">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1367AC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1" w:type="dxa"/>
            <w:tcBorders>
              <w:tl2br w:val="nil"/>
              <w:tr2bl w:val="nil"/>
            </w:tcBorders>
            <w:noWrap w:val="0"/>
            <w:vAlign w:val="center"/>
          </w:tcPr>
          <w:p w14:paraId="0A8573D4">
            <w:pPr>
              <w:keepNext w:val="0"/>
              <w:keepLines w:val="0"/>
              <w:pageBreakBefore w:val="0"/>
              <w:widowControl w:val="0"/>
              <w:numPr>
                <w:ilvl w:val="0"/>
                <w:numId w:val="112"/>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3355" w:type="dxa"/>
            <w:tcBorders>
              <w:tl2br w:val="nil"/>
              <w:tr2bl w:val="nil"/>
            </w:tcBorders>
            <w:noWrap w:val="0"/>
            <w:vAlign w:val="center"/>
          </w:tcPr>
          <w:p w14:paraId="09487E2C">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配电室长度超过7m时，应设2个出口，并宜布置在配电室两端。当配电室双层布置时，楼上配电室的出口应至少设一个通向该层走廊或室外的安全出口。配电室的门均应向外开启，但通向高压配电室的门应为双向开启门。</w:t>
            </w:r>
          </w:p>
        </w:tc>
        <w:tc>
          <w:tcPr>
            <w:tcW w:w="1910" w:type="dxa"/>
            <w:tcBorders>
              <w:tl2br w:val="nil"/>
              <w:tr2bl w:val="nil"/>
            </w:tcBorders>
            <w:noWrap w:val="0"/>
            <w:vAlign w:val="center"/>
          </w:tcPr>
          <w:p w14:paraId="27CF40E2">
            <w:pPr>
              <w:keepNext w:val="0"/>
              <w:keepLines w:val="0"/>
              <w:pageBreakBefore w:val="0"/>
              <w:widowControl w:val="0"/>
              <w:suppressLineNumbers w:val="0"/>
              <w:kinsoku/>
              <w:wordWrap/>
              <w:bidi w:val="0"/>
              <w:spacing w:before="0" w:beforeAutospacing="0" w:after="0" w:afterAutospacing="0" w:line="0" w:lineRule="atLeast"/>
              <w:ind w:left="0" w:right="0" w:firstLine="0" w:firstLine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《低压配电设计规范》</w:t>
            </w:r>
          </w:p>
          <w:p w14:paraId="23E87627">
            <w:pPr>
              <w:keepNext w:val="0"/>
              <w:keepLines w:val="0"/>
              <w:pageBreakBefore w:val="0"/>
              <w:widowControl w:val="0"/>
              <w:suppressLineNumbers w:val="0"/>
              <w:kinsoku/>
              <w:wordWrap/>
              <w:bidi w:val="0"/>
              <w:spacing w:before="0" w:beforeAutospacing="0" w:after="0" w:afterAutospacing="0" w:line="0" w:lineRule="atLeast"/>
              <w:ind w:left="0" w:right="0" w:firstLine="0" w:firstLineChars="0"/>
              <w:jc w:val="center"/>
              <w:rPr>
                <w:rFonts w:hint="default" w:ascii="Times New Roman" w:hAnsi="Times New Roman" w:eastAsia="宋体" w:cs="Times New Roman"/>
                <w:bCs/>
                <w:sz w:val="21"/>
                <w:szCs w:val="21"/>
              </w:rPr>
            </w:pPr>
            <w:r>
              <w:rPr>
                <w:rFonts w:hint="eastAsia" w:ascii="Times New Roman" w:hAnsi="Times New Roman" w:cs="Times New Roman"/>
                <w:bCs/>
                <w:sz w:val="21"/>
                <w:szCs w:val="21"/>
                <w:lang w:eastAsia="zh-CN"/>
              </w:rPr>
              <w:t>（</w:t>
            </w:r>
            <w:r>
              <w:rPr>
                <w:rFonts w:hint="default" w:ascii="Times New Roman" w:hAnsi="Times New Roman" w:eastAsia="宋体" w:cs="Times New Roman"/>
                <w:bCs/>
                <w:sz w:val="21"/>
                <w:szCs w:val="21"/>
              </w:rPr>
              <w:t>GB50054-2011</w:t>
            </w:r>
            <w:r>
              <w:rPr>
                <w:rFonts w:hint="eastAsia" w:ascii="Times New Roman" w:hAnsi="Times New Roman" w:cs="Times New Roman"/>
                <w:bCs/>
                <w:sz w:val="21"/>
                <w:szCs w:val="21"/>
                <w:lang w:eastAsia="zh-CN"/>
              </w:rPr>
              <w:t>）</w:t>
            </w:r>
            <w:r>
              <w:rPr>
                <w:rFonts w:hint="default" w:ascii="Times New Roman" w:hAnsi="Times New Roman" w:eastAsia="宋体" w:cs="Times New Roman"/>
                <w:bCs/>
                <w:sz w:val="21"/>
                <w:szCs w:val="21"/>
              </w:rPr>
              <w:t>第4.3.2条</w:t>
            </w:r>
          </w:p>
        </w:tc>
        <w:tc>
          <w:tcPr>
            <w:tcW w:w="2451" w:type="dxa"/>
            <w:tcBorders>
              <w:tl2br w:val="nil"/>
              <w:tr2bl w:val="nil"/>
            </w:tcBorders>
            <w:noWrap w:val="0"/>
            <w:vAlign w:val="center"/>
          </w:tcPr>
          <w:p w14:paraId="5D7C459C">
            <w:pPr>
              <w:keepNext w:val="0"/>
              <w:keepLines w:val="0"/>
              <w:pageBreakBefore w:val="0"/>
              <w:widowControl w:val="0"/>
              <w:suppressLineNumbers w:val="0"/>
              <w:kinsoku/>
              <w:wordWrap/>
              <w:overflowPunct w:val="0"/>
              <w:bidi w:val="0"/>
              <w:adjustRightInd w:val="0"/>
              <w:spacing w:before="40" w:beforeAutospacing="0" w:after="60" w:afterAutospacing="0" w:line="200" w:lineRule="atLeast"/>
              <w:ind w:left="0" w:right="0" w:firstLine="0" w:firstLineChars="0"/>
              <w:jc w:val="both"/>
              <w:textAlignment w:val="baseline"/>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配电室长度超过7m时，设置了2个出口，并布置在配电室两端。</w:t>
            </w:r>
          </w:p>
        </w:tc>
        <w:tc>
          <w:tcPr>
            <w:tcW w:w="449" w:type="dxa"/>
            <w:tcBorders>
              <w:tl2br w:val="nil"/>
              <w:tr2bl w:val="nil"/>
            </w:tcBorders>
            <w:noWrap w:val="0"/>
            <w:vAlign w:val="center"/>
          </w:tcPr>
          <w:p w14:paraId="35795EA4">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143475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1" w:type="dxa"/>
            <w:tcBorders>
              <w:tl2br w:val="nil"/>
              <w:tr2bl w:val="nil"/>
            </w:tcBorders>
            <w:noWrap w:val="0"/>
            <w:vAlign w:val="center"/>
          </w:tcPr>
          <w:p w14:paraId="30D61060">
            <w:pPr>
              <w:keepNext w:val="0"/>
              <w:keepLines w:val="0"/>
              <w:pageBreakBefore w:val="0"/>
              <w:widowControl w:val="0"/>
              <w:numPr>
                <w:ilvl w:val="0"/>
                <w:numId w:val="112"/>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3355" w:type="dxa"/>
            <w:tcBorders>
              <w:tl2br w:val="nil"/>
              <w:tr2bl w:val="nil"/>
            </w:tcBorders>
            <w:noWrap w:val="0"/>
            <w:vAlign w:val="center"/>
          </w:tcPr>
          <w:p w14:paraId="0B385F7D">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配电室内的电缆沟，应采取防水和排水措施。配电室的地面宜高出本层地面50mm或设置防水门槛。</w:t>
            </w:r>
          </w:p>
        </w:tc>
        <w:tc>
          <w:tcPr>
            <w:tcW w:w="1910" w:type="dxa"/>
            <w:tcBorders>
              <w:tl2br w:val="nil"/>
              <w:tr2bl w:val="nil"/>
            </w:tcBorders>
            <w:noWrap w:val="0"/>
            <w:vAlign w:val="center"/>
          </w:tcPr>
          <w:p w14:paraId="023DE5D3">
            <w:pPr>
              <w:keepNext w:val="0"/>
              <w:keepLines w:val="0"/>
              <w:pageBreakBefore w:val="0"/>
              <w:widowControl w:val="0"/>
              <w:suppressLineNumbers w:val="0"/>
              <w:kinsoku/>
              <w:wordWrap/>
              <w:bidi w:val="0"/>
              <w:spacing w:before="0" w:beforeAutospacing="0" w:after="0" w:afterAutospacing="0" w:line="0" w:lineRule="atLeast"/>
              <w:ind w:left="0" w:right="0" w:firstLine="0" w:firstLine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《低压配电设计规范》</w:t>
            </w:r>
          </w:p>
          <w:p w14:paraId="07D62953">
            <w:pPr>
              <w:keepNext w:val="0"/>
              <w:keepLines w:val="0"/>
              <w:pageBreakBefore w:val="0"/>
              <w:widowControl w:val="0"/>
              <w:suppressLineNumbers w:val="0"/>
              <w:kinsoku/>
              <w:wordWrap/>
              <w:bidi w:val="0"/>
              <w:spacing w:before="0" w:beforeAutospacing="0" w:after="0" w:afterAutospacing="0" w:line="0" w:lineRule="atLeast"/>
              <w:ind w:left="0" w:right="0" w:firstLine="0" w:firstLine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（GB50054-2011）</w:t>
            </w:r>
          </w:p>
          <w:p w14:paraId="6073A5F1">
            <w:pPr>
              <w:keepNext w:val="0"/>
              <w:keepLines w:val="0"/>
              <w:pageBreakBefore w:val="0"/>
              <w:widowControl w:val="0"/>
              <w:suppressLineNumbers w:val="0"/>
              <w:kinsoku/>
              <w:wordWrap/>
              <w:bidi w:val="0"/>
              <w:spacing w:before="0" w:beforeAutospacing="0" w:after="0" w:afterAutospacing="0" w:line="0" w:lineRule="atLeast"/>
              <w:ind w:left="0" w:right="0" w:firstLine="0" w:firstLine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第4.3.4条</w:t>
            </w:r>
          </w:p>
        </w:tc>
        <w:tc>
          <w:tcPr>
            <w:tcW w:w="2451" w:type="dxa"/>
            <w:tcBorders>
              <w:tl2br w:val="nil"/>
              <w:tr2bl w:val="nil"/>
            </w:tcBorders>
            <w:noWrap w:val="0"/>
            <w:vAlign w:val="center"/>
          </w:tcPr>
          <w:p w14:paraId="6BA1800B">
            <w:pPr>
              <w:keepNext w:val="0"/>
              <w:keepLines w:val="0"/>
              <w:pageBreakBefore w:val="0"/>
              <w:widowControl w:val="0"/>
              <w:suppressLineNumbers w:val="0"/>
              <w:kinsoku/>
              <w:wordWrap/>
              <w:overflowPunct w:val="0"/>
              <w:bidi w:val="0"/>
              <w:adjustRightInd w:val="0"/>
              <w:spacing w:before="40" w:beforeAutospacing="0" w:after="60" w:afterAutospacing="0" w:line="200" w:lineRule="atLeast"/>
              <w:ind w:left="0" w:right="0" w:firstLine="0" w:firstLineChars="0"/>
              <w:jc w:val="both"/>
              <w:textAlignment w:val="baseline"/>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配电室内的电缆沟无积水。</w:t>
            </w:r>
          </w:p>
        </w:tc>
        <w:tc>
          <w:tcPr>
            <w:tcW w:w="449" w:type="dxa"/>
            <w:tcBorders>
              <w:tl2br w:val="nil"/>
              <w:tr2bl w:val="nil"/>
            </w:tcBorders>
            <w:noWrap w:val="0"/>
            <w:vAlign w:val="center"/>
          </w:tcPr>
          <w:p w14:paraId="73A8C8CA">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6C0F89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1" w:type="dxa"/>
            <w:tcBorders>
              <w:tl2br w:val="nil"/>
              <w:tr2bl w:val="nil"/>
            </w:tcBorders>
            <w:noWrap w:val="0"/>
            <w:vAlign w:val="center"/>
          </w:tcPr>
          <w:p w14:paraId="6536CAC2">
            <w:pPr>
              <w:keepNext w:val="0"/>
              <w:keepLines w:val="0"/>
              <w:pageBreakBefore w:val="0"/>
              <w:widowControl w:val="0"/>
              <w:numPr>
                <w:ilvl w:val="0"/>
                <w:numId w:val="112"/>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sz w:val="21"/>
                <w:szCs w:val="21"/>
              </w:rPr>
            </w:pPr>
          </w:p>
        </w:tc>
        <w:tc>
          <w:tcPr>
            <w:tcW w:w="3355" w:type="dxa"/>
            <w:tcBorders>
              <w:tl2br w:val="nil"/>
              <w:tr2bl w:val="nil"/>
            </w:tcBorders>
            <w:noWrap w:val="0"/>
            <w:vAlign w:val="center"/>
          </w:tcPr>
          <w:p w14:paraId="21941BB0">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配电线路应装设短路保护和过负荷保护。</w:t>
            </w:r>
          </w:p>
        </w:tc>
        <w:tc>
          <w:tcPr>
            <w:tcW w:w="1910" w:type="dxa"/>
            <w:tcBorders>
              <w:tl2br w:val="nil"/>
              <w:tr2bl w:val="nil"/>
            </w:tcBorders>
            <w:noWrap w:val="0"/>
            <w:vAlign w:val="center"/>
          </w:tcPr>
          <w:p w14:paraId="047FF2EB">
            <w:pPr>
              <w:keepNext w:val="0"/>
              <w:keepLines w:val="0"/>
              <w:pageBreakBefore w:val="0"/>
              <w:widowControl w:val="0"/>
              <w:suppressLineNumbers w:val="0"/>
              <w:kinsoku/>
              <w:wordWrap/>
              <w:bidi w:val="0"/>
              <w:spacing w:before="0" w:beforeAutospacing="0" w:after="0" w:afterAutospacing="0" w:line="0" w:lineRule="atLeast"/>
              <w:ind w:left="0" w:right="0" w:firstLine="0" w:firstLine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《低压配电设计规范》</w:t>
            </w:r>
          </w:p>
          <w:p w14:paraId="446364B0">
            <w:pPr>
              <w:keepNext w:val="0"/>
              <w:keepLines w:val="0"/>
              <w:pageBreakBefore w:val="0"/>
              <w:widowControl w:val="0"/>
              <w:suppressLineNumbers w:val="0"/>
              <w:kinsoku/>
              <w:wordWrap/>
              <w:bidi w:val="0"/>
              <w:spacing w:before="0" w:beforeAutospacing="0" w:after="0" w:afterAutospacing="0" w:line="0" w:lineRule="atLeast"/>
              <w:ind w:left="0" w:right="0" w:firstLine="0" w:firstLine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（GB50054-2011）</w:t>
            </w:r>
          </w:p>
          <w:p w14:paraId="53D28697">
            <w:pPr>
              <w:keepNext w:val="0"/>
              <w:keepLines w:val="0"/>
              <w:pageBreakBefore w:val="0"/>
              <w:widowControl w:val="0"/>
              <w:suppressLineNumbers w:val="0"/>
              <w:kinsoku/>
              <w:wordWrap/>
              <w:bidi w:val="0"/>
              <w:spacing w:before="0" w:beforeAutospacing="0" w:after="0" w:afterAutospacing="0" w:line="0" w:lineRule="atLeast"/>
              <w:ind w:left="0" w:right="0" w:firstLine="0" w:firstLine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第6.1.1条</w:t>
            </w:r>
          </w:p>
        </w:tc>
        <w:tc>
          <w:tcPr>
            <w:tcW w:w="2451" w:type="dxa"/>
            <w:tcBorders>
              <w:tl2br w:val="nil"/>
              <w:tr2bl w:val="nil"/>
            </w:tcBorders>
            <w:noWrap w:val="0"/>
            <w:vAlign w:val="center"/>
          </w:tcPr>
          <w:p w14:paraId="62A18DD8">
            <w:pPr>
              <w:keepNext w:val="0"/>
              <w:keepLines w:val="0"/>
              <w:pageBreakBefore w:val="0"/>
              <w:widowControl w:val="0"/>
              <w:suppressLineNumbers w:val="0"/>
              <w:kinsoku/>
              <w:wordWrap/>
              <w:overflowPunct w:val="0"/>
              <w:bidi w:val="0"/>
              <w:adjustRightInd w:val="0"/>
              <w:spacing w:before="40" w:beforeAutospacing="0" w:after="60" w:afterAutospacing="0" w:line="200" w:lineRule="atLeast"/>
              <w:ind w:left="0" w:right="0" w:firstLine="0" w:firstLineChars="0"/>
              <w:jc w:val="both"/>
              <w:textAlignment w:val="baseline"/>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配电线路装设了短路保护和过负荷保护。</w:t>
            </w:r>
          </w:p>
        </w:tc>
        <w:tc>
          <w:tcPr>
            <w:tcW w:w="449" w:type="dxa"/>
            <w:tcBorders>
              <w:tl2br w:val="nil"/>
              <w:tr2bl w:val="nil"/>
            </w:tcBorders>
            <w:noWrap w:val="0"/>
            <w:vAlign w:val="center"/>
          </w:tcPr>
          <w:p w14:paraId="657FF0FF">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w:t>
            </w:r>
          </w:p>
        </w:tc>
      </w:tr>
      <w:tr w14:paraId="2CE36B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521" w:type="dxa"/>
            <w:tcBorders>
              <w:tl2br w:val="nil"/>
              <w:tr2bl w:val="nil"/>
            </w:tcBorders>
            <w:noWrap w:val="0"/>
            <w:vAlign w:val="center"/>
          </w:tcPr>
          <w:p w14:paraId="2BBE58A0">
            <w:pPr>
              <w:keepNext w:val="0"/>
              <w:keepLines w:val="0"/>
              <w:pageBreakBefore w:val="0"/>
              <w:widowControl w:val="0"/>
              <w:numPr>
                <w:ilvl w:val="0"/>
                <w:numId w:val="112"/>
              </w:numPr>
              <w:suppressLineNumbers w:val="0"/>
              <w:kinsoku/>
              <w:wordWrap/>
              <w:bidi w:val="0"/>
              <w:spacing w:before="0" w:beforeAutospacing="0" w:after="0" w:afterAutospacing="0" w:line="240" w:lineRule="auto"/>
              <w:ind w:right="0" w:firstLine="0" w:firstLineChars="0"/>
              <w:jc w:val="center"/>
              <w:rPr>
                <w:rFonts w:hint="eastAsia" w:ascii="Times New Roman" w:hAnsi="Times New Roman" w:eastAsia="宋体" w:cs="Times New Roman"/>
                <w:sz w:val="21"/>
                <w:szCs w:val="21"/>
              </w:rPr>
            </w:pPr>
          </w:p>
        </w:tc>
        <w:tc>
          <w:tcPr>
            <w:tcW w:w="3355" w:type="dxa"/>
            <w:tcBorders>
              <w:tl2br w:val="nil"/>
              <w:tr2bl w:val="nil"/>
            </w:tcBorders>
            <w:noWrap w:val="0"/>
            <w:vAlign w:val="center"/>
          </w:tcPr>
          <w:p w14:paraId="403B32F2">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outlineLvl w:val="9"/>
              <w:rPr>
                <w:rFonts w:hint="eastAsia" w:ascii="宋体" w:hAnsi="宋体" w:cs="Times New Roman"/>
                <w:color w:val="000000"/>
                <w:sz w:val="21"/>
                <w:szCs w:val="21"/>
              </w:rPr>
            </w:pPr>
            <w:r>
              <w:rPr>
                <w:rFonts w:hint="eastAsia" w:ascii="宋体" w:hAnsi="宋体" w:cs="Times New Roman"/>
                <w:color w:val="000000"/>
                <w:sz w:val="21"/>
                <w:szCs w:val="21"/>
              </w:rPr>
              <w:t>电力负荷应根据对供电可靠性的要求及中断供电在政治、经济上所造成损失或影响的程度进行分级，并应符合下列规定：</w:t>
            </w:r>
          </w:p>
          <w:p w14:paraId="5B4F3594">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outlineLvl w:val="9"/>
              <w:rPr>
                <w:rFonts w:hint="eastAsia" w:ascii="宋体" w:hAnsi="宋体" w:cs="Times New Roman"/>
                <w:color w:val="000000"/>
                <w:sz w:val="21"/>
                <w:szCs w:val="21"/>
              </w:rPr>
            </w:pPr>
            <w:r>
              <w:rPr>
                <w:rFonts w:hint="eastAsia" w:ascii="宋体" w:hAnsi="宋体" w:cs="Times New Roman"/>
                <w:color w:val="000000"/>
                <w:sz w:val="21"/>
                <w:szCs w:val="21"/>
              </w:rPr>
              <w:t>3</w:t>
            </w:r>
            <w:r>
              <w:rPr>
                <w:rFonts w:hint="eastAsia" w:cs="Times New Roman"/>
                <w:color w:val="000000"/>
                <w:sz w:val="21"/>
                <w:szCs w:val="21"/>
                <w:lang w:eastAsia="zh-CN"/>
              </w:rPr>
              <w:t>）</w:t>
            </w:r>
            <w:r>
              <w:rPr>
                <w:rFonts w:hint="eastAsia" w:ascii="宋体" w:hAnsi="宋体" w:cs="Times New Roman"/>
                <w:color w:val="000000"/>
                <w:sz w:val="21"/>
                <w:szCs w:val="21"/>
              </w:rPr>
              <w:t>符合下列情况之一时，应视为二级负荷：</w:t>
            </w:r>
          </w:p>
          <w:p w14:paraId="554BFEA4">
            <w:pPr>
              <w:keepNext w:val="0"/>
              <w:keepLines w:val="0"/>
              <w:pageBreakBefore w:val="0"/>
              <w:widowControl w:val="0"/>
              <w:numPr>
                <w:ilvl w:val="0"/>
                <w:numId w:val="113"/>
              </w:numPr>
              <w:suppressLineNumbers w:val="0"/>
              <w:kinsoku/>
              <w:wordWrap/>
              <w:overflowPunct/>
              <w:topLinePunct w:val="0"/>
              <w:bidi w:val="0"/>
              <w:snapToGrid/>
              <w:spacing w:before="0" w:beforeAutospacing="0" w:after="0" w:afterAutospacing="0" w:line="240" w:lineRule="auto"/>
              <w:ind w:left="-420" w:leftChars="0" w:right="0" w:firstLine="420" w:firstLineChars="0"/>
              <w:jc w:val="left"/>
              <w:textAlignment w:val="auto"/>
              <w:outlineLvl w:val="9"/>
              <w:rPr>
                <w:rFonts w:hint="eastAsia" w:ascii="宋体" w:hAnsi="宋体" w:cs="Times New Roman"/>
                <w:color w:val="000000"/>
                <w:sz w:val="21"/>
                <w:szCs w:val="21"/>
              </w:rPr>
            </w:pPr>
            <w:r>
              <w:rPr>
                <w:rFonts w:hint="eastAsia" w:ascii="宋体" w:hAnsi="宋体" w:cs="Times New Roman"/>
                <w:color w:val="000000"/>
                <w:sz w:val="21"/>
                <w:szCs w:val="21"/>
              </w:rPr>
              <w:t>中断供电将在经济上造成较大损失时；</w:t>
            </w:r>
          </w:p>
          <w:p w14:paraId="2303A4CF">
            <w:pPr>
              <w:keepNext w:val="0"/>
              <w:keepLines w:val="0"/>
              <w:pageBreakBefore w:val="0"/>
              <w:widowControl w:val="0"/>
              <w:numPr>
                <w:ilvl w:val="0"/>
                <w:numId w:val="113"/>
              </w:numPr>
              <w:suppressLineNumbers w:val="0"/>
              <w:kinsoku/>
              <w:wordWrap/>
              <w:overflowPunct/>
              <w:topLinePunct w:val="0"/>
              <w:bidi w:val="0"/>
              <w:snapToGrid/>
              <w:spacing w:before="0" w:beforeAutospacing="0" w:after="0" w:afterAutospacing="0" w:line="240" w:lineRule="auto"/>
              <w:ind w:left="-420" w:leftChars="0" w:right="0" w:firstLine="420" w:firstLineChars="0"/>
              <w:jc w:val="left"/>
              <w:textAlignment w:val="auto"/>
              <w:outlineLvl w:val="9"/>
              <w:rPr>
                <w:rFonts w:hint="eastAsia" w:ascii="宋体" w:hAnsi="宋体" w:cs="Times New Roman"/>
                <w:color w:val="000000"/>
                <w:sz w:val="21"/>
                <w:szCs w:val="21"/>
              </w:rPr>
            </w:pPr>
            <w:r>
              <w:rPr>
                <w:rFonts w:hint="eastAsia" w:ascii="宋体" w:hAnsi="宋体" w:cs="Times New Roman"/>
                <w:color w:val="000000"/>
                <w:sz w:val="21"/>
                <w:szCs w:val="21"/>
              </w:rPr>
              <w:t>中断供电将影响较重要用电单位的正常工作；</w:t>
            </w:r>
          </w:p>
          <w:p w14:paraId="022617DD">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outlineLvl w:val="9"/>
              <w:rPr>
                <w:rFonts w:hint="eastAsia" w:ascii="宋体" w:hAnsi="宋体" w:cs="Times New Roman"/>
                <w:color w:val="000000"/>
                <w:sz w:val="21"/>
                <w:szCs w:val="21"/>
              </w:rPr>
            </w:pPr>
            <w:r>
              <w:rPr>
                <w:rFonts w:hint="eastAsia" w:ascii="宋体" w:hAnsi="宋体" w:cs="Times New Roman"/>
                <w:color w:val="000000"/>
                <w:sz w:val="21"/>
                <w:szCs w:val="21"/>
              </w:rPr>
              <w:t>4</w:t>
            </w:r>
            <w:r>
              <w:rPr>
                <w:rFonts w:hint="eastAsia" w:cs="Times New Roman"/>
                <w:color w:val="000000"/>
                <w:sz w:val="21"/>
                <w:szCs w:val="21"/>
                <w:lang w:eastAsia="zh-CN"/>
              </w:rPr>
              <w:t>）</w:t>
            </w:r>
            <w:r>
              <w:rPr>
                <w:rFonts w:hint="eastAsia" w:ascii="宋体" w:hAnsi="宋体" w:cs="Times New Roman"/>
                <w:color w:val="000000"/>
                <w:sz w:val="21"/>
                <w:szCs w:val="21"/>
              </w:rPr>
              <w:t>不属于一级和二级负荷者应为三级负荷。</w:t>
            </w:r>
          </w:p>
        </w:tc>
        <w:tc>
          <w:tcPr>
            <w:tcW w:w="1910" w:type="dxa"/>
            <w:tcBorders>
              <w:tl2br w:val="nil"/>
              <w:tr2bl w:val="nil"/>
            </w:tcBorders>
            <w:noWrap w:val="0"/>
            <w:vAlign w:val="center"/>
          </w:tcPr>
          <w:p w14:paraId="201CBF79">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《供配电系统设计规范》</w:t>
            </w:r>
          </w:p>
          <w:p w14:paraId="0F90BA91">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（GB 50052-2009</w:t>
            </w:r>
            <w:r>
              <w:rPr>
                <w:rFonts w:hint="eastAsia" w:ascii="Times New Roman" w:hAnsi="Times New Roman" w:eastAsia="宋体" w:cs="Times New Roman"/>
                <w:sz w:val="21"/>
                <w:szCs w:val="21"/>
                <w:lang w:eastAsia="zh-CN"/>
              </w:rPr>
              <w:t>）</w:t>
            </w:r>
          </w:p>
          <w:p w14:paraId="14B314EA">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3.0.1</w:t>
            </w:r>
          </w:p>
        </w:tc>
        <w:tc>
          <w:tcPr>
            <w:tcW w:w="2451" w:type="dxa"/>
            <w:tcBorders>
              <w:tl2br w:val="nil"/>
              <w:tr2bl w:val="nil"/>
            </w:tcBorders>
            <w:noWrap w:val="0"/>
            <w:vAlign w:val="center"/>
          </w:tcPr>
          <w:p w14:paraId="68C3F8D6">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left"/>
              <w:textAlignment w:val="auto"/>
              <w:outlineLvl w:val="9"/>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本工程</w:t>
            </w:r>
            <w:r>
              <w:rPr>
                <w:rFonts w:hint="eastAsia" w:ascii="宋体" w:hAnsi="宋体" w:eastAsia="宋体" w:cs="Times New Roman"/>
                <w:color w:val="000000"/>
                <w:sz w:val="21"/>
                <w:szCs w:val="21"/>
                <w:lang w:val="en-US" w:eastAsia="zh-CN"/>
              </w:rPr>
              <w:t>除电弧炉、生产循环水、消防、应急照明、报警系统、自控仪表消防为二级负荷外，其他生产和辅助设施的用电、照明等均为三级负荷。</w:t>
            </w:r>
          </w:p>
          <w:p w14:paraId="4264B992">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left"/>
              <w:textAlignment w:val="auto"/>
              <w:outlineLvl w:val="9"/>
              <w:rPr>
                <w:rFonts w:hint="eastAsia" w:ascii="宋体" w:hAnsi="宋体" w:eastAsia="宋体" w:cs="Times New Roman"/>
                <w:color w:val="000000"/>
                <w:sz w:val="21"/>
                <w:szCs w:val="21"/>
              </w:rPr>
            </w:pPr>
          </w:p>
        </w:tc>
        <w:tc>
          <w:tcPr>
            <w:tcW w:w="449" w:type="dxa"/>
            <w:tcBorders>
              <w:tl2br w:val="nil"/>
              <w:tr2bl w:val="nil"/>
            </w:tcBorders>
            <w:noWrap w:val="0"/>
            <w:vAlign w:val="center"/>
          </w:tcPr>
          <w:p w14:paraId="2C3642AF">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textAlignment w:val="auto"/>
              <w:outlineLvl w:val="9"/>
              <w:rPr>
                <w:rFonts w:hint="eastAsia" w:ascii="宋体" w:hAnsi="宋体"/>
                <w:color w:val="000000"/>
                <w:sz w:val="21"/>
                <w:szCs w:val="21"/>
              </w:rPr>
            </w:pPr>
            <w:r>
              <w:rPr>
                <w:rFonts w:hint="eastAsia" w:ascii="宋体" w:hAnsi="宋体"/>
                <w:color w:val="000000"/>
                <w:sz w:val="21"/>
                <w:szCs w:val="21"/>
              </w:rPr>
              <w:t>符合</w:t>
            </w:r>
          </w:p>
        </w:tc>
      </w:tr>
      <w:tr w14:paraId="3033E3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521" w:type="dxa"/>
            <w:tcBorders>
              <w:tl2br w:val="nil"/>
              <w:tr2bl w:val="nil"/>
            </w:tcBorders>
            <w:noWrap w:val="0"/>
            <w:vAlign w:val="center"/>
          </w:tcPr>
          <w:p w14:paraId="63194752">
            <w:pPr>
              <w:keepNext w:val="0"/>
              <w:keepLines w:val="0"/>
              <w:pageBreakBefore w:val="0"/>
              <w:widowControl w:val="0"/>
              <w:numPr>
                <w:ilvl w:val="0"/>
                <w:numId w:val="112"/>
              </w:numPr>
              <w:suppressLineNumbers w:val="0"/>
              <w:kinsoku/>
              <w:wordWrap/>
              <w:bidi w:val="0"/>
              <w:spacing w:before="0" w:beforeAutospacing="0" w:after="0" w:afterAutospacing="0" w:line="240" w:lineRule="auto"/>
              <w:ind w:right="0" w:firstLine="0" w:firstLineChars="0"/>
              <w:jc w:val="center"/>
              <w:rPr>
                <w:rFonts w:hint="eastAsia" w:ascii="Times New Roman" w:hAnsi="Times New Roman" w:eastAsia="宋体" w:cs="Times New Roman"/>
                <w:sz w:val="21"/>
                <w:szCs w:val="21"/>
              </w:rPr>
            </w:pPr>
          </w:p>
        </w:tc>
        <w:tc>
          <w:tcPr>
            <w:tcW w:w="3355" w:type="dxa"/>
            <w:tcBorders>
              <w:tl2br w:val="nil"/>
              <w:tr2bl w:val="nil"/>
            </w:tcBorders>
            <w:noWrap w:val="0"/>
            <w:vAlign w:val="center"/>
          </w:tcPr>
          <w:p w14:paraId="1CD0E2DF">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outlineLvl w:val="9"/>
              <w:rPr>
                <w:rFonts w:hint="eastAsia" w:ascii="宋体" w:hAnsi="宋体" w:eastAsia="宋体"/>
                <w:color w:val="000000"/>
                <w:sz w:val="21"/>
                <w:szCs w:val="21"/>
                <w:lang w:eastAsia="zh-CN"/>
              </w:rPr>
            </w:pPr>
            <w:r>
              <w:rPr>
                <w:rFonts w:hint="eastAsia" w:ascii="宋体" w:hAnsi="宋体"/>
                <w:color w:val="000000"/>
                <w:sz w:val="21"/>
                <w:szCs w:val="21"/>
              </w:rPr>
              <w:t>由建筑外引入的配电线路，应在室内分界点便于操作维修的地方设置隔离电器</w:t>
            </w:r>
            <w:r>
              <w:rPr>
                <w:rFonts w:hint="eastAsia"/>
                <w:color w:val="000000"/>
                <w:sz w:val="21"/>
                <w:szCs w:val="21"/>
                <w:lang w:eastAsia="zh-CN"/>
              </w:rPr>
              <w:t>。</w:t>
            </w:r>
          </w:p>
        </w:tc>
        <w:tc>
          <w:tcPr>
            <w:tcW w:w="1910" w:type="dxa"/>
            <w:tcBorders>
              <w:tl2br w:val="nil"/>
              <w:tr2bl w:val="nil"/>
            </w:tcBorders>
            <w:noWrap w:val="0"/>
            <w:vAlign w:val="center"/>
          </w:tcPr>
          <w:p w14:paraId="72137444">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《供配电系统设计规范》</w:t>
            </w:r>
          </w:p>
          <w:p w14:paraId="023D6CE5">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rPr>
              <w:t>（GB 50052-2009</w:t>
            </w:r>
            <w:r>
              <w:rPr>
                <w:rFonts w:hint="eastAsia" w:ascii="Times New Roman" w:hAnsi="Times New Roman" w:eastAsia="宋体" w:cs="Times New Roman"/>
                <w:sz w:val="21"/>
                <w:szCs w:val="21"/>
                <w:lang w:eastAsia="zh-CN"/>
              </w:rPr>
              <w:t>）</w:t>
            </w:r>
          </w:p>
          <w:p w14:paraId="31268D0B">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textAlignment w:val="auto"/>
              <w:outlineLvl w:val="9"/>
              <w:rPr>
                <w:rFonts w:hint="eastAsia" w:ascii="宋体" w:hAnsi="宋体"/>
                <w:color w:val="000000"/>
                <w:sz w:val="21"/>
                <w:szCs w:val="21"/>
              </w:rPr>
            </w:pPr>
            <w:r>
              <w:rPr>
                <w:rFonts w:hint="eastAsia" w:ascii="宋体" w:hAnsi="宋体"/>
                <w:color w:val="000000"/>
                <w:sz w:val="21"/>
                <w:szCs w:val="21"/>
              </w:rPr>
              <w:t>7.0.10</w:t>
            </w:r>
          </w:p>
        </w:tc>
        <w:tc>
          <w:tcPr>
            <w:tcW w:w="2451" w:type="dxa"/>
            <w:tcBorders>
              <w:tl2br w:val="nil"/>
              <w:tr2bl w:val="nil"/>
            </w:tcBorders>
            <w:noWrap w:val="0"/>
            <w:vAlign w:val="center"/>
          </w:tcPr>
          <w:p w14:paraId="652DD7D9">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left"/>
              <w:textAlignment w:val="auto"/>
              <w:outlineLvl w:val="9"/>
              <w:rPr>
                <w:rFonts w:hint="eastAsia" w:ascii="宋体" w:hAnsi="宋体" w:eastAsia="宋体" w:cs="Times New Roman"/>
                <w:color w:val="000000"/>
                <w:sz w:val="21"/>
                <w:szCs w:val="21"/>
                <w:lang w:eastAsia="zh-CN"/>
              </w:rPr>
            </w:pPr>
            <w:r>
              <w:rPr>
                <w:rFonts w:hint="eastAsia" w:ascii="宋体" w:hAnsi="宋体" w:eastAsia="宋体" w:cs="Times New Roman"/>
                <w:color w:val="000000"/>
                <w:sz w:val="21"/>
                <w:szCs w:val="21"/>
              </w:rPr>
              <w:t>室内</w:t>
            </w:r>
            <w:r>
              <w:rPr>
                <w:rFonts w:hint="eastAsia" w:ascii="宋体" w:hAnsi="宋体" w:eastAsia="宋体" w:cs="Times New Roman"/>
                <w:color w:val="000000"/>
                <w:sz w:val="21"/>
                <w:szCs w:val="21"/>
                <w:lang w:val="en-US" w:eastAsia="zh-CN"/>
              </w:rPr>
              <w:t>电柜中</w:t>
            </w:r>
            <w:r>
              <w:rPr>
                <w:rFonts w:hint="eastAsia" w:ascii="宋体" w:hAnsi="宋体" w:eastAsia="宋体" w:cs="Times New Roman"/>
                <w:color w:val="000000"/>
                <w:sz w:val="21"/>
                <w:szCs w:val="21"/>
              </w:rPr>
              <w:t>设置</w:t>
            </w:r>
            <w:r>
              <w:rPr>
                <w:rFonts w:hint="eastAsia" w:ascii="宋体" w:hAnsi="宋体" w:eastAsia="宋体" w:cs="Times New Roman"/>
                <w:color w:val="000000"/>
                <w:sz w:val="21"/>
                <w:szCs w:val="21"/>
                <w:lang w:val="en-US" w:eastAsia="zh-CN"/>
              </w:rPr>
              <w:t>有</w:t>
            </w:r>
            <w:r>
              <w:rPr>
                <w:rFonts w:hint="eastAsia" w:ascii="宋体" w:hAnsi="宋体" w:eastAsia="宋体" w:cs="Times New Roman"/>
                <w:color w:val="000000"/>
                <w:sz w:val="21"/>
                <w:szCs w:val="21"/>
              </w:rPr>
              <w:t>隔离电器</w:t>
            </w:r>
            <w:r>
              <w:rPr>
                <w:rFonts w:hint="eastAsia" w:cs="Times New Roman"/>
                <w:color w:val="000000"/>
                <w:sz w:val="21"/>
                <w:szCs w:val="21"/>
                <w:lang w:eastAsia="zh-CN"/>
              </w:rPr>
              <w:t>。</w:t>
            </w:r>
          </w:p>
        </w:tc>
        <w:tc>
          <w:tcPr>
            <w:tcW w:w="449" w:type="dxa"/>
            <w:tcBorders>
              <w:tl2br w:val="nil"/>
              <w:tr2bl w:val="nil"/>
            </w:tcBorders>
            <w:noWrap w:val="0"/>
            <w:vAlign w:val="center"/>
          </w:tcPr>
          <w:p w14:paraId="738B14E2">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textAlignment w:val="auto"/>
              <w:outlineLvl w:val="9"/>
              <w:rPr>
                <w:rFonts w:hint="eastAsia" w:ascii="宋体" w:hAnsi="宋体"/>
                <w:color w:val="000000"/>
                <w:sz w:val="21"/>
                <w:szCs w:val="21"/>
              </w:rPr>
            </w:pPr>
            <w:r>
              <w:rPr>
                <w:rFonts w:hint="eastAsia" w:ascii="宋体" w:hAnsi="宋体"/>
                <w:color w:val="000000"/>
                <w:sz w:val="21"/>
                <w:szCs w:val="21"/>
              </w:rPr>
              <w:t>符合</w:t>
            </w:r>
          </w:p>
        </w:tc>
      </w:tr>
      <w:tr w14:paraId="0CDACC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521" w:type="dxa"/>
            <w:tcBorders>
              <w:tl2br w:val="nil"/>
              <w:tr2bl w:val="nil"/>
            </w:tcBorders>
            <w:noWrap w:val="0"/>
            <w:vAlign w:val="center"/>
          </w:tcPr>
          <w:p w14:paraId="5A816DB2">
            <w:pPr>
              <w:keepNext w:val="0"/>
              <w:keepLines w:val="0"/>
              <w:pageBreakBefore w:val="0"/>
              <w:widowControl w:val="0"/>
              <w:numPr>
                <w:ilvl w:val="0"/>
                <w:numId w:val="112"/>
              </w:numPr>
              <w:suppressLineNumbers w:val="0"/>
              <w:kinsoku/>
              <w:wordWrap/>
              <w:bidi w:val="0"/>
              <w:spacing w:before="0" w:beforeAutospacing="0" w:after="0" w:afterAutospacing="0" w:line="240" w:lineRule="auto"/>
              <w:ind w:right="0" w:firstLine="0" w:firstLineChars="0"/>
              <w:jc w:val="center"/>
              <w:rPr>
                <w:rFonts w:hint="eastAsia" w:ascii="Times New Roman" w:hAnsi="Times New Roman" w:eastAsia="宋体" w:cs="Times New Roman"/>
                <w:sz w:val="21"/>
                <w:szCs w:val="21"/>
              </w:rPr>
            </w:pPr>
          </w:p>
        </w:tc>
        <w:tc>
          <w:tcPr>
            <w:tcW w:w="3355" w:type="dxa"/>
            <w:tcBorders>
              <w:tl2br w:val="nil"/>
              <w:tr2bl w:val="nil"/>
            </w:tcBorders>
            <w:noWrap w:val="0"/>
            <w:vAlign w:val="center"/>
          </w:tcPr>
          <w:p w14:paraId="5A18BA24">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电缆的防火阻燃应在下列孔洞处采用防火封堵材料密实封堵：</w:t>
            </w:r>
          </w:p>
          <w:p w14:paraId="4F69771B">
            <w:pPr>
              <w:keepNext w:val="0"/>
              <w:keepLines w:val="0"/>
              <w:pageBreakBefore w:val="0"/>
              <w:widowControl w:val="0"/>
              <w:numPr>
                <w:ilvl w:val="0"/>
                <w:numId w:val="114"/>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在电缆贯穿墙壁、楼板的孔洞处；</w:t>
            </w:r>
          </w:p>
          <w:p w14:paraId="27E10C6D">
            <w:pPr>
              <w:keepNext w:val="0"/>
              <w:keepLines w:val="0"/>
              <w:pageBreakBefore w:val="0"/>
              <w:widowControl w:val="0"/>
              <w:numPr>
                <w:ilvl w:val="0"/>
                <w:numId w:val="114"/>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在电缆进入盘、柜、箱、盒的孔洞处；</w:t>
            </w:r>
          </w:p>
          <w:p w14:paraId="326DDB01">
            <w:pPr>
              <w:keepNext w:val="0"/>
              <w:keepLines w:val="0"/>
              <w:pageBreakBefore w:val="0"/>
              <w:widowControl w:val="0"/>
              <w:numPr>
                <w:ilvl w:val="0"/>
                <w:numId w:val="114"/>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在电缆进出电缆竖井的出入口处；</w:t>
            </w:r>
          </w:p>
          <w:p w14:paraId="690ECE65">
            <w:pPr>
              <w:keepNext w:val="0"/>
              <w:keepLines w:val="0"/>
              <w:pageBreakBefore w:val="0"/>
              <w:widowControl w:val="0"/>
              <w:numPr>
                <w:ilvl w:val="0"/>
                <w:numId w:val="114"/>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在电缆桥架穿过墙壁、楼板的孔洞处；</w:t>
            </w:r>
          </w:p>
          <w:p w14:paraId="3F10D4B5">
            <w:pPr>
              <w:keepNext w:val="0"/>
              <w:keepLines w:val="0"/>
              <w:pageBreakBefore w:val="0"/>
              <w:widowControl w:val="0"/>
              <w:numPr>
                <w:ilvl w:val="0"/>
                <w:numId w:val="114"/>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lang w:val="zh-CN"/>
              </w:rPr>
            </w:pPr>
            <w:r>
              <w:rPr>
                <w:rFonts w:hint="eastAsia" w:ascii="宋体" w:hAnsi="宋体"/>
                <w:color w:val="000000"/>
                <w:sz w:val="21"/>
                <w:szCs w:val="21"/>
              </w:rPr>
              <w:t>在电缆导管进入电缆桥架、电缆竖井、电缆沟和电缆隧道的端口处。</w:t>
            </w:r>
          </w:p>
        </w:tc>
        <w:tc>
          <w:tcPr>
            <w:tcW w:w="1910" w:type="dxa"/>
            <w:tcBorders>
              <w:tl2br w:val="nil"/>
              <w:tr2bl w:val="nil"/>
            </w:tcBorders>
            <w:noWrap w:val="0"/>
            <w:vAlign w:val="center"/>
          </w:tcPr>
          <w:p w14:paraId="586F4180">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outlineLvl w:val="9"/>
              <w:rPr>
                <w:rStyle w:val="38"/>
                <w:rFonts w:hint="eastAsia" w:ascii="宋体" w:hAnsi="宋体"/>
                <w:color w:val="000000"/>
                <w:sz w:val="21"/>
                <w:szCs w:val="21"/>
                <w:lang w:eastAsia="zh-CN"/>
              </w:rPr>
            </w:pPr>
            <w:r>
              <w:rPr>
                <w:rStyle w:val="38"/>
                <w:rFonts w:hint="eastAsia" w:ascii="宋体" w:hAnsi="宋体"/>
                <w:color w:val="000000"/>
                <w:sz w:val="21"/>
                <w:szCs w:val="21"/>
                <w:lang w:eastAsia="zh-CN"/>
              </w:rPr>
              <w:t>《电气装置安装工程电缆线路施工及验收标准》</w:t>
            </w:r>
          </w:p>
          <w:p w14:paraId="66DC118F">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outlineLvl w:val="9"/>
              <w:rPr>
                <w:rFonts w:hint="eastAsia" w:ascii="宋体" w:hAnsi="宋体"/>
                <w:color w:val="000000"/>
                <w:sz w:val="21"/>
                <w:szCs w:val="21"/>
              </w:rPr>
            </w:pPr>
            <w:r>
              <w:rPr>
                <w:rStyle w:val="38"/>
                <w:rFonts w:hint="eastAsia" w:ascii="宋体" w:hAnsi="宋体"/>
                <w:color w:val="000000"/>
                <w:sz w:val="21"/>
                <w:szCs w:val="21"/>
                <w:lang w:eastAsia="zh-CN"/>
              </w:rPr>
              <w:t>（GB 50168-2018）</w:t>
            </w:r>
          </w:p>
          <w:p w14:paraId="601C780B">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outlineLvl w:val="9"/>
              <w:rPr>
                <w:rFonts w:hint="eastAsia" w:ascii="宋体" w:hAnsi="宋体"/>
                <w:color w:val="000000"/>
                <w:sz w:val="21"/>
                <w:szCs w:val="21"/>
                <w:lang w:val="zh-CN"/>
              </w:rPr>
            </w:pPr>
            <w:r>
              <w:rPr>
                <w:rFonts w:hint="eastAsia" w:ascii="宋体" w:hAnsi="宋体"/>
                <w:color w:val="000000"/>
                <w:sz w:val="21"/>
                <w:szCs w:val="21"/>
                <w:lang w:val="en-US" w:eastAsia="zh-CN"/>
              </w:rPr>
              <w:t>8</w:t>
            </w:r>
            <w:r>
              <w:rPr>
                <w:rFonts w:hint="eastAsia" w:ascii="宋体" w:hAnsi="宋体"/>
                <w:color w:val="000000"/>
                <w:sz w:val="21"/>
                <w:szCs w:val="21"/>
              </w:rPr>
              <w:t>.0.2</w:t>
            </w:r>
          </w:p>
        </w:tc>
        <w:tc>
          <w:tcPr>
            <w:tcW w:w="2451" w:type="dxa"/>
            <w:tcBorders>
              <w:tl2br w:val="nil"/>
              <w:tr2bl w:val="nil"/>
            </w:tcBorders>
            <w:noWrap w:val="0"/>
            <w:vAlign w:val="center"/>
          </w:tcPr>
          <w:p w14:paraId="6BE696E8">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left"/>
              <w:textAlignment w:val="auto"/>
              <w:outlineLvl w:val="9"/>
              <w:rPr>
                <w:rFonts w:hint="eastAsia" w:ascii="宋体" w:hAnsi="宋体" w:eastAsia="宋体" w:cs="Times New Roman"/>
                <w:color w:val="000000"/>
                <w:sz w:val="21"/>
                <w:szCs w:val="21"/>
                <w:lang w:eastAsia="zh-CN"/>
              </w:rPr>
            </w:pPr>
            <w:r>
              <w:rPr>
                <w:rFonts w:hint="eastAsia" w:ascii="宋体" w:hAnsi="宋体" w:eastAsia="宋体" w:cs="Times New Roman"/>
                <w:color w:val="000000"/>
                <w:sz w:val="21"/>
                <w:szCs w:val="21"/>
              </w:rPr>
              <w:t>电缆</w:t>
            </w:r>
            <w:r>
              <w:rPr>
                <w:rFonts w:hint="eastAsia" w:ascii="宋体" w:hAnsi="宋体" w:eastAsia="宋体" w:cs="Times New Roman"/>
                <w:color w:val="000000"/>
                <w:sz w:val="21"/>
                <w:szCs w:val="21"/>
                <w:lang w:val="en-US" w:eastAsia="zh-CN"/>
              </w:rPr>
              <w:t>在孔洞处</w:t>
            </w:r>
            <w:r>
              <w:rPr>
                <w:rFonts w:hint="eastAsia" w:ascii="宋体" w:hAnsi="宋体" w:eastAsia="宋体" w:cs="Times New Roman"/>
                <w:color w:val="000000"/>
                <w:sz w:val="21"/>
                <w:szCs w:val="21"/>
              </w:rPr>
              <w:t>采用防火封堵材料密实封堵</w:t>
            </w:r>
            <w:r>
              <w:rPr>
                <w:rFonts w:hint="eastAsia" w:cs="Times New Roman"/>
                <w:color w:val="000000"/>
                <w:sz w:val="21"/>
                <w:szCs w:val="21"/>
                <w:lang w:eastAsia="zh-CN"/>
              </w:rPr>
              <w:t>。</w:t>
            </w:r>
          </w:p>
        </w:tc>
        <w:tc>
          <w:tcPr>
            <w:tcW w:w="449" w:type="dxa"/>
            <w:tcBorders>
              <w:tl2br w:val="nil"/>
              <w:tr2bl w:val="nil"/>
            </w:tcBorders>
            <w:noWrap w:val="0"/>
            <w:vAlign w:val="center"/>
          </w:tcPr>
          <w:p w14:paraId="549FAEED">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outlineLvl w:val="9"/>
              <w:rPr>
                <w:rFonts w:hint="eastAsia" w:ascii="宋体" w:hAnsi="宋体"/>
                <w:color w:val="000000"/>
                <w:sz w:val="21"/>
                <w:szCs w:val="21"/>
              </w:rPr>
            </w:pPr>
            <w:r>
              <w:rPr>
                <w:rFonts w:hint="eastAsia" w:ascii="宋体" w:hAnsi="宋体"/>
                <w:color w:val="000000"/>
                <w:sz w:val="21"/>
                <w:szCs w:val="21"/>
              </w:rPr>
              <w:t>符合</w:t>
            </w:r>
          </w:p>
        </w:tc>
      </w:tr>
      <w:tr w14:paraId="7A714A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521" w:type="dxa"/>
            <w:tcBorders>
              <w:tl2br w:val="nil"/>
              <w:tr2bl w:val="nil"/>
            </w:tcBorders>
            <w:noWrap w:val="0"/>
            <w:vAlign w:val="center"/>
          </w:tcPr>
          <w:p w14:paraId="760B4A67">
            <w:pPr>
              <w:keepNext w:val="0"/>
              <w:keepLines w:val="0"/>
              <w:pageBreakBefore w:val="0"/>
              <w:widowControl w:val="0"/>
              <w:numPr>
                <w:ilvl w:val="0"/>
                <w:numId w:val="112"/>
              </w:numPr>
              <w:suppressLineNumbers w:val="0"/>
              <w:kinsoku/>
              <w:wordWrap/>
              <w:bidi w:val="0"/>
              <w:spacing w:before="0" w:beforeAutospacing="0" w:after="0" w:afterAutospacing="0" w:line="240" w:lineRule="auto"/>
              <w:ind w:right="0" w:firstLine="0" w:firstLineChars="0"/>
              <w:jc w:val="center"/>
              <w:rPr>
                <w:rFonts w:hint="eastAsia" w:ascii="Times New Roman" w:hAnsi="Times New Roman" w:eastAsia="宋体" w:cs="Times New Roman"/>
                <w:sz w:val="21"/>
                <w:szCs w:val="21"/>
              </w:rPr>
            </w:pPr>
          </w:p>
        </w:tc>
        <w:tc>
          <w:tcPr>
            <w:tcW w:w="3355" w:type="dxa"/>
            <w:tcBorders>
              <w:tl2br w:val="nil"/>
              <w:tr2bl w:val="nil"/>
            </w:tcBorders>
            <w:noWrap w:val="0"/>
            <w:vAlign w:val="center"/>
          </w:tcPr>
          <w:p w14:paraId="4DEFAC8E">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电气装置的下列金属部分，均必须接地：</w:t>
            </w:r>
          </w:p>
          <w:p w14:paraId="2E9AA49A">
            <w:pPr>
              <w:keepNext w:val="0"/>
              <w:keepLines w:val="0"/>
              <w:pageBreakBefore w:val="0"/>
              <w:widowControl w:val="0"/>
              <w:numPr>
                <w:ilvl w:val="0"/>
                <w:numId w:val="115"/>
              </w:numPr>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电气设备的金属底座、框架及外壳和传动装置。</w:t>
            </w:r>
          </w:p>
          <w:p w14:paraId="57E87A75">
            <w:pPr>
              <w:keepNext w:val="0"/>
              <w:keepLines w:val="0"/>
              <w:pageBreakBefore w:val="0"/>
              <w:widowControl w:val="0"/>
              <w:numPr>
                <w:ilvl w:val="0"/>
                <w:numId w:val="115"/>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携带式或移动式用电器具的金属底座和外壳。</w:t>
            </w:r>
          </w:p>
          <w:p w14:paraId="6139B51C">
            <w:pPr>
              <w:keepNext w:val="0"/>
              <w:keepLines w:val="0"/>
              <w:pageBreakBefore w:val="0"/>
              <w:widowControl w:val="0"/>
              <w:numPr>
                <w:ilvl w:val="0"/>
                <w:numId w:val="115"/>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箱式变电站的金属箱体。</w:t>
            </w:r>
          </w:p>
          <w:p w14:paraId="6A332406">
            <w:pPr>
              <w:keepNext w:val="0"/>
              <w:keepLines w:val="0"/>
              <w:pageBreakBefore w:val="0"/>
              <w:widowControl w:val="0"/>
              <w:numPr>
                <w:ilvl w:val="0"/>
                <w:numId w:val="115"/>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互感器的二次绕组。</w:t>
            </w:r>
          </w:p>
          <w:p w14:paraId="4D5BB6E4">
            <w:pPr>
              <w:keepNext w:val="0"/>
              <w:keepLines w:val="0"/>
              <w:pageBreakBefore w:val="0"/>
              <w:widowControl w:val="0"/>
              <w:numPr>
                <w:ilvl w:val="0"/>
                <w:numId w:val="115"/>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配电、控制、保护用的屏｛柜、箱）及操作台的金属框架和底座。</w:t>
            </w:r>
          </w:p>
          <w:p w14:paraId="3244DDCE">
            <w:pPr>
              <w:keepNext w:val="0"/>
              <w:keepLines w:val="0"/>
              <w:pageBreakBefore w:val="0"/>
              <w:widowControl w:val="0"/>
              <w:numPr>
                <w:ilvl w:val="0"/>
                <w:numId w:val="115"/>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电力电缆的金属护层、接头盒、终端头和金属</w:t>
            </w:r>
            <w:r>
              <w:rPr>
                <w:rFonts w:hint="eastAsia"/>
                <w:color w:val="000000"/>
                <w:sz w:val="21"/>
                <w:szCs w:val="21"/>
                <w:lang w:eastAsia="zh-CN"/>
              </w:rPr>
              <w:t>保护</w:t>
            </w:r>
            <w:r>
              <w:rPr>
                <w:rFonts w:hint="eastAsia" w:ascii="宋体" w:hAnsi="宋体"/>
                <w:color w:val="000000"/>
                <w:sz w:val="21"/>
                <w:szCs w:val="21"/>
              </w:rPr>
              <w:t>管及二次电缆的屏蔽层。</w:t>
            </w:r>
          </w:p>
          <w:p w14:paraId="5DA2DD0B">
            <w:pPr>
              <w:keepNext w:val="0"/>
              <w:keepLines w:val="0"/>
              <w:pageBreakBefore w:val="0"/>
              <w:widowControl w:val="0"/>
              <w:numPr>
                <w:ilvl w:val="0"/>
                <w:numId w:val="115"/>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电缆桥架、支架和井架。</w:t>
            </w:r>
          </w:p>
          <w:p w14:paraId="6242F1D3">
            <w:pPr>
              <w:keepNext w:val="0"/>
              <w:keepLines w:val="0"/>
              <w:pageBreakBefore w:val="0"/>
              <w:widowControl w:val="0"/>
              <w:numPr>
                <w:ilvl w:val="0"/>
                <w:numId w:val="115"/>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变电站（换流站</w:t>
            </w:r>
            <w:r>
              <w:rPr>
                <w:rFonts w:hint="eastAsia"/>
                <w:color w:val="000000"/>
                <w:sz w:val="21"/>
                <w:szCs w:val="21"/>
                <w:lang w:eastAsia="zh-CN"/>
              </w:rPr>
              <w:t>）机</w:t>
            </w:r>
            <w:r>
              <w:rPr>
                <w:rFonts w:hint="eastAsia" w:ascii="宋体" w:hAnsi="宋体"/>
                <w:color w:val="000000"/>
                <w:sz w:val="21"/>
                <w:szCs w:val="21"/>
              </w:rPr>
              <w:t>构、支架。</w:t>
            </w:r>
          </w:p>
          <w:p w14:paraId="23ACA634">
            <w:pPr>
              <w:keepNext w:val="0"/>
              <w:keepLines w:val="0"/>
              <w:pageBreakBefore w:val="0"/>
              <w:widowControl w:val="0"/>
              <w:numPr>
                <w:ilvl w:val="0"/>
                <w:numId w:val="115"/>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装有架空地结或电气设备的电力线路杆塔。</w:t>
            </w:r>
          </w:p>
          <w:p w14:paraId="09184BDE">
            <w:pPr>
              <w:keepNext w:val="0"/>
              <w:keepLines w:val="0"/>
              <w:pageBreakBefore w:val="0"/>
              <w:widowControl w:val="0"/>
              <w:numPr>
                <w:ilvl w:val="0"/>
                <w:numId w:val="115"/>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配电装置的金属遮栏。</w:t>
            </w:r>
          </w:p>
          <w:p w14:paraId="3C2F2EA3">
            <w:pPr>
              <w:keepNext w:val="0"/>
              <w:keepLines w:val="0"/>
              <w:pageBreakBefore w:val="0"/>
              <w:widowControl w:val="0"/>
              <w:numPr>
                <w:ilvl w:val="0"/>
                <w:numId w:val="115"/>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电热设备的金属外壳。</w:t>
            </w:r>
          </w:p>
        </w:tc>
        <w:tc>
          <w:tcPr>
            <w:tcW w:w="1910" w:type="dxa"/>
            <w:tcBorders>
              <w:tl2br w:val="nil"/>
              <w:tr2bl w:val="nil"/>
            </w:tcBorders>
            <w:noWrap w:val="0"/>
            <w:vAlign w:val="center"/>
          </w:tcPr>
          <w:p w14:paraId="5E92E703">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outlineLvl w:val="9"/>
              <w:rPr>
                <w:rStyle w:val="38"/>
                <w:rFonts w:hint="eastAsia"/>
                <w:color w:val="000000"/>
                <w:sz w:val="21"/>
                <w:szCs w:val="21"/>
                <w:lang w:eastAsia="zh-CN"/>
              </w:rPr>
            </w:pPr>
            <w:r>
              <w:rPr>
                <w:rStyle w:val="38"/>
                <w:rFonts w:hint="eastAsia"/>
                <w:color w:val="000000"/>
                <w:sz w:val="21"/>
                <w:szCs w:val="21"/>
                <w:lang w:eastAsia="zh-CN"/>
              </w:rPr>
              <w:t>《</w:t>
            </w:r>
            <w:r>
              <w:rPr>
                <w:rStyle w:val="38"/>
                <w:rFonts w:hint="eastAsia" w:ascii="宋体" w:hAnsi="宋体"/>
                <w:color w:val="000000"/>
                <w:sz w:val="21"/>
                <w:szCs w:val="21"/>
                <w:lang w:eastAsia="zh-CN"/>
              </w:rPr>
              <w:t>电气装置安装工程接地装置施工及验收规范</w:t>
            </w:r>
            <w:r>
              <w:rPr>
                <w:rStyle w:val="38"/>
                <w:rFonts w:hint="eastAsia"/>
                <w:color w:val="000000"/>
                <w:sz w:val="21"/>
                <w:szCs w:val="21"/>
                <w:lang w:eastAsia="zh-CN"/>
              </w:rPr>
              <w:t>》</w:t>
            </w:r>
          </w:p>
          <w:p w14:paraId="4F3BD903">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outlineLvl w:val="9"/>
              <w:rPr>
                <w:rFonts w:hint="eastAsia" w:ascii="宋体" w:hAnsi="宋体"/>
                <w:color w:val="000000"/>
                <w:sz w:val="21"/>
                <w:szCs w:val="21"/>
              </w:rPr>
            </w:pPr>
            <w:r>
              <w:rPr>
                <w:rStyle w:val="38"/>
                <w:rFonts w:hint="eastAsia"/>
                <w:color w:val="000000"/>
                <w:sz w:val="21"/>
                <w:szCs w:val="21"/>
                <w:lang w:eastAsia="zh-CN"/>
              </w:rPr>
              <w:t>（</w:t>
            </w:r>
            <w:r>
              <w:rPr>
                <w:rStyle w:val="38"/>
                <w:rFonts w:hint="eastAsia" w:ascii="宋体" w:hAnsi="宋体"/>
                <w:color w:val="000000"/>
                <w:sz w:val="21"/>
                <w:szCs w:val="21"/>
                <w:lang w:eastAsia="zh-CN"/>
              </w:rPr>
              <w:t>GB 50169-2016</w:t>
            </w:r>
            <w:r>
              <w:rPr>
                <w:rStyle w:val="38"/>
                <w:rFonts w:hint="eastAsia"/>
                <w:color w:val="000000"/>
                <w:sz w:val="21"/>
                <w:szCs w:val="21"/>
                <w:lang w:eastAsia="zh-CN"/>
              </w:rPr>
              <w:t>）</w:t>
            </w:r>
          </w:p>
          <w:p w14:paraId="78EE18AF">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outlineLvl w:val="9"/>
              <w:rPr>
                <w:rFonts w:hint="eastAsia" w:ascii="宋体" w:hAnsi="宋体" w:eastAsia="宋体"/>
                <w:color w:val="000000"/>
                <w:sz w:val="21"/>
                <w:szCs w:val="21"/>
                <w:lang w:val="zh-CN" w:eastAsia="zh-CN"/>
              </w:rPr>
            </w:pPr>
            <w:r>
              <w:rPr>
                <w:rFonts w:hint="eastAsia" w:ascii="宋体" w:hAnsi="宋体"/>
                <w:color w:val="000000"/>
                <w:sz w:val="21"/>
                <w:szCs w:val="21"/>
              </w:rPr>
              <w:t>3.</w:t>
            </w:r>
            <w:r>
              <w:rPr>
                <w:rFonts w:hint="eastAsia" w:ascii="宋体" w:hAnsi="宋体"/>
                <w:color w:val="000000"/>
                <w:sz w:val="21"/>
                <w:szCs w:val="21"/>
                <w:lang w:val="en-US" w:eastAsia="zh-CN"/>
              </w:rPr>
              <w:t>0</w:t>
            </w:r>
            <w:r>
              <w:rPr>
                <w:rFonts w:hint="eastAsia" w:ascii="宋体" w:hAnsi="宋体"/>
                <w:color w:val="000000"/>
                <w:sz w:val="21"/>
                <w:szCs w:val="21"/>
              </w:rPr>
              <w:t>.</w:t>
            </w:r>
            <w:r>
              <w:rPr>
                <w:rFonts w:hint="eastAsia" w:ascii="宋体" w:hAnsi="宋体"/>
                <w:color w:val="000000"/>
                <w:sz w:val="21"/>
                <w:szCs w:val="21"/>
                <w:lang w:val="en-US" w:eastAsia="zh-CN"/>
              </w:rPr>
              <w:t>4</w:t>
            </w:r>
          </w:p>
        </w:tc>
        <w:tc>
          <w:tcPr>
            <w:tcW w:w="2451" w:type="dxa"/>
            <w:tcBorders>
              <w:tl2br w:val="nil"/>
              <w:tr2bl w:val="nil"/>
            </w:tcBorders>
            <w:noWrap w:val="0"/>
            <w:vAlign w:val="center"/>
          </w:tcPr>
          <w:p w14:paraId="5D8C440B">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left"/>
              <w:textAlignment w:val="auto"/>
              <w:outlineLvl w:val="9"/>
              <w:rPr>
                <w:rFonts w:hint="eastAsia" w:ascii="宋体" w:hAnsi="宋体" w:eastAsia="宋体" w:cs="Times New Roman"/>
                <w:color w:val="000000"/>
                <w:sz w:val="21"/>
                <w:szCs w:val="21"/>
                <w:lang w:val="en-US" w:eastAsia="zh-CN"/>
              </w:rPr>
            </w:pPr>
            <w:r>
              <w:rPr>
                <w:rFonts w:hint="eastAsia" w:ascii="宋体" w:hAnsi="宋体" w:eastAsia="宋体" w:cs="Times New Roman"/>
                <w:color w:val="000000"/>
                <w:sz w:val="21"/>
                <w:szCs w:val="21"/>
                <w:lang w:val="en-US" w:eastAsia="zh-CN"/>
              </w:rPr>
              <w:t>项目</w:t>
            </w:r>
            <w:r>
              <w:rPr>
                <w:rFonts w:hint="eastAsia" w:ascii="宋体" w:hAnsi="宋体" w:eastAsia="宋体" w:cs="Times New Roman"/>
                <w:color w:val="000000"/>
                <w:sz w:val="21"/>
                <w:szCs w:val="21"/>
              </w:rPr>
              <w:t>电气装置的金属部分，</w:t>
            </w:r>
            <w:r>
              <w:rPr>
                <w:rFonts w:hint="eastAsia" w:ascii="宋体" w:hAnsi="宋体" w:eastAsia="宋体" w:cs="Times New Roman"/>
                <w:color w:val="000000"/>
                <w:sz w:val="21"/>
                <w:szCs w:val="21"/>
                <w:lang w:val="en-US" w:eastAsia="zh-CN"/>
              </w:rPr>
              <w:t>按要求</w:t>
            </w:r>
            <w:r>
              <w:rPr>
                <w:rFonts w:hint="eastAsia" w:ascii="宋体" w:hAnsi="宋体" w:eastAsia="宋体" w:cs="Times New Roman"/>
                <w:color w:val="000000"/>
                <w:sz w:val="21"/>
                <w:szCs w:val="21"/>
              </w:rPr>
              <w:t>接地</w:t>
            </w:r>
            <w:r>
              <w:rPr>
                <w:rFonts w:hint="eastAsia" w:cs="Times New Roman"/>
                <w:color w:val="000000"/>
                <w:sz w:val="21"/>
                <w:szCs w:val="21"/>
                <w:lang w:eastAsia="zh-CN"/>
              </w:rPr>
              <w:t>。</w:t>
            </w:r>
          </w:p>
        </w:tc>
        <w:tc>
          <w:tcPr>
            <w:tcW w:w="449" w:type="dxa"/>
            <w:tcBorders>
              <w:tl2br w:val="nil"/>
              <w:tr2bl w:val="nil"/>
            </w:tcBorders>
            <w:noWrap w:val="0"/>
            <w:vAlign w:val="center"/>
          </w:tcPr>
          <w:p w14:paraId="45AB9BFB">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jc w:val="center"/>
              <w:textAlignment w:val="auto"/>
              <w:outlineLvl w:val="9"/>
              <w:rPr>
                <w:rFonts w:hint="eastAsia" w:ascii="宋体" w:hAnsi="宋体"/>
                <w:color w:val="000000"/>
                <w:sz w:val="21"/>
                <w:szCs w:val="21"/>
              </w:rPr>
            </w:pPr>
            <w:r>
              <w:rPr>
                <w:rFonts w:hint="eastAsia" w:ascii="宋体" w:hAnsi="宋体"/>
                <w:color w:val="000000"/>
                <w:sz w:val="21"/>
                <w:szCs w:val="21"/>
              </w:rPr>
              <w:t>符合</w:t>
            </w:r>
          </w:p>
        </w:tc>
      </w:tr>
      <w:tr w14:paraId="4A3B54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521" w:type="dxa"/>
            <w:tcBorders>
              <w:tl2br w:val="nil"/>
              <w:tr2bl w:val="nil"/>
            </w:tcBorders>
            <w:noWrap w:val="0"/>
            <w:vAlign w:val="center"/>
          </w:tcPr>
          <w:p w14:paraId="0A80D0DC">
            <w:pPr>
              <w:keepNext w:val="0"/>
              <w:keepLines w:val="0"/>
              <w:pageBreakBefore w:val="0"/>
              <w:widowControl w:val="0"/>
              <w:numPr>
                <w:ilvl w:val="0"/>
                <w:numId w:val="112"/>
              </w:numPr>
              <w:suppressLineNumbers w:val="0"/>
              <w:kinsoku/>
              <w:wordWrap/>
              <w:bidi w:val="0"/>
              <w:spacing w:before="0" w:beforeAutospacing="0" w:after="0" w:afterAutospacing="0" w:line="240" w:lineRule="auto"/>
              <w:ind w:right="0" w:firstLine="0" w:firstLineChars="0"/>
              <w:jc w:val="center"/>
              <w:rPr>
                <w:rFonts w:hint="eastAsia" w:ascii="Times New Roman" w:hAnsi="Times New Roman" w:eastAsia="宋体" w:cs="Times New Roman"/>
                <w:sz w:val="21"/>
                <w:szCs w:val="21"/>
              </w:rPr>
            </w:pPr>
          </w:p>
        </w:tc>
        <w:tc>
          <w:tcPr>
            <w:tcW w:w="3355" w:type="dxa"/>
            <w:tcBorders>
              <w:tl2br w:val="nil"/>
              <w:tr2bl w:val="nil"/>
            </w:tcBorders>
            <w:noWrap w:val="0"/>
            <w:vAlign w:val="center"/>
          </w:tcPr>
          <w:p w14:paraId="05E10855">
            <w:pPr>
              <w:keepNext w:val="0"/>
              <w:keepLines w:val="0"/>
              <w:pageBreakBefore w:val="0"/>
              <w:widowControl w:val="0"/>
              <w:suppressLineNumbers w:val="0"/>
              <w:kinsoku/>
              <w:wordWrap/>
              <w:bidi w:val="0"/>
              <w:spacing w:before="0" w:beforeAutospacing="0" w:after="0" w:afterAutospacing="0" w:line="30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各类防雷建筑物应设防直击雷的外部防雷装置并应采取防闪电电涌侵入的措施。</w:t>
            </w:r>
          </w:p>
          <w:p w14:paraId="25F926A9">
            <w:pPr>
              <w:keepNext w:val="0"/>
              <w:keepLines w:val="0"/>
              <w:pageBreakBefore w:val="0"/>
              <w:widowControl w:val="0"/>
              <w:suppressLineNumbers w:val="0"/>
              <w:kinsoku/>
              <w:wordWrap/>
              <w:bidi w:val="0"/>
              <w:spacing w:before="0" w:beforeAutospacing="0" w:after="0" w:afterAutospacing="0" w:line="300" w:lineRule="exact"/>
              <w:ind w:left="0" w:leftChars="0" w:right="0" w:rightChars="0" w:firstLine="0" w:firstLineChars="0"/>
              <w:jc w:val="both"/>
              <w:rPr>
                <w:rFonts w:hint="eastAsia" w:ascii="宋体" w:hAnsi="宋体"/>
                <w:color w:val="000000"/>
                <w:sz w:val="21"/>
                <w:szCs w:val="21"/>
              </w:rPr>
            </w:pPr>
            <w:r>
              <w:rPr>
                <w:rFonts w:hint="eastAsia" w:ascii="宋体" w:hAnsi="宋体" w:eastAsia="宋体" w:cs="宋体"/>
                <w:sz w:val="21"/>
                <w:szCs w:val="21"/>
              </w:rPr>
              <w:t>第一类防雷建筑物和本规范第3.0.3条5、6、7款所规定的第二类防雷建筑物尚应采取防雷电感应的措施。</w:t>
            </w:r>
          </w:p>
        </w:tc>
        <w:tc>
          <w:tcPr>
            <w:tcW w:w="1910" w:type="dxa"/>
            <w:tcBorders>
              <w:tl2br w:val="nil"/>
              <w:tr2bl w:val="nil"/>
            </w:tcBorders>
            <w:noWrap w:val="0"/>
            <w:vAlign w:val="center"/>
          </w:tcPr>
          <w:p w14:paraId="1F48B2DA">
            <w:pPr>
              <w:keepNext w:val="0"/>
              <w:keepLines w:val="0"/>
              <w:pageBreakBefore w:val="0"/>
              <w:widowControl w:val="0"/>
              <w:suppressLineNumbers w:val="0"/>
              <w:kinsoku/>
              <w:wordWrap/>
              <w:bidi w:val="0"/>
              <w:spacing w:before="0" w:beforeAutospacing="0" w:after="0" w:afterAutospacing="0" w:line="30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《建筑物防雷设计规范》</w:t>
            </w:r>
          </w:p>
          <w:p w14:paraId="262BF8DF">
            <w:pPr>
              <w:keepNext w:val="0"/>
              <w:keepLines w:val="0"/>
              <w:pageBreakBefore w:val="0"/>
              <w:widowControl w:val="0"/>
              <w:suppressLineNumbers w:val="0"/>
              <w:kinsoku/>
              <w:wordWrap/>
              <w:bidi w:val="0"/>
              <w:spacing w:before="0" w:beforeAutospacing="0" w:after="0" w:afterAutospacing="0" w:line="30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（GB50057-2010）</w:t>
            </w:r>
          </w:p>
          <w:p w14:paraId="3B720901">
            <w:pPr>
              <w:keepNext w:val="0"/>
              <w:keepLines w:val="0"/>
              <w:pageBreakBefore w:val="0"/>
              <w:widowControl w:val="0"/>
              <w:suppressLineNumbers w:val="0"/>
              <w:kinsoku/>
              <w:wordWrap/>
              <w:bidi w:val="0"/>
              <w:spacing w:before="0" w:beforeAutospacing="0" w:after="0" w:afterAutospacing="0" w:line="300" w:lineRule="exact"/>
              <w:ind w:left="0" w:leftChars="0" w:right="0" w:rightChars="0" w:firstLine="0" w:firstLineChars="0"/>
              <w:jc w:val="center"/>
              <w:rPr>
                <w:rFonts w:hint="eastAsia" w:ascii="宋体" w:hAnsi="宋体"/>
                <w:color w:val="000000"/>
                <w:sz w:val="21"/>
                <w:szCs w:val="21"/>
              </w:rPr>
            </w:pPr>
            <w:r>
              <w:rPr>
                <w:rFonts w:hint="eastAsia" w:ascii="宋体" w:hAnsi="宋体" w:eastAsia="宋体" w:cs="宋体"/>
                <w:sz w:val="21"/>
                <w:szCs w:val="21"/>
              </w:rPr>
              <w:t>第4.1.1条</w:t>
            </w:r>
          </w:p>
        </w:tc>
        <w:tc>
          <w:tcPr>
            <w:tcW w:w="2451" w:type="dxa"/>
            <w:tcBorders>
              <w:tl2br w:val="nil"/>
              <w:tr2bl w:val="nil"/>
            </w:tcBorders>
            <w:noWrap w:val="0"/>
            <w:vAlign w:val="center"/>
          </w:tcPr>
          <w:p w14:paraId="023BC493">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both"/>
              <w:rPr>
                <w:rFonts w:hint="eastAsia"/>
                <w:color w:val="000000"/>
                <w:sz w:val="21"/>
                <w:szCs w:val="21"/>
                <w:lang w:val="en-US" w:eastAsia="zh-CN"/>
              </w:rPr>
            </w:pPr>
            <w:r>
              <w:rPr>
                <w:rFonts w:hint="eastAsia" w:ascii="宋体" w:hAnsi="宋体" w:eastAsia="宋体" w:cs="宋体"/>
                <w:sz w:val="21"/>
                <w:szCs w:val="21"/>
              </w:rPr>
              <w:t>本项目厂区建构筑物防雷类别为三类，采取了相应的防雷措施。</w:t>
            </w:r>
          </w:p>
        </w:tc>
        <w:tc>
          <w:tcPr>
            <w:tcW w:w="449" w:type="dxa"/>
            <w:tcBorders>
              <w:tl2br w:val="nil"/>
              <w:tr2bl w:val="nil"/>
            </w:tcBorders>
            <w:noWrap w:val="0"/>
            <w:vAlign w:val="center"/>
          </w:tcPr>
          <w:p w14:paraId="12486757">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center"/>
              <w:rPr>
                <w:rFonts w:hint="eastAsia" w:ascii="宋体" w:hAnsi="宋体"/>
                <w:color w:val="000000"/>
                <w:sz w:val="21"/>
                <w:szCs w:val="21"/>
              </w:rPr>
            </w:pPr>
            <w:r>
              <w:rPr>
                <w:rFonts w:hint="eastAsia" w:ascii="宋体" w:hAnsi="宋体" w:eastAsia="宋体" w:cs="宋体"/>
                <w:sz w:val="21"/>
                <w:szCs w:val="21"/>
              </w:rPr>
              <w:t>符合</w:t>
            </w:r>
          </w:p>
        </w:tc>
      </w:tr>
      <w:tr w14:paraId="221983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521" w:type="dxa"/>
            <w:tcBorders>
              <w:tl2br w:val="nil"/>
              <w:tr2bl w:val="nil"/>
            </w:tcBorders>
            <w:noWrap w:val="0"/>
            <w:vAlign w:val="center"/>
          </w:tcPr>
          <w:p w14:paraId="32379908">
            <w:pPr>
              <w:keepNext w:val="0"/>
              <w:keepLines w:val="0"/>
              <w:pageBreakBefore w:val="0"/>
              <w:widowControl w:val="0"/>
              <w:numPr>
                <w:ilvl w:val="0"/>
                <w:numId w:val="112"/>
              </w:numPr>
              <w:suppressLineNumbers w:val="0"/>
              <w:kinsoku/>
              <w:wordWrap/>
              <w:bidi w:val="0"/>
              <w:spacing w:before="0" w:beforeAutospacing="0" w:after="0" w:afterAutospacing="0" w:line="240" w:lineRule="auto"/>
              <w:ind w:right="0" w:firstLine="0" w:firstLineChars="0"/>
              <w:jc w:val="center"/>
              <w:rPr>
                <w:rFonts w:hint="eastAsia" w:ascii="Times New Roman" w:hAnsi="Times New Roman" w:eastAsia="宋体" w:cs="Times New Roman"/>
                <w:sz w:val="21"/>
                <w:szCs w:val="21"/>
              </w:rPr>
            </w:pPr>
          </w:p>
        </w:tc>
        <w:tc>
          <w:tcPr>
            <w:tcW w:w="3355" w:type="dxa"/>
            <w:tcBorders>
              <w:tl2br w:val="nil"/>
              <w:tr2bl w:val="nil"/>
            </w:tcBorders>
            <w:noWrap w:val="0"/>
            <w:vAlign w:val="center"/>
          </w:tcPr>
          <w:p w14:paraId="48E164BC">
            <w:pPr>
              <w:keepNext w:val="0"/>
              <w:keepLines w:val="0"/>
              <w:pageBreakBefore w:val="0"/>
              <w:widowControl w:val="0"/>
              <w:suppressLineNumbers w:val="0"/>
              <w:kinsoku/>
              <w:wordWrap/>
              <w:bidi w:val="0"/>
              <w:spacing w:before="0" w:beforeAutospacing="0" w:after="0" w:afterAutospacing="0" w:line="300" w:lineRule="exact"/>
              <w:ind w:left="0" w:leftChars="0" w:right="0" w:rightChars="0" w:firstLine="0" w:firstLineChars="0"/>
              <w:jc w:val="both"/>
              <w:rPr>
                <w:rFonts w:hint="eastAsia" w:ascii="宋体" w:hAnsi="宋体"/>
                <w:color w:val="000000"/>
                <w:sz w:val="21"/>
                <w:szCs w:val="21"/>
              </w:rPr>
            </w:pPr>
            <w:r>
              <w:rPr>
                <w:rFonts w:hint="eastAsia" w:ascii="宋体" w:hAnsi="宋体" w:eastAsia="宋体" w:cs="宋体"/>
                <w:sz w:val="21"/>
                <w:szCs w:val="21"/>
              </w:rPr>
              <w:t>在使用过程中有可能遭受雷击的生产设备，必须采取适当的防护措施，以使雷击时产生的电荷被安全、迅速导入大地。</w:t>
            </w:r>
          </w:p>
        </w:tc>
        <w:tc>
          <w:tcPr>
            <w:tcW w:w="1910" w:type="dxa"/>
            <w:tcBorders>
              <w:tl2br w:val="nil"/>
              <w:tr2bl w:val="nil"/>
            </w:tcBorders>
            <w:noWrap w:val="0"/>
            <w:vAlign w:val="center"/>
          </w:tcPr>
          <w:p w14:paraId="7595BF04">
            <w:pPr>
              <w:keepNext w:val="0"/>
              <w:keepLines w:val="0"/>
              <w:pageBreakBefore w:val="0"/>
              <w:widowControl w:val="0"/>
              <w:suppressLineNumbers w:val="0"/>
              <w:kinsoku/>
              <w:wordWrap/>
              <w:bidi w:val="0"/>
              <w:spacing w:before="0" w:beforeAutospacing="0" w:after="0" w:afterAutospacing="0" w:line="30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《生产设备安全卫生设计总则》</w:t>
            </w:r>
          </w:p>
          <w:p w14:paraId="787FECB4">
            <w:pPr>
              <w:keepNext w:val="0"/>
              <w:keepLines w:val="0"/>
              <w:pageBreakBefore w:val="0"/>
              <w:widowControl w:val="0"/>
              <w:suppressLineNumbers w:val="0"/>
              <w:kinsoku/>
              <w:wordWrap/>
              <w:bidi w:val="0"/>
              <w:spacing w:before="0" w:beforeAutospacing="0" w:after="0" w:afterAutospacing="0" w:line="30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（GB5083-1999）</w:t>
            </w:r>
          </w:p>
          <w:p w14:paraId="234CF811">
            <w:pPr>
              <w:keepNext w:val="0"/>
              <w:keepLines w:val="0"/>
              <w:pageBreakBefore w:val="0"/>
              <w:widowControl w:val="0"/>
              <w:suppressLineNumbers w:val="0"/>
              <w:kinsoku/>
              <w:wordWrap/>
              <w:bidi w:val="0"/>
              <w:spacing w:before="0" w:beforeAutospacing="0" w:after="0" w:afterAutospacing="0" w:line="300" w:lineRule="exact"/>
              <w:ind w:left="0" w:leftChars="0" w:right="0" w:rightChars="0" w:firstLine="0" w:firstLineChars="0"/>
              <w:jc w:val="center"/>
              <w:rPr>
                <w:rFonts w:hint="eastAsia" w:ascii="宋体" w:hAnsi="宋体"/>
                <w:color w:val="000000"/>
                <w:sz w:val="21"/>
                <w:szCs w:val="21"/>
              </w:rPr>
            </w:pPr>
            <w:r>
              <w:rPr>
                <w:rFonts w:hint="eastAsia" w:ascii="宋体" w:hAnsi="宋体" w:eastAsia="宋体" w:cs="宋体"/>
                <w:sz w:val="21"/>
                <w:szCs w:val="21"/>
              </w:rPr>
              <w:t>第6.10条</w:t>
            </w:r>
          </w:p>
        </w:tc>
        <w:tc>
          <w:tcPr>
            <w:tcW w:w="2451" w:type="dxa"/>
            <w:tcBorders>
              <w:tl2br w:val="nil"/>
              <w:tr2bl w:val="nil"/>
            </w:tcBorders>
            <w:noWrap w:val="0"/>
            <w:vAlign w:val="center"/>
          </w:tcPr>
          <w:p w14:paraId="2DAC32A9">
            <w:pPr>
              <w:keepNext w:val="0"/>
              <w:keepLines w:val="0"/>
              <w:pageBreakBefore w:val="0"/>
              <w:widowControl w:val="0"/>
              <w:suppressLineNumbers w:val="0"/>
              <w:kinsoku/>
              <w:wordWrap/>
              <w:bidi w:val="0"/>
              <w:spacing w:before="0" w:beforeAutospacing="0" w:after="0" w:afterAutospacing="0" w:line="300" w:lineRule="exact"/>
              <w:ind w:left="0" w:leftChars="0" w:right="0" w:rightChars="0" w:firstLine="0" w:firstLineChars="0"/>
              <w:jc w:val="both"/>
              <w:rPr>
                <w:rFonts w:hint="eastAsia"/>
                <w:color w:val="000000"/>
                <w:sz w:val="21"/>
                <w:szCs w:val="21"/>
                <w:lang w:val="en-US" w:eastAsia="zh-CN"/>
              </w:rPr>
            </w:pPr>
            <w:r>
              <w:rPr>
                <w:rFonts w:hint="eastAsia" w:ascii="宋体" w:hAnsi="宋体" w:eastAsia="宋体" w:cs="宋体"/>
                <w:sz w:val="21"/>
                <w:szCs w:val="21"/>
              </w:rPr>
              <w:t>本项目</w:t>
            </w:r>
            <w:r>
              <w:rPr>
                <w:rFonts w:hint="eastAsia" w:cs="宋体"/>
                <w:sz w:val="21"/>
                <w:szCs w:val="21"/>
                <w:lang w:val="en-US" w:eastAsia="zh-CN"/>
              </w:rPr>
              <w:t>由</w:t>
            </w:r>
            <w:r>
              <w:rPr>
                <w:rFonts w:hint="eastAsia" w:cs="宋体"/>
                <w:sz w:val="21"/>
                <w:szCs w:val="21"/>
                <w:lang w:eastAsia="zh-CN"/>
              </w:rPr>
              <w:t>云南省气象灾害防御技术中心</w:t>
            </w:r>
            <w:r>
              <w:rPr>
                <w:rFonts w:hint="eastAsia" w:cs="宋体"/>
                <w:sz w:val="21"/>
                <w:szCs w:val="21"/>
                <w:lang w:val="en-US" w:eastAsia="zh-CN"/>
              </w:rPr>
              <w:t>于2024年7月18日</w:t>
            </w:r>
            <w:r>
              <w:rPr>
                <w:rFonts w:hint="eastAsia" w:ascii="宋体" w:hAnsi="宋体" w:eastAsia="宋体" w:cs="宋体"/>
                <w:sz w:val="21"/>
                <w:szCs w:val="21"/>
              </w:rPr>
              <w:t>进行了防雷</w:t>
            </w:r>
            <w:r>
              <w:rPr>
                <w:rFonts w:hint="eastAsia" w:cs="宋体"/>
                <w:sz w:val="21"/>
                <w:szCs w:val="21"/>
                <w:lang w:val="en-US" w:eastAsia="zh-CN"/>
              </w:rPr>
              <w:t>接地电阻</w:t>
            </w:r>
            <w:r>
              <w:rPr>
                <w:rFonts w:hint="eastAsia" w:ascii="宋体" w:hAnsi="宋体" w:eastAsia="宋体" w:cs="宋体"/>
                <w:sz w:val="21"/>
                <w:szCs w:val="21"/>
              </w:rPr>
              <w:t>检测，并出具了防雷检测报告。检测结果为合格。</w:t>
            </w:r>
          </w:p>
        </w:tc>
        <w:tc>
          <w:tcPr>
            <w:tcW w:w="449" w:type="dxa"/>
            <w:tcBorders>
              <w:tl2br w:val="nil"/>
              <w:tr2bl w:val="nil"/>
            </w:tcBorders>
            <w:noWrap w:val="0"/>
            <w:vAlign w:val="center"/>
          </w:tcPr>
          <w:p w14:paraId="44ABF7BC">
            <w:pPr>
              <w:pStyle w:val="56"/>
              <w:keepNext w:val="0"/>
              <w:keepLines w:val="0"/>
              <w:pageBreakBefore w:val="0"/>
              <w:widowControl w:val="0"/>
              <w:suppressLineNumbers w:val="0"/>
              <w:kinsoku/>
              <w:wordWrap/>
              <w:bidi w:val="0"/>
              <w:adjustRightInd/>
              <w:spacing w:before="0" w:beforeAutospacing="0" w:after="0" w:afterAutospacing="0" w:line="300" w:lineRule="exact"/>
              <w:ind w:left="0" w:leftChars="0" w:right="0" w:rightChars="0"/>
              <w:rPr>
                <w:rFonts w:hint="eastAsia" w:ascii="宋体" w:hAnsi="宋体"/>
                <w:color w:val="000000"/>
                <w:sz w:val="21"/>
                <w:szCs w:val="21"/>
              </w:rPr>
            </w:pPr>
            <w:r>
              <w:rPr>
                <w:rFonts w:hint="eastAsia" w:ascii="宋体" w:hAnsi="宋体" w:eastAsia="宋体" w:cs="宋体"/>
                <w:sz w:val="21"/>
                <w:szCs w:val="21"/>
              </w:rPr>
              <w:t>符合</w:t>
            </w:r>
          </w:p>
        </w:tc>
      </w:tr>
      <w:tr w14:paraId="42354B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521" w:type="dxa"/>
            <w:tcBorders>
              <w:tl2br w:val="nil"/>
              <w:tr2bl w:val="nil"/>
            </w:tcBorders>
            <w:noWrap w:val="0"/>
            <w:vAlign w:val="center"/>
          </w:tcPr>
          <w:p w14:paraId="3C15B514">
            <w:pPr>
              <w:keepNext w:val="0"/>
              <w:keepLines w:val="0"/>
              <w:pageBreakBefore w:val="0"/>
              <w:widowControl w:val="0"/>
              <w:numPr>
                <w:ilvl w:val="0"/>
                <w:numId w:val="112"/>
              </w:numPr>
              <w:suppressLineNumbers w:val="0"/>
              <w:kinsoku/>
              <w:wordWrap/>
              <w:bidi w:val="0"/>
              <w:spacing w:before="0" w:beforeAutospacing="0" w:after="0" w:afterAutospacing="0" w:line="240" w:lineRule="auto"/>
              <w:ind w:right="0" w:firstLine="0" w:firstLineChars="0"/>
              <w:jc w:val="center"/>
              <w:rPr>
                <w:rFonts w:hint="eastAsia" w:ascii="Times New Roman" w:hAnsi="Times New Roman" w:eastAsia="宋体" w:cs="Times New Roman"/>
                <w:sz w:val="21"/>
                <w:szCs w:val="21"/>
              </w:rPr>
            </w:pPr>
          </w:p>
        </w:tc>
        <w:tc>
          <w:tcPr>
            <w:tcW w:w="3355" w:type="dxa"/>
            <w:tcBorders>
              <w:tl2br w:val="nil"/>
              <w:tr2bl w:val="nil"/>
            </w:tcBorders>
            <w:noWrap w:val="0"/>
            <w:vAlign w:val="center"/>
          </w:tcPr>
          <w:p w14:paraId="6025D540">
            <w:pPr>
              <w:keepNext w:val="0"/>
              <w:keepLines w:val="0"/>
              <w:pageBreakBefore w:val="0"/>
              <w:widowControl w:val="0"/>
              <w:suppressLineNumbers w:val="0"/>
              <w:kinsoku/>
              <w:wordWrap/>
              <w:bidi w:val="0"/>
              <w:spacing w:before="0" w:beforeAutospacing="0" w:after="0" w:afterAutospacing="0" w:line="300" w:lineRule="exact"/>
              <w:ind w:left="0" w:leftChars="0" w:right="0" w:rightChars="0" w:firstLine="0" w:firstLineChars="0"/>
              <w:jc w:val="both"/>
              <w:rPr>
                <w:rFonts w:hint="eastAsia" w:ascii="宋体" w:hAnsi="宋体"/>
                <w:color w:val="000000"/>
                <w:sz w:val="21"/>
                <w:szCs w:val="21"/>
              </w:rPr>
            </w:pPr>
            <w:r>
              <w:rPr>
                <w:rFonts w:hint="eastAsia" w:ascii="宋体" w:hAnsi="宋体" w:eastAsia="宋体" w:cs="宋体"/>
                <w:sz w:val="21"/>
                <w:szCs w:val="21"/>
              </w:rPr>
              <w:t>在静电危险场所，所有属于静电导体的物体必须接地。对金属物体必须采用金属导体与大地做导通性连接，对金属以外的静电导体及亚导体则应间接接地。</w:t>
            </w:r>
          </w:p>
        </w:tc>
        <w:tc>
          <w:tcPr>
            <w:tcW w:w="1910" w:type="dxa"/>
            <w:tcBorders>
              <w:tl2br w:val="nil"/>
              <w:tr2bl w:val="nil"/>
            </w:tcBorders>
            <w:noWrap w:val="0"/>
            <w:vAlign w:val="center"/>
          </w:tcPr>
          <w:p w14:paraId="15CA853A">
            <w:pPr>
              <w:keepNext w:val="0"/>
              <w:keepLines w:val="0"/>
              <w:pageBreakBefore w:val="0"/>
              <w:widowControl w:val="0"/>
              <w:suppressLineNumbers w:val="0"/>
              <w:kinsoku/>
              <w:wordWrap/>
              <w:bidi w:val="0"/>
              <w:spacing w:before="0" w:beforeAutospacing="0" w:after="0" w:afterAutospacing="0" w:line="30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《防止静电事故通用导则》</w:t>
            </w:r>
          </w:p>
          <w:p w14:paraId="4556ABCC">
            <w:pPr>
              <w:keepNext w:val="0"/>
              <w:keepLines w:val="0"/>
              <w:pageBreakBefore w:val="0"/>
              <w:widowControl w:val="0"/>
              <w:suppressLineNumbers w:val="0"/>
              <w:kinsoku/>
              <w:wordWrap/>
              <w:bidi w:val="0"/>
              <w:spacing w:before="0" w:beforeAutospacing="0" w:after="0" w:afterAutospacing="0" w:line="30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（GB12158-2006）</w:t>
            </w:r>
          </w:p>
          <w:p w14:paraId="00766102">
            <w:pPr>
              <w:keepNext w:val="0"/>
              <w:keepLines w:val="0"/>
              <w:pageBreakBefore w:val="0"/>
              <w:widowControl w:val="0"/>
              <w:suppressLineNumbers w:val="0"/>
              <w:kinsoku/>
              <w:wordWrap/>
              <w:bidi w:val="0"/>
              <w:spacing w:before="0" w:beforeAutospacing="0" w:after="0" w:afterAutospacing="0" w:line="300" w:lineRule="exact"/>
              <w:ind w:left="0" w:leftChars="0" w:right="0" w:rightChars="0" w:firstLine="0" w:firstLineChars="0"/>
              <w:jc w:val="center"/>
              <w:rPr>
                <w:rFonts w:hint="eastAsia" w:ascii="宋体" w:hAnsi="宋体"/>
                <w:color w:val="000000"/>
                <w:sz w:val="21"/>
                <w:szCs w:val="21"/>
              </w:rPr>
            </w:pPr>
            <w:r>
              <w:rPr>
                <w:rFonts w:hint="eastAsia" w:ascii="宋体" w:hAnsi="宋体" w:eastAsia="宋体" w:cs="宋体"/>
                <w:sz w:val="21"/>
                <w:szCs w:val="21"/>
              </w:rPr>
              <w:t>第6.1.2条</w:t>
            </w:r>
          </w:p>
        </w:tc>
        <w:tc>
          <w:tcPr>
            <w:tcW w:w="2451" w:type="dxa"/>
            <w:tcBorders>
              <w:tl2br w:val="nil"/>
              <w:tr2bl w:val="nil"/>
            </w:tcBorders>
            <w:noWrap w:val="0"/>
            <w:vAlign w:val="center"/>
          </w:tcPr>
          <w:p w14:paraId="2838C6FE">
            <w:pPr>
              <w:keepNext w:val="0"/>
              <w:keepLines w:val="0"/>
              <w:pageBreakBefore w:val="0"/>
              <w:widowControl w:val="0"/>
              <w:suppressLineNumbers w:val="0"/>
              <w:kinsoku/>
              <w:wordWrap/>
              <w:bidi w:val="0"/>
              <w:spacing w:before="0" w:beforeAutospacing="0" w:after="0" w:afterAutospacing="0" w:line="300" w:lineRule="exact"/>
              <w:ind w:left="0" w:leftChars="0" w:right="0" w:rightChars="0" w:firstLine="0" w:firstLineChars="0"/>
              <w:jc w:val="both"/>
              <w:rPr>
                <w:rFonts w:hint="eastAsia"/>
                <w:color w:val="000000"/>
                <w:sz w:val="21"/>
                <w:szCs w:val="21"/>
                <w:lang w:val="en-US" w:eastAsia="zh-CN"/>
              </w:rPr>
            </w:pPr>
            <w:r>
              <w:rPr>
                <w:rFonts w:hint="eastAsia" w:ascii="宋体" w:hAnsi="宋体" w:eastAsia="宋体" w:cs="宋体"/>
                <w:sz w:val="21"/>
                <w:szCs w:val="21"/>
              </w:rPr>
              <w:t>本项目</w:t>
            </w:r>
            <w:r>
              <w:rPr>
                <w:rFonts w:hint="eastAsia" w:cs="宋体"/>
                <w:sz w:val="21"/>
                <w:szCs w:val="21"/>
                <w:lang w:val="en-US" w:eastAsia="zh-CN"/>
              </w:rPr>
              <w:t>由</w:t>
            </w:r>
            <w:r>
              <w:rPr>
                <w:rFonts w:hint="eastAsia" w:cs="宋体"/>
                <w:sz w:val="21"/>
                <w:szCs w:val="21"/>
                <w:lang w:eastAsia="zh-CN"/>
              </w:rPr>
              <w:t>云南省气象灾害防御技术中心</w:t>
            </w:r>
            <w:r>
              <w:rPr>
                <w:rFonts w:hint="eastAsia" w:cs="宋体"/>
                <w:sz w:val="21"/>
                <w:szCs w:val="21"/>
                <w:lang w:val="en-US" w:eastAsia="zh-CN"/>
              </w:rPr>
              <w:t>于2024年7月18日</w:t>
            </w:r>
            <w:r>
              <w:rPr>
                <w:rFonts w:hint="eastAsia" w:ascii="宋体" w:hAnsi="宋体" w:eastAsia="宋体" w:cs="宋体"/>
                <w:sz w:val="21"/>
                <w:szCs w:val="21"/>
              </w:rPr>
              <w:t>进行了防雷</w:t>
            </w:r>
            <w:r>
              <w:rPr>
                <w:rFonts w:hint="eastAsia" w:cs="宋体"/>
                <w:sz w:val="21"/>
                <w:szCs w:val="21"/>
                <w:lang w:val="en-US" w:eastAsia="zh-CN"/>
              </w:rPr>
              <w:t>接地电阻</w:t>
            </w:r>
            <w:r>
              <w:rPr>
                <w:rFonts w:hint="eastAsia" w:ascii="宋体" w:hAnsi="宋体" w:eastAsia="宋体" w:cs="宋体"/>
                <w:sz w:val="21"/>
                <w:szCs w:val="21"/>
              </w:rPr>
              <w:t>检测，并出具了防雷检测报告。检测结果为合格</w:t>
            </w:r>
            <w:r>
              <w:rPr>
                <w:rFonts w:hint="eastAsia" w:cs="宋体"/>
                <w:sz w:val="21"/>
                <w:szCs w:val="21"/>
                <w:lang w:eastAsia="zh-CN"/>
              </w:rPr>
              <w:t>。</w:t>
            </w:r>
          </w:p>
        </w:tc>
        <w:tc>
          <w:tcPr>
            <w:tcW w:w="449" w:type="dxa"/>
            <w:tcBorders>
              <w:tl2br w:val="nil"/>
              <w:tr2bl w:val="nil"/>
            </w:tcBorders>
            <w:noWrap w:val="0"/>
            <w:vAlign w:val="center"/>
          </w:tcPr>
          <w:p w14:paraId="776B8277">
            <w:pPr>
              <w:keepNext w:val="0"/>
              <w:keepLines w:val="0"/>
              <w:pageBreakBefore w:val="0"/>
              <w:widowControl w:val="0"/>
              <w:suppressLineNumbers w:val="0"/>
              <w:kinsoku/>
              <w:wordWrap/>
              <w:bidi w:val="0"/>
              <w:spacing w:before="0" w:beforeAutospacing="0" w:after="0" w:afterAutospacing="0" w:line="300" w:lineRule="exact"/>
              <w:ind w:left="0" w:leftChars="0" w:right="0" w:rightChars="0" w:firstLine="0" w:firstLineChars="0"/>
              <w:jc w:val="center"/>
              <w:rPr>
                <w:rFonts w:hint="eastAsia" w:ascii="宋体" w:hAnsi="宋体"/>
                <w:color w:val="000000"/>
                <w:sz w:val="21"/>
                <w:szCs w:val="21"/>
              </w:rPr>
            </w:pPr>
            <w:r>
              <w:rPr>
                <w:rFonts w:hint="eastAsia" w:ascii="宋体" w:hAnsi="宋体" w:eastAsia="宋体" w:cs="宋体"/>
                <w:sz w:val="21"/>
                <w:szCs w:val="21"/>
              </w:rPr>
              <w:t>符合</w:t>
            </w:r>
          </w:p>
        </w:tc>
      </w:tr>
    </w:tbl>
    <w:p w14:paraId="678EC163">
      <w:pPr>
        <w:bidi w:val="0"/>
        <w:rPr>
          <w:rFonts w:hint="eastAsia" w:ascii="宋体" w:hAnsi="宋体" w:eastAsia="宋体" w:cs="宋体"/>
          <w:szCs w:val="28"/>
        </w:rPr>
      </w:pPr>
      <w:r>
        <w:rPr>
          <w:rFonts w:hint="eastAsia"/>
        </w:rPr>
        <w:t>由上述检查表得知：本项目供电系统满足《低压配电设计规范》（GB50054-2011）、</w:t>
      </w:r>
      <w:r>
        <w:rPr>
          <w:rFonts w:hint="eastAsia"/>
          <w:lang w:eastAsia="zh-CN"/>
        </w:rPr>
        <w:t>《电气装置安装工程电缆线路施工及验收标准》（GB 50168-2018）、《电气装置安装工程接地装置施工及验收规范》（GB 50169-2016）</w:t>
      </w:r>
      <w:r>
        <w:rPr>
          <w:rFonts w:hint="eastAsia"/>
        </w:rPr>
        <w:t>《建筑物防雷设计规范》（GB50057-2010）、《生产设备安全卫生设计总则</w:t>
      </w:r>
      <w:r>
        <w:rPr>
          <w:rFonts w:hint="eastAsia"/>
          <w:lang w:eastAsia="zh-CN"/>
        </w:rPr>
        <w:t>》《</w:t>
      </w:r>
      <w:r>
        <w:rPr>
          <w:rFonts w:hint="eastAsia"/>
        </w:rPr>
        <w:t>防止静电事故通用导则》（GB12158-2006）等标准规范的要求。</w:t>
      </w:r>
    </w:p>
    <w:p w14:paraId="388A2715">
      <w:pPr>
        <w:pStyle w:val="5"/>
        <w:keepNext w:val="0"/>
        <w:keepLines w:val="0"/>
        <w:pageBreakBefore w:val="0"/>
        <w:widowControl w:val="0"/>
        <w:kinsoku/>
        <w:bidi w:val="0"/>
        <w:rPr>
          <w:rFonts w:hint="eastAsia"/>
          <w:lang w:val="en-US" w:eastAsia="zh-CN"/>
        </w:rPr>
      </w:pPr>
      <w:r>
        <w:rPr>
          <w:rFonts w:hint="eastAsia"/>
        </w:rPr>
        <w:t>给排水系统</w:t>
      </w:r>
    </w:p>
    <w:p w14:paraId="3BE6C625">
      <w:pPr>
        <w:bidi w:val="0"/>
      </w:pPr>
      <w:r>
        <w:rPr>
          <w:rFonts w:hint="eastAsia"/>
        </w:rPr>
        <w:t>根据《建筑给水排水设计标准》（GB50015-2019）、《工业企业总平面设计规范》（</w:t>
      </w:r>
      <w:r>
        <w:t>GB50187-2012</w:t>
      </w:r>
      <w:r>
        <w:rPr>
          <w:rFonts w:hint="eastAsia"/>
        </w:rPr>
        <w:t>）等相关法律法规、标准规范的要求，对本项目生产系统给、排水设施进行检查。检查结果见下表。</w:t>
      </w:r>
    </w:p>
    <w:p w14:paraId="161CCC49">
      <w:pPr>
        <w:pStyle w:val="12"/>
        <w:keepNext w:val="0"/>
        <w:keepLines w:val="0"/>
        <w:pageBreakBefore w:val="0"/>
        <w:widowControl w:val="0"/>
        <w:kinsoku/>
        <w:wordWrap/>
        <w:bidi w:val="0"/>
        <w:rPr>
          <w:rFonts w:hint="eastAsia"/>
          <w:lang w:val="en-US" w:eastAsia="zh-CN"/>
        </w:rPr>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6</w:t>
      </w:r>
      <w:r>
        <w:rPr>
          <w:rFonts w:hint="eastAsia"/>
          <w:lang w:val="en-US" w:eastAsia="zh-CN"/>
        </w:rPr>
        <w:fldChar w:fldCharType="end"/>
      </w:r>
      <w:r>
        <w:rPr>
          <w:rFonts w:hint="eastAsia"/>
          <w:lang w:val="en-US" w:eastAsia="zh-CN"/>
        </w:rPr>
        <w:t>给排水系统安全检查表</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99"/>
        <w:gridCol w:w="3109"/>
        <w:gridCol w:w="2137"/>
        <w:gridCol w:w="2006"/>
        <w:gridCol w:w="672"/>
      </w:tblGrid>
      <w:tr w14:paraId="7E5022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1" w:hRule="exact"/>
          <w:tblHeader/>
          <w:jc w:val="center"/>
        </w:trPr>
        <w:tc>
          <w:tcPr>
            <w:tcW w:w="351" w:type="pct"/>
            <w:tcBorders>
              <w:tl2br w:val="nil"/>
              <w:tr2bl w:val="nil"/>
            </w:tcBorders>
            <w:noWrap w:val="0"/>
            <w:vAlign w:val="center"/>
          </w:tcPr>
          <w:p w14:paraId="20D1769D">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序号</w:t>
            </w:r>
          </w:p>
        </w:tc>
        <w:tc>
          <w:tcPr>
            <w:tcW w:w="1823" w:type="pct"/>
            <w:tcBorders>
              <w:tl2br w:val="nil"/>
              <w:tr2bl w:val="nil"/>
            </w:tcBorders>
            <w:noWrap w:val="0"/>
            <w:vAlign w:val="center"/>
          </w:tcPr>
          <w:p w14:paraId="29F26C49">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检查内容</w:t>
            </w:r>
          </w:p>
        </w:tc>
        <w:tc>
          <w:tcPr>
            <w:tcW w:w="1253" w:type="pct"/>
            <w:tcBorders>
              <w:tl2br w:val="nil"/>
              <w:tr2bl w:val="nil"/>
            </w:tcBorders>
            <w:noWrap w:val="0"/>
            <w:vAlign w:val="center"/>
          </w:tcPr>
          <w:p w14:paraId="771E5D0D">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依据标准</w:t>
            </w:r>
          </w:p>
        </w:tc>
        <w:tc>
          <w:tcPr>
            <w:tcW w:w="1176" w:type="pct"/>
            <w:tcBorders>
              <w:tl2br w:val="nil"/>
              <w:tr2bl w:val="nil"/>
            </w:tcBorders>
            <w:noWrap w:val="0"/>
            <w:vAlign w:val="center"/>
          </w:tcPr>
          <w:p w14:paraId="02CF6D3B">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检查情况</w:t>
            </w:r>
          </w:p>
        </w:tc>
        <w:tc>
          <w:tcPr>
            <w:tcW w:w="394" w:type="pct"/>
            <w:tcBorders>
              <w:tl2br w:val="nil"/>
              <w:tr2bl w:val="nil"/>
            </w:tcBorders>
            <w:noWrap w:val="0"/>
            <w:vAlign w:val="center"/>
          </w:tcPr>
          <w:p w14:paraId="579AE1D8">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结论</w:t>
            </w:r>
          </w:p>
        </w:tc>
      </w:tr>
      <w:tr w14:paraId="6D05FC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noWrap w:val="0"/>
            <w:vAlign w:val="center"/>
          </w:tcPr>
          <w:p w14:paraId="5ED44CD7">
            <w:pPr>
              <w:keepNext w:val="0"/>
              <w:keepLines w:val="0"/>
              <w:pageBreakBefore w:val="0"/>
              <w:widowControl w:val="0"/>
              <w:numPr>
                <w:ilvl w:val="0"/>
                <w:numId w:val="116"/>
              </w:numPr>
              <w:suppressLineNumbers w:val="0"/>
              <w:kinsoku/>
              <w:wordWrap/>
              <w:bidi w:val="0"/>
              <w:spacing w:before="0" w:beforeAutospacing="0" w:after="0" w:afterAutospacing="0"/>
              <w:ind w:left="0" w:leftChars="0" w:right="0" w:rightChars="0" w:firstLine="0" w:firstLineChars="0"/>
              <w:jc w:val="center"/>
              <w:rPr>
                <w:rFonts w:hint="eastAsia" w:ascii="宋体" w:hAnsi="宋体" w:eastAsia="宋体" w:cs="宋体"/>
                <w:kern w:val="2"/>
                <w:sz w:val="21"/>
                <w:szCs w:val="21"/>
                <w:lang w:val="en-US" w:eastAsia="zh-CN" w:bidi="ar-SA"/>
              </w:rPr>
            </w:pPr>
          </w:p>
        </w:tc>
        <w:tc>
          <w:tcPr>
            <w:tcW w:w="1823" w:type="pct"/>
            <w:tcBorders>
              <w:tl2br w:val="nil"/>
              <w:tr2bl w:val="nil"/>
            </w:tcBorders>
            <w:noWrap w:val="0"/>
            <w:vAlign w:val="center"/>
          </w:tcPr>
          <w:p w14:paraId="60847A5F">
            <w:pPr>
              <w:pStyle w:val="83"/>
              <w:keepNext w:val="0"/>
              <w:keepLines w:val="0"/>
              <w:pageBreakBefore w:val="0"/>
              <w:widowControl w:val="0"/>
              <w:suppressLineNumbers w:val="0"/>
              <w:kinsoku/>
              <w:wordWrap/>
              <w:bidi w:val="0"/>
              <w:spacing w:beforeAutospacing="0" w:afterAutospacing="0"/>
              <w:ind w:left="0" w:right="0" w:firstLine="0" w:firstLineChars="0"/>
              <w:rPr>
                <w:rFonts w:hint="eastAsia" w:ascii="宋体" w:hAnsi="宋体" w:eastAsia="宋体" w:cs="宋体"/>
                <w:sz w:val="21"/>
                <w:szCs w:val="21"/>
              </w:rPr>
            </w:pPr>
            <w:r>
              <w:rPr>
                <w:rFonts w:hint="eastAsia" w:ascii="宋体" w:hAnsi="宋体" w:eastAsia="宋体" w:cs="宋体"/>
                <w:sz w:val="21"/>
                <w:szCs w:val="21"/>
              </w:rPr>
              <w:t>生活给水系统的水质，应符合现行的国家标准《生活饮用水卫生标准》的要求。</w:t>
            </w:r>
          </w:p>
        </w:tc>
        <w:tc>
          <w:tcPr>
            <w:tcW w:w="1253" w:type="pct"/>
            <w:tcBorders>
              <w:tl2br w:val="nil"/>
              <w:tr2bl w:val="nil"/>
            </w:tcBorders>
            <w:noWrap w:val="0"/>
            <w:vAlign w:val="center"/>
          </w:tcPr>
          <w:p w14:paraId="30E26B7C">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《建筑给水排水设计标准》</w:t>
            </w:r>
          </w:p>
          <w:p w14:paraId="623C6CF4">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（GB50015-2019）</w:t>
            </w:r>
          </w:p>
          <w:p w14:paraId="477B74F0">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第3.3.1条</w:t>
            </w:r>
          </w:p>
        </w:tc>
        <w:tc>
          <w:tcPr>
            <w:tcW w:w="1176" w:type="pct"/>
            <w:tcBorders>
              <w:tl2br w:val="nil"/>
              <w:tr2bl w:val="nil"/>
            </w:tcBorders>
            <w:noWrap w:val="0"/>
            <w:vAlign w:val="center"/>
          </w:tcPr>
          <w:p w14:paraId="26560F96">
            <w:pPr>
              <w:pStyle w:val="83"/>
              <w:keepNext w:val="0"/>
              <w:keepLines w:val="0"/>
              <w:pageBreakBefore w:val="0"/>
              <w:widowControl w:val="0"/>
              <w:suppressLineNumbers w:val="0"/>
              <w:kinsoku/>
              <w:wordWrap/>
              <w:bidi w:val="0"/>
              <w:spacing w:beforeAutospacing="0" w:afterAutospacing="0"/>
              <w:ind w:left="0" w:right="0" w:firstLine="0" w:firstLineChars="0"/>
              <w:rPr>
                <w:rFonts w:hint="eastAsia" w:ascii="宋体" w:hAnsi="宋体" w:eastAsia="宋体" w:cs="宋体"/>
                <w:sz w:val="21"/>
                <w:szCs w:val="21"/>
              </w:rPr>
            </w:pPr>
            <w:r>
              <w:rPr>
                <w:rFonts w:hint="eastAsia" w:ascii="宋体" w:hAnsi="宋体" w:eastAsia="宋体" w:cs="宋体"/>
                <w:sz w:val="21"/>
                <w:szCs w:val="21"/>
                <w:lang w:val="en-US" w:eastAsia="zh-CN"/>
              </w:rPr>
              <w:t>本项目用水由沙龙水库和张大庆水库和羊街村委会供水管网供应。</w:t>
            </w:r>
          </w:p>
        </w:tc>
        <w:tc>
          <w:tcPr>
            <w:tcW w:w="394" w:type="pct"/>
            <w:tcBorders>
              <w:tl2br w:val="nil"/>
              <w:tr2bl w:val="nil"/>
            </w:tcBorders>
            <w:noWrap w:val="0"/>
            <w:vAlign w:val="center"/>
          </w:tcPr>
          <w:p w14:paraId="1E678FB7">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73973D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noWrap w:val="0"/>
            <w:vAlign w:val="center"/>
          </w:tcPr>
          <w:p w14:paraId="03D8B1AD">
            <w:pPr>
              <w:keepNext w:val="0"/>
              <w:keepLines w:val="0"/>
              <w:pageBreakBefore w:val="0"/>
              <w:widowControl w:val="0"/>
              <w:numPr>
                <w:ilvl w:val="0"/>
                <w:numId w:val="116"/>
              </w:numPr>
              <w:suppressLineNumbers w:val="0"/>
              <w:kinsoku/>
              <w:wordWrap/>
              <w:bidi w:val="0"/>
              <w:spacing w:before="0" w:beforeAutospacing="0" w:after="0" w:afterAutospacing="0"/>
              <w:ind w:left="0" w:leftChars="0" w:right="0" w:rightChars="0" w:firstLine="0" w:firstLineChars="0"/>
              <w:jc w:val="center"/>
              <w:rPr>
                <w:rFonts w:hint="eastAsia" w:ascii="宋体" w:hAnsi="宋体" w:eastAsia="宋体" w:cs="宋体"/>
                <w:kern w:val="2"/>
                <w:sz w:val="21"/>
                <w:szCs w:val="21"/>
                <w:lang w:val="en-US" w:eastAsia="zh-CN" w:bidi="ar-SA"/>
              </w:rPr>
            </w:pPr>
          </w:p>
        </w:tc>
        <w:tc>
          <w:tcPr>
            <w:tcW w:w="1823" w:type="pct"/>
            <w:tcBorders>
              <w:tl2br w:val="nil"/>
              <w:tr2bl w:val="nil"/>
            </w:tcBorders>
            <w:noWrap w:val="0"/>
            <w:vAlign w:val="center"/>
          </w:tcPr>
          <w:p w14:paraId="4C4CDFC4">
            <w:pPr>
              <w:pStyle w:val="83"/>
              <w:keepNext w:val="0"/>
              <w:keepLines w:val="0"/>
              <w:pageBreakBefore w:val="0"/>
              <w:widowControl w:val="0"/>
              <w:suppressLineNumbers w:val="0"/>
              <w:kinsoku/>
              <w:wordWrap/>
              <w:bidi w:val="0"/>
              <w:spacing w:beforeAutospacing="0" w:afterAutospacing="0"/>
              <w:ind w:left="0" w:right="0" w:firstLine="0" w:firstLineChars="0"/>
              <w:rPr>
                <w:rFonts w:hint="eastAsia" w:ascii="宋体" w:hAnsi="宋体" w:eastAsia="宋体" w:cs="宋体"/>
                <w:sz w:val="21"/>
                <w:szCs w:val="21"/>
              </w:rPr>
            </w:pPr>
            <w:r>
              <w:rPr>
                <w:rFonts w:hint="eastAsia" w:ascii="宋体" w:hAnsi="宋体" w:eastAsia="宋体" w:cs="宋体"/>
                <w:sz w:val="21"/>
                <w:szCs w:val="21"/>
              </w:rPr>
              <w:t>室内给水管道不得布置在遇水会引起燃烧、爆炸的原料、产品和设备的上面。</w:t>
            </w:r>
          </w:p>
        </w:tc>
        <w:tc>
          <w:tcPr>
            <w:tcW w:w="1253" w:type="pct"/>
            <w:tcBorders>
              <w:tl2br w:val="nil"/>
              <w:tr2bl w:val="nil"/>
            </w:tcBorders>
            <w:noWrap w:val="0"/>
            <w:vAlign w:val="center"/>
          </w:tcPr>
          <w:p w14:paraId="14E6AAF5">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《建筑给水排水设计标准》</w:t>
            </w:r>
          </w:p>
          <w:p w14:paraId="12911F10">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（GB50015-2019）</w:t>
            </w:r>
          </w:p>
          <w:p w14:paraId="73BE20CF">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第3.6.3条</w:t>
            </w:r>
          </w:p>
        </w:tc>
        <w:tc>
          <w:tcPr>
            <w:tcW w:w="1176" w:type="pct"/>
            <w:tcBorders>
              <w:tl2br w:val="nil"/>
              <w:tr2bl w:val="nil"/>
            </w:tcBorders>
            <w:noWrap w:val="0"/>
            <w:vAlign w:val="center"/>
          </w:tcPr>
          <w:p w14:paraId="56DA8B9D">
            <w:pPr>
              <w:pStyle w:val="83"/>
              <w:keepNext w:val="0"/>
              <w:keepLines w:val="0"/>
              <w:pageBreakBefore w:val="0"/>
              <w:widowControl w:val="0"/>
              <w:suppressLineNumbers w:val="0"/>
              <w:kinsoku/>
              <w:wordWrap/>
              <w:bidi w:val="0"/>
              <w:spacing w:beforeAutospacing="0" w:afterAutospacing="0"/>
              <w:ind w:left="0" w:right="0" w:firstLine="0" w:firstLineChars="0"/>
              <w:rPr>
                <w:rFonts w:hint="eastAsia" w:ascii="宋体" w:hAnsi="宋体" w:eastAsia="宋体" w:cs="宋体"/>
                <w:sz w:val="21"/>
                <w:szCs w:val="21"/>
              </w:rPr>
            </w:pPr>
            <w:r>
              <w:rPr>
                <w:rFonts w:hint="eastAsia" w:ascii="宋体" w:hAnsi="宋体" w:eastAsia="宋体" w:cs="宋体"/>
                <w:sz w:val="21"/>
                <w:szCs w:val="21"/>
                <w:lang w:eastAsia="zh-CN"/>
              </w:rPr>
              <w:t>本</w:t>
            </w:r>
            <w:r>
              <w:rPr>
                <w:rFonts w:hint="eastAsia" w:ascii="宋体" w:hAnsi="宋体" w:eastAsia="宋体" w:cs="宋体"/>
                <w:sz w:val="21"/>
                <w:szCs w:val="21"/>
              </w:rPr>
              <w:t>项目车间内给水管道未设置在遇水会引起燃烧、爆炸的原料、产品和设备的上面。</w:t>
            </w:r>
          </w:p>
        </w:tc>
        <w:tc>
          <w:tcPr>
            <w:tcW w:w="394" w:type="pct"/>
            <w:tcBorders>
              <w:tl2br w:val="nil"/>
              <w:tr2bl w:val="nil"/>
            </w:tcBorders>
            <w:noWrap w:val="0"/>
            <w:vAlign w:val="center"/>
          </w:tcPr>
          <w:p w14:paraId="7C6BCE70">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7DEAD1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noWrap w:val="0"/>
            <w:vAlign w:val="center"/>
          </w:tcPr>
          <w:p w14:paraId="1B94534F">
            <w:pPr>
              <w:keepNext w:val="0"/>
              <w:keepLines w:val="0"/>
              <w:pageBreakBefore w:val="0"/>
              <w:widowControl w:val="0"/>
              <w:numPr>
                <w:ilvl w:val="0"/>
                <w:numId w:val="116"/>
              </w:numPr>
              <w:suppressLineNumbers w:val="0"/>
              <w:kinsoku/>
              <w:wordWrap/>
              <w:bidi w:val="0"/>
              <w:spacing w:before="0" w:beforeAutospacing="0" w:after="0" w:afterAutospacing="0"/>
              <w:ind w:left="0" w:leftChars="0" w:right="0" w:rightChars="0" w:firstLine="0" w:firstLineChars="0"/>
              <w:jc w:val="center"/>
              <w:rPr>
                <w:rFonts w:hint="eastAsia" w:ascii="宋体" w:hAnsi="宋体" w:eastAsia="宋体" w:cs="宋体"/>
                <w:kern w:val="2"/>
                <w:sz w:val="21"/>
                <w:szCs w:val="21"/>
                <w:lang w:val="en-US" w:eastAsia="zh-CN" w:bidi="ar-SA"/>
              </w:rPr>
            </w:pPr>
          </w:p>
        </w:tc>
        <w:tc>
          <w:tcPr>
            <w:tcW w:w="1823" w:type="pct"/>
            <w:tcBorders>
              <w:tl2br w:val="nil"/>
              <w:tr2bl w:val="nil"/>
            </w:tcBorders>
            <w:noWrap w:val="0"/>
            <w:vAlign w:val="center"/>
          </w:tcPr>
          <w:p w14:paraId="203A384F">
            <w:pPr>
              <w:pStyle w:val="83"/>
              <w:keepNext w:val="0"/>
              <w:keepLines w:val="0"/>
              <w:pageBreakBefore w:val="0"/>
              <w:widowControl w:val="0"/>
              <w:suppressLineNumbers w:val="0"/>
              <w:kinsoku/>
              <w:wordWrap/>
              <w:bidi w:val="0"/>
              <w:spacing w:beforeAutospacing="0" w:afterAutospacing="0"/>
              <w:ind w:left="0" w:right="0" w:firstLine="0" w:firstLineChars="0"/>
              <w:rPr>
                <w:rFonts w:hint="eastAsia" w:ascii="宋体" w:hAnsi="宋体" w:eastAsia="宋体" w:cs="宋体"/>
                <w:sz w:val="21"/>
                <w:szCs w:val="21"/>
              </w:rPr>
            </w:pPr>
            <w:r>
              <w:rPr>
                <w:rFonts w:hint="eastAsia" w:ascii="宋体" w:hAnsi="宋体" w:eastAsia="宋体" w:cs="宋体"/>
                <w:sz w:val="21"/>
                <w:szCs w:val="21"/>
              </w:rPr>
              <w:t>厂址应具有满足生产、生活及发展所必需的水源和电源。水源和电源与厂址之间的管线连接应尽量短捷，且用水、用电量（特别）大的工业企业宜靠近水源及电源地。</w:t>
            </w:r>
          </w:p>
        </w:tc>
        <w:tc>
          <w:tcPr>
            <w:tcW w:w="1253" w:type="pct"/>
            <w:tcBorders>
              <w:tl2br w:val="nil"/>
              <w:tr2bl w:val="nil"/>
            </w:tcBorders>
            <w:noWrap w:val="0"/>
            <w:vAlign w:val="center"/>
          </w:tcPr>
          <w:p w14:paraId="1723E0EF">
            <w:pPr>
              <w:pStyle w:val="83"/>
              <w:keepNext w:val="0"/>
              <w:keepLines w:val="0"/>
              <w:pageBreakBefore w:val="0"/>
              <w:widowControl w:val="0"/>
              <w:suppressLineNumbers w:val="0"/>
              <w:kinsoku/>
              <w:wordWrap/>
              <w:bidi w:val="0"/>
              <w:spacing w:beforeAutospacing="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《工业企业总平面设计规范》（GB50187-2012）</w:t>
            </w:r>
          </w:p>
          <w:p w14:paraId="3928791F">
            <w:pPr>
              <w:pStyle w:val="83"/>
              <w:keepNext w:val="0"/>
              <w:keepLines w:val="0"/>
              <w:pageBreakBefore w:val="0"/>
              <w:widowControl w:val="0"/>
              <w:suppressLineNumbers w:val="0"/>
              <w:kinsoku/>
              <w:wordWrap/>
              <w:bidi w:val="0"/>
              <w:spacing w:beforeAutospacing="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第3.0.6条</w:t>
            </w:r>
          </w:p>
        </w:tc>
        <w:tc>
          <w:tcPr>
            <w:tcW w:w="1176" w:type="pct"/>
            <w:tcBorders>
              <w:tl2br w:val="nil"/>
              <w:tr2bl w:val="nil"/>
            </w:tcBorders>
            <w:noWrap w:val="0"/>
            <w:vAlign w:val="center"/>
          </w:tcPr>
          <w:p w14:paraId="5D935CE4">
            <w:pPr>
              <w:pStyle w:val="83"/>
              <w:keepNext w:val="0"/>
              <w:keepLines w:val="0"/>
              <w:pageBreakBefore w:val="0"/>
              <w:widowControl w:val="0"/>
              <w:suppressLineNumbers w:val="0"/>
              <w:kinsoku/>
              <w:wordWrap/>
              <w:bidi w:val="0"/>
              <w:spacing w:beforeAutospacing="0" w:afterAutospacing="0"/>
              <w:ind w:left="0" w:right="0" w:firstLine="0" w:firstLineChars="0"/>
              <w:rPr>
                <w:rFonts w:hint="eastAsia" w:ascii="宋体" w:hAnsi="宋体" w:eastAsia="宋体" w:cs="宋体"/>
                <w:sz w:val="21"/>
                <w:szCs w:val="21"/>
              </w:rPr>
            </w:pPr>
            <w:r>
              <w:rPr>
                <w:rFonts w:hint="eastAsia" w:ascii="宋体" w:hAnsi="宋体" w:eastAsia="宋体" w:cs="宋体"/>
                <w:sz w:val="21"/>
                <w:szCs w:val="21"/>
              </w:rPr>
              <w:t>厂址所在地能够满足企业所需水源和电源。</w:t>
            </w:r>
          </w:p>
        </w:tc>
        <w:tc>
          <w:tcPr>
            <w:tcW w:w="394" w:type="pct"/>
            <w:tcBorders>
              <w:tl2br w:val="nil"/>
              <w:tr2bl w:val="nil"/>
            </w:tcBorders>
            <w:noWrap w:val="0"/>
            <w:vAlign w:val="center"/>
          </w:tcPr>
          <w:p w14:paraId="34BE0BD1">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025704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noWrap w:val="0"/>
            <w:vAlign w:val="center"/>
          </w:tcPr>
          <w:p w14:paraId="5CEB53C1">
            <w:pPr>
              <w:keepNext w:val="0"/>
              <w:keepLines w:val="0"/>
              <w:pageBreakBefore w:val="0"/>
              <w:widowControl w:val="0"/>
              <w:numPr>
                <w:ilvl w:val="0"/>
                <w:numId w:val="116"/>
              </w:numPr>
              <w:suppressLineNumbers w:val="0"/>
              <w:kinsoku/>
              <w:wordWrap/>
              <w:bidi w:val="0"/>
              <w:spacing w:before="0" w:beforeAutospacing="0" w:after="0" w:afterAutospacing="0"/>
              <w:ind w:left="0" w:leftChars="0" w:right="0" w:rightChars="0" w:firstLine="0" w:firstLineChars="0"/>
              <w:jc w:val="center"/>
              <w:rPr>
                <w:rFonts w:hint="eastAsia" w:ascii="宋体" w:hAnsi="宋体" w:eastAsia="宋体" w:cs="宋体"/>
                <w:kern w:val="2"/>
                <w:sz w:val="21"/>
                <w:szCs w:val="21"/>
                <w:lang w:val="en-US" w:eastAsia="zh-CN" w:bidi="ar-SA"/>
              </w:rPr>
            </w:pPr>
          </w:p>
        </w:tc>
        <w:tc>
          <w:tcPr>
            <w:tcW w:w="1823" w:type="pct"/>
            <w:tcBorders>
              <w:tl2br w:val="nil"/>
              <w:tr2bl w:val="nil"/>
            </w:tcBorders>
            <w:noWrap w:val="0"/>
            <w:vAlign w:val="center"/>
          </w:tcPr>
          <w:p w14:paraId="7F9E42E6">
            <w:pPr>
              <w:pStyle w:val="83"/>
              <w:keepNext w:val="0"/>
              <w:keepLines w:val="0"/>
              <w:pageBreakBefore w:val="0"/>
              <w:widowControl w:val="0"/>
              <w:suppressLineNumbers w:val="0"/>
              <w:kinsoku/>
              <w:wordWrap/>
              <w:bidi w:val="0"/>
              <w:spacing w:beforeAutospacing="0" w:afterAutospacing="0"/>
              <w:ind w:left="0" w:right="0" w:firstLine="0" w:firstLineChars="0"/>
              <w:rPr>
                <w:rFonts w:hint="eastAsia" w:ascii="宋体" w:hAnsi="宋体" w:eastAsia="宋体" w:cs="宋体"/>
                <w:sz w:val="21"/>
                <w:szCs w:val="21"/>
              </w:rPr>
            </w:pPr>
            <w:r>
              <w:rPr>
                <w:rFonts w:hint="eastAsia" w:ascii="宋体" w:hAnsi="宋体" w:eastAsia="宋体" w:cs="宋体"/>
                <w:sz w:val="21"/>
                <w:szCs w:val="21"/>
              </w:rPr>
              <w:t>场地应有完整、有效的雨水排水系统。场地雨水的排除方式，应结合工业企业所在地区的雨水排除方式、建筑密度、环境卫生要求、地质和气候条件等因素，合理选择暗管、明沟或地面自然排渗等方式并应符合下列要求：</w:t>
            </w:r>
            <w:r>
              <w:rPr>
                <w:rFonts w:hint="eastAsia" w:ascii="宋体" w:hAnsi="宋体" w:eastAsia="宋体" w:cs="宋体"/>
                <w:sz w:val="21"/>
                <w:szCs w:val="21"/>
                <w:lang w:eastAsia="zh-CN"/>
              </w:rPr>
              <w:t>（</w:t>
            </w:r>
            <w:r>
              <w:rPr>
                <w:rFonts w:hint="default" w:ascii="宋体" w:hAnsi="宋体" w:eastAsia="宋体" w:cs="宋体"/>
                <w:kern w:val="0"/>
                <w:sz w:val="21"/>
                <w:szCs w:val="21"/>
                <w:lang w:val="en-US" w:eastAsia="zh-CN" w:bidi="ar-SA"/>
              </w:rPr>
              <w:t>1</w:t>
            </w:r>
            <w:r>
              <w:rPr>
                <w:rFonts w:hint="eastAsia" w:ascii="宋体" w:hAnsi="宋体" w:eastAsia="宋体" w:cs="宋体"/>
                <w:kern w:val="0"/>
                <w:sz w:val="21"/>
                <w:szCs w:val="21"/>
                <w:lang w:val="en-US" w:eastAsia="zh-CN" w:bidi="ar-SA"/>
              </w:rPr>
              <w:t>）</w:t>
            </w:r>
            <w:r>
              <w:rPr>
                <w:rFonts w:hint="eastAsia" w:ascii="宋体" w:hAnsi="宋体" w:eastAsia="宋体" w:cs="宋体"/>
                <w:sz w:val="21"/>
                <w:szCs w:val="21"/>
              </w:rPr>
              <w:t>厂区雨水排水管、沟应与厂外排雨水系统相衔接，场地雨水不得任意排至厂外；</w:t>
            </w:r>
            <w:r>
              <w:rPr>
                <w:rFonts w:hint="eastAsia" w:ascii="宋体" w:hAnsi="宋体" w:eastAsia="宋体" w:cs="宋体"/>
                <w:sz w:val="21"/>
                <w:szCs w:val="21"/>
                <w:lang w:eastAsia="zh-CN"/>
              </w:rPr>
              <w:t>（</w:t>
            </w:r>
            <w:r>
              <w:rPr>
                <w:rFonts w:hint="default" w:ascii="宋体" w:hAnsi="宋体" w:eastAsia="宋体" w:cs="宋体"/>
                <w:kern w:val="0"/>
                <w:sz w:val="21"/>
                <w:szCs w:val="21"/>
                <w:lang w:val="en-US" w:eastAsia="zh-CN" w:bidi="ar-SA"/>
              </w:rPr>
              <w:t>2</w:t>
            </w:r>
            <w:r>
              <w:rPr>
                <w:rFonts w:hint="eastAsia" w:ascii="宋体" w:hAnsi="宋体" w:eastAsia="宋体" w:cs="宋体"/>
                <w:kern w:val="0"/>
                <w:sz w:val="21"/>
                <w:szCs w:val="21"/>
                <w:lang w:val="en-US" w:eastAsia="zh-CN" w:bidi="ar-SA"/>
              </w:rPr>
              <w:t>）</w:t>
            </w:r>
            <w:r>
              <w:rPr>
                <w:rFonts w:hint="eastAsia" w:ascii="宋体" w:hAnsi="宋体" w:eastAsia="宋体" w:cs="宋体"/>
                <w:sz w:val="21"/>
                <w:szCs w:val="21"/>
              </w:rPr>
              <w:t>有条件的工业企业应建立雨水收集系统，应对收集的雨水充分利用；</w:t>
            </w:r>
            <w:r>
              <w:rPr>
                <w:rFonts w:hint="eastAsia" w:ascii="宋体" w:hAnsi="宋体" w:eastAsia="宋体" w:cs="宋体"/>
                <w:sz w:val="21"/>
                <w:szCs w:val="21"/>
                <w:lang w:eastAsia="zh-CN"/>
              </w:rPr>
              <w:t>（</w:t>
            </w:r>
            <w:r>
              <w:rPr>
                <w:rFonts w:hint="default" w:ascii="宋体" w:hAnsi="宋体" w:eastAsia="宋体" w:cs="宋体"/>
                <w:kern w:val="0"/>
                <w:sz w:val="21"/>
                <w:szCs w:val="21"/>
                <w:lang w:val="en-US" w:eastAsia="zh-CN" w:bidi="ar-SA"/>
              </w:rPr>
              <w:t>3</w:t>
            </w:r>
            <w:r>
              <w:rPr>
                <w:rFonts w:hint="eastAsia" w:ascii="宋体" w:hAnsi="宋体" w:eastAsia="宋体" w:cs="宋体"/>
                <w:kern w:val="0"/>
                <w:sz w:val="21"/>
                <w:szCs w:val="21"/>
                <w:lang w:val="en-US" w:eastAsia="zh-CN" w:bidi="ar-SA"/>
              </w:rPr>
              <w:t>）</w:t>
            </w:r>
            <w:r>
              <w:rPr>
                <w:rFonts w:hint="eastAsia" w:ascii="宋体" w:hAnsi="宋体" w:eastAsia="宋体" w:cs="宋体"/>
                <w:sz w:val="21"/>
                <w:szCs w:val="21"/>
              </w:rPr>
              <w:t>厂区雨水宜采用暗管排水。</w:t>
            </w:r>
          </w:p>
        </w:tc>
        <w:tc>
          <w:tcPr>
            <w:tcW w:w="1253" w:type="pct"/>
            <w:tcBorders>
              <w:tl2br w:val="nil"/>
              <w:tr2bl w:val="nil"/>
            </w:tcBorders>
            <w:noWrap w:val="0"/>
            <w:vAlign w:val="center"/>
          </w:tcPr>
          <w:p w14:paraId="6CEDE1C5">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《工业企业总平面设计规范》</w:t>
            </w:r>
          </w:p>
          <w:p w14:paraId="02B482B5">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（GB50187-2012）</w:t>
            </w:r>
          </w:p>
          <w:p w14:paraId="52C3C0EE">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第7.4.1条</w:t>
            </w:r>
          </w:p>
        </w:tc>
        <w:tc>
          <w:tcPr>
            <w:tcW w:w="1176" w:type="pct"/>
            <w:tcBorders>
              <w:tl2br w:val="nil"/>
              <w:tr2bl w:val="nil"/>
            </w:tcBorders>
            <w:noWrap w:val="0"/>
            <w:vAlign w:val="center"/>
          </w:tcPr>
          <w:p w14:paraId="6E7321E9">
            <w:pPr>
              <w:pStyle w:val="83"/>
              <w:keepNext w:val="0"/>
              <w:keepLines w:val="0"/>
              <w:pageBreakBefore w:val="0"/>
              <w:widowControl w:val="0"/>
              <w:suppressLineNumbers w:val="0"/>
              <w:kinsoku/>
              <w:wordWrap/>
              <w:bidi w:val="0"/>
              <w:spacing w:beforeAutospacing="0" w:afterAutospacing="0"/>
              <w:ind w:left="0" w:right="0" w:firstLine="0" w:firstLineChars="0"/>
              <w:rPr>
                <w:rFonts w:hint="default" w:ascii="宋体" w:hAnsi="宋体" w:eastAsia="宋体" w:cs="宋体"/>
                <w:sz w:val="21"/>
                <w:szCs w:val="21"/>
                <w:lang w:val="en-US" w:eastAsia="zh-CN"/>
              </w:rPr>
            </w:pPr>
            <w:r>
              <w:rPr>
                <w:rFonts w:hint="eastAsia" w:ascii="宋体" w:hAnsi="宋体" w:eastAsia="宋体" w:cs="宋体"/>
                <w:sz w:val="21"/>
                <w:szCs w:val="21"/>
                <w:lang w:eastAsia="zh-CN"/>
              </w:rPr>
              <w:t>本</w:t>
            </w:r>
            <w:r>
              <w:rPr>
                <w:rFonts w:hint="eastAsia" w:ascii="宋体" w:hAnsi="宋体" w:eastAsia="宋体" w:cs="宋体"/>
                <w:sz w:val="21"/>
                <w:szCs w:val="21"/>
              </w:rPr>
              <w:t>项目雨水经初期雨水收集池</w:t>
            </w:r>
            <w:r>
              <w:rPr>
                <w:rFonts w:hint="eastAsia" w:ascii="宋体" w:hAnsi="宋体" w:eastAsia="宋体" w:cs="宋体"/>
                <w:sz w:val="21"/>
                <w:szCs w:val="21"/>
                <w:lang w:val="en-US" w:eastAsia="zh-CN"/>
              </w:rPr>
              <w:t>收集后用于绿化，不外排。</w:t>
            </w:r>
          </w:p>
        </w:tc>
        <w:tc>
          <w:tcPr>
            <w:tcW w:w="394" w:type="pct"/>
            <w:tcBorders>
              <w:tl2br w:val="nil"/>
              <w:tr2bl w:val="nil"/>
            </w:tcBorders>
            <w:noWrap w:val="0"/>
            <w:vAlign w:val="center"/>
          </w:tcPr>
          <w:p w14:paraId="6913543D">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bl>
    <w:p w14:paraId="4EC864AE">
      <w:pPr>
        <w:keepNext w:val="0"/>
        <w:keepLines w:val="0"/>
        <w:pageBreakBefore w:val="0"/>
        <w:widowControl w:val="0"/>
        <w:kinsoku/>
        <w:wordWrap/>
        <w:topLinePunct/>
        <w:bidi w:val="0"/>
        <w:ind w:firstLine="560"/>
        <w:rPr>
          <w:rFonts w:hint="eastAsia"/>
          <w:lang w:val="en-US" w:eastAsia="zh-CN"/>
        </w:rPr>
      </w:pPr>
      <w:r>
        <w:rPr>
          <w:rFonts w:hint="eastAsia"/>
          <w:szCs w:val="28"/>
        </w:rPr>
        <w:t>由以上检查表可知，给排水</w:t>
      </w:r>
      <w:r>
        <w:rPr>
          <w:rFonts w:hint="eastAsia"/>
          <w:szCs w:val="28"/>
          <w:lang w:eastAsia="zh-CN"/>
        </w:rPr>
        <w:t>系统</w:t>
      </w:r>
      <w:r>
        <w:rPr>
          <w:rFonts w:hint="eastAsia"/>
          <w:szCs w:val="28"/>
        </w:rPr>
        <w:t>符合</w:t>
      </w:r>
      <w:r>
        <w:rPr>
          <w:rFonts w:hint="eastAsia"/>
          <w:szCs w:val="28"/>
          <w:lang w:eastAsia="zh-CN"/>
        </w:rPr>
        <w:t>《</w:t>
      </w:r>
      <w:r>
        <w:rPr>
          <w:rFonts w:hint="eastAsia"/>
          <w:szCs w:val="28"/>
        </w:rPr>
        <w:t>建筑给水排水设计标准》（GB50015-2019）、《工业企业总平面设计规范》（</w:t>
      </w:r>
      <w:r>
        <w:rPr>
          <w:szCs w:val="28"/>
        </w:rPr>
        <w:t>GB50187-2012</w:t>
      </w:r>
      <w:r>
        <w:rPr>
          <w:rFonts w:hint="eastAsia"/>
          <w:szCs w:val="28"/>
        </w:rPr>
        <w:t>）等规范的要求</w:t>
      </w:r>
      <w:r>
        <w:rPr>
          <w:rFonts w:hint="eastAsia"/>
        </w:rPr>
        <w:t>。</w:t>
      </w:r>
    </w:p>
    <w:p w14:paraId="2F34FC17">
      <w:pPr>
        <w:pStyle w:val="5"/>
        <w:keepNext w:val="0"/>
        <w:keepLines w:val="0"/>
        <w:pageBreakBefore w:val="0"/>
        <w:widowControl w:val="0"/>
        <w:kinsoku/>
        <w:bidi w:val="0"/>
        <w:rPr>
          <w:rFonts w:hint="eastAsia"/>
        </w:rPr>
      </w:pPr>
      <w:bookmarkStart w:id="1012" w:name="_Toc22557"/>
      <w:bookmarkStart w:id="1013" w:name="_Toc325717202"/>
      <w:bookmarkStart w:id="1014" w:name="_Toc9681"/>
      <w:bookmarkStart w:id="1015" w:name="_Toc216147386"/>
      <w:bookmarkStart w:id="1016" w:name="_Toc500007174"/>
      <w:bookmarkStart w:id="1017" w:name="_Toc8725"/>
      <w:bookmarkStart w:id="1018" w:name="_Toc55945311"/>
      <w:bookmarkStart w:id="1019" w:name="_Toc60925420"/>
      <w:bookmarkStart w:id="1020" w:name="_Toc498519836"/>
      <w:bookmarkStart w:id="1021" w:name="_Toc498299367"/>
      <w:bookmarkStart w:id="1022" w:name="_Toc46697248"/>
      <w:r>
        <w:rPr>
          <w:rFonts w:hint="eastAsia"/>
        </w:rPr>
        <w:t>消防系统</w:t>
      </w:r>
    </w:p>
    <w:p w14:paraId="4957388D">
      <w:pPr>
        <w:keepNext w:val="0"/>
        <w:keepLines w:val="0"/>
        <w:pageBreakBefore w:val="0"/>
        <w:widowControl w:val="0"/>
        <w:kinsoku/>
        <w:bidi w:val="0"/>
        <w:rPr>
          <w:rFonts w:hint="eastAsia" w:cs="Times New Roman"/>
          <w:lang w:val="en-US" w:eastAsia="zh-CN"/>
        </w:rPr>
      </w:pPr>
      <w:r>
        <w:rPr>
          <w:rFonts w:hint="eastAsia" w:cs="Times New Roman"/>
          <w:lang w:val="en-US" w:eastAsia="zh-CN"/>
        </w:rPr>
        <w:t>依据</w:t>
      </w:r>
      <w:r>
        <w:rPr>
          <w:rFonts w:hint="eastAsia" w:cs="Times New Roman"/>
          <w:lang w:eastAsia="zh-CN"/>
        </w:rPr>
        <w:t>《中华人民共和国消防法》《建筑设计防火规范（2018年版）》（GB 50016-2014）、</w:t>
      </w:r>
      <w:r>
        <w:rPr>
          <w:rFonts w:hint="eastAsia" w:cs="Times New Roman"/>
          <w:lang w:val="en-US" w:eastAsia="zh-CN"/>
        </w:rPr>
        <w:t>《建筑灭火器配置设计规范》（GB50140-2005）</w:t>
      </w:r>
    </w:p>
    <w:p w14:paraId="43928615">
      <w:pPr>
        <w:keepNext w:val="0"/>
        <w:keepLines w:val="0"/>
        <w:pageBreakBefore w:val="0"/>
        <w:widowControl w:val="0"/>
        <w:kinsoku/>
        <w:bidi w:val="0"/>
        <w:ind w:left="0" w:leftChars="0" w:firstLine="0" w:firstLineChars="0"/>
        <w:rPr>
          <w:rFonts w:hint="eastAsia" w:cs="Times New Roman"/>
        </w:rPr>
      </w:pPr>
      <w:r>
        <w:rPr>
          <w:rFonts w:hint="eastAsia" w:cs="Times New Roman"/>
        </w:rPr>
        <w:t>对消防系统采用安全检查表</w:t>
      </w:r>
      <w:r>
        <w:rPr>
          <w:rFonts w:hint="eastAsia" w:cs="Times New Roman"/>
          <w:lang w:val="en-US" w:eastAsia="zh-CN"/>
        </w:rPr>
        <w:t>进行评价</w:t>
      </w:r>
      <w:r>
        <w:rPr>
          <w:rFonts w:hint="eastAsia" w:cs="Times New Roman"/>
        </w:rPr>
        <w:t>。</w:t>
      </w:r>
    </w:p>
    <w:p w14:paraId="1C9EA3AE">
      <w:pPr>
        <w:pStyle w:val="12"/>
        <w:keepNext w:val="0"/>
        <w:keepLines w:val="0"/>
        <w:pageBreakBefore w:val="0"/>
        <w:widowControl w:val="0"/>
        <w:kinsoku/>
        <w:wordWrap/>
        <w:bidi w:val="0"/>
        <w:rPr>
          <w:rFonts w:hint="eastAsia"/>
          <w:lang w:val="en-US" w:eastAsia="zh-CN"/>
        </w:rPr>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7</w:t>
      </w:r>
      <w:r>
        <w:rPr>
          <w:rFonts w:hint="eastAsia"/>
          <w:lang w:val="en-US" w:eastAsia="zh-CN"/>
        </w:rPr>
        <w:fldChar w:fldCharType="end"/>
      </w:r>
      <w:r>
        <w:rPr>
          <w:rFonts w:hint="eastAsia"/>
          <w:lang w:val="en-US" w:eastAsia="zh-CN"/>
        </w:rPr>
        <w:t>消防系统安全检查表</w:t>
      </w:r>
    </w:p>
    <w:tbl>
      <w:tblPr>
        <w:tblStyle w:val="32"/>
        <w:tblW w:w="510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3669"/>
        <w:gridCol w:w="2137"/>
        <w:gridCol w:w="1774"/>
        <w:gridCol w:w="697"/>
      </w:tblGrid>
      <w:tr w14:paraId="5EDEB0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10" w:hRule="atLeast"/>
          <w:jc w:val="center"/>
        </w:trPr>
        <w:tc>
          <w:tcPr>
            <w:tcW w:w="245" w:type="pct"/>
            <w:tcBorders>
              <w:tl2br w:val="nil"/>
              <w:tr2bl w:val="nil"/>
            </w:tcBorders>
            <w:noWrap w:val="0"/>
            <w:vAlign w:val="center"/>
          </w:tcPr>
          <w:p w14:paraId="47DFACC1">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textAlignment w:val="auto"/>
              <w:rPr>
                <w:rFonts w:hint="eastAsia" w:ascii="宋体" w:hAnsi="宋体"/>
                <w:b/>
                <w:bCs/>
                <w:color w:val="000000"/>
                <w:sz w:val="21"/>
                <w:szCs w:val="21"/>
              </w:rPr>
            </w:pPr>
            <w:r>
              <w:rPr>
                <w:rFonts w:hint="eastAsia" w:ascii="宋体" w:hAnsi="宋体"/>
                <w:b/>
                <w:bCs/>
                <w:color w:val="000000"/>
                <w:sz w:val="21"/>
                <w:szCs w:val="21"/>
              </w:rPr>
              <w:t>序号</w:t>
            </w:r>
          </w:p>
        </w:tc>
        <w:tc>
          <w:tcPr>
            <w:tcW w:w="2107" w:type="pct"/>
            <w:tcBorders>
              <w:tl2br w:val="nil"/>
              <w:tr2bl w:val="nil"/>
            </w:tcBorders>
            <w:noWrap w:val="0"/>
            <w:vAlign w:val="center"/>
          </w:tcPr>
          <w:p w14:paraId="2F059E08">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textAlignment w:val="auto"/>
              <w:rPr>
                <w:rFonts w:hint="eastAsia" w:ascii="宋体" w:hAnsi="宋体"/>
                <w:b/>
                <w:bCs/>
                <w:color w:val="000000"/>
                <w:sz w:val="21"/>
                <w:szCs w:val="21"/>
              </w:rPr>
            </w:pPr>
            <w:r>
              <w:rPr>
                <w:rFonts w:hint="eastAsia" w:ascii="宋体" w:hAnsi="宋体"/>
                <w:b/>
                <w:bCs/>
                <w:color w:val="000000"/>
                <w:sz w:val="21"/>
                <w:szCs w:val="21"/>
              </w:rPr>
              <w:t>检查内容及项目</w:t>
            </w:r>
          </w:p>
        </w:tc>
        <w:tc>
          <w:tcPr>
            <w:tcW w:w="1227" w:type="pct"/>
            <w:tcBorders>
              <w:tl2br w:val="nil"/>
              <w:tr2bl w:val="nil"/>
            </w:tcBorders>
            <w:noWrap w:val="0"/>
            <w:vAlign w:val="center"/>
          </w:tcPr>
          <w:p w14:paraId="0E0F4478">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66" w:firstLine="0" w:firstLineChars="0"/>
              <w:jc w:val="center"/>
              <w:textAlignment w:val="auto"/>
              <w:rPr>
                <w:rFonts w:hint="eastAsia" w:ascii="宋体" w:hAnsi="宋体"/>
                <w:b/>
                <w:bCs/>
                <w:color w:val="000000"/>
                <w:sz w:val="21"/>
                <w:szCs w:val="21"/>
              </w:rPr>
            </w:pPr>
            <w:r>
              <w:rPr>
                <w:rFonts w:hint="eastAsia" w:ascii="宋体" w:hAnsi="宋体"/>
                <w:b/>
                <w:bCs/>
                <w:color w:val="000000"/>
                <w:sz w:val="21"/>
                <w:szCs w:val="21"/>
              </w:rPr>
              <w:t>检查依据</w:t>
            </w:r>
          </w:p>
        </w:tc>
        <w:tc>
          <w:tcPr>
            <w:tcW w:w="1019" w:type="pct"/>
            <w:tcBorders>
              <w:tl2br w:val="nil"/>
              <w:tr2bl w:val="nil"/>
            </w:tcBorders>
            <w:noWrap w:val="0"/>
            <w:vAlign w:val="center"/>
          </w:tcPr>
          <w:p w14:paraId="165FD1CB">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auto"/>
              <w:rPr>
                <w:rFonts w:hint="eastAsia" w:ascii="宋体" w:hAnsi="宋体" w:cs="Times New Roman"/>
                <w:b/>
                <w:bCs/>
                <w:color w:val="000000"/>
                <w:kern w:val="0"/>
                <w:sz w:val="21"/>
                <w:szCs w:val="21"/>
              </w:rPr>
            </w:pPr>
            <w:r>
              <w:rPr>
                <w:rFonts w:hint="eastAsia" w:ascii="宋体" w:hAnsi="宋体" w:cs="Times New Roman"/>
                <w:b/>
                <w:bCs/>
                <w:color w:val="000000"/>
                <w:kern w:val="0"/>
                <w:sz w:val="21"/>
                <w:szCs w:val="21"/>
              </w:rPr>
              <w:t>检查记录</w:t>
            </w:r>
          </w:p>
        </w:tc>
        <w:tc>
          <w:tcPr>
            <w:tcW w:w="400" w:type="pct"/>
            <w:tcBorders>
              <w:tl2br w:val="nil"/>
              <w:tr2bl w:val="nil"/>
            </w:tcBorders>
            <w:noWrap w:val="0"/>
            <w:vAlign w:val="center"/>
          </w:tcPr>
          <w:p w14:paraId="6B51948D">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center"/>
              <w:textAlignment w:val="auto"/>
              <w:rPr>
                <w:rFonts w:hint="eastAsia" w:ascii="宋体" w:hAnsi="宋体"/>
                <w:b/>
                <w:bCs/>
                <w:color w:val="000000"/>
                <w:sz w:val="21"/>
                <w:szCs w:val="21"/>
              </w:rPr>
            </w:pPr>
            <w:r>
              <w:rPr>
                <w:rFonts w:hint="eastAsia" w:ascii="宋体" w:hAnsi="宋体" w:eastAsia="宋体" w:cs="宋体"/>
                <w:b/>
                <w:snapToGrid w:val="0"/>
                <w:kern w:val="0"/>
                <w:sz w:val="21"/>
                <w:szCs w:val="21"/>
              </w:rPr>
              <w:t>结论</w:t>
            </w:r>
          </w:p>
        </w:tc>
      </w:tr>
      <w:tr w14:paraId="61533E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5" w:type="pct"/>
            <w:tcBorders>
              <w:tl2br w:val="nil"/>
              <w:tr2bl w:val="nil"/>
            </w:tcBorders>
            <w:noWrap w:val="0"/>
            <w:vAlign w:val="center"/>
          </w:tcPr>
          <w:p w14:paraId="03742833">
            <w:pPr>
              <w:keepNext w:val="0"/>
              <w:keepLines w:val="0"/>
              <w:pageBreakBefore w:val="0"/>
              <w:widowControl w:val="0"/>
              <w:numPr>
                <w:ilvl w:val="0"/>
                <w:numId w:val="117"/>
              </w:numPr>
              <w:suppressLineNumbers w:val="0"/>
              <w:kinsoku/>
              <w:wordWrap/>
              <w:bidi w:val="0"/>
              <w:spacing w:before="0" w:beforeAutospacing="0" w:after="0" w:afterAutospacing="0"/>
              <w:ind w:left="0" w:leftChars="0" w:right="0" w:rightChars="0" w:firstLine="0" w:firstLineChars="0"/>
              <w:jc w:val="center"/>
              <w:rPr>
                <w:rFonts w:hint="eastAsia" w:ascii="宋体" w:hAnsi="宋体"/>
                <w:color w:val="000000"/>
                <w:sz w:val="21"/>
                <w:szCs w:val="21"/>
              </w:rPr>
            </w:pPr>
          </w:p>
        </w:tc>
        <w:tc>
          <w:tcPr>
            <w:tcW w:w="2107" w:type="pct"/>
            <w:tcBorders>
              <w:tl2br w:val="nil"/>
              <w:tr2bl w:val="nil"/>
            </w:tcBorders>
            <w:noWrap w:val="0"/>
            <w:vAlign w:val="center"/>
          </w:tcPr>
          <w:p w14:paraId="305B17ED">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机关、团体、企业、事业等单位应当履行下列消防安全职责：</w:t>
            </w:r>
          </w:p>
          <w:p w14:paraId="2D652262">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cs="Times New Roman"/>
                <w:color w:val="000000"/>
                <w:kern w:val="0"/>
                <w:sz w:val="21"/>
                <w:szCs w:val="21"/>
                <w:lang w:val="en-US" w:eastAsia="zh-CN"/>
              </w:rPr>
              <w:t>（</w:t>
            </w:r>
            <w:r>
              <w:rPr>
                <w:rFonts w:hint="default" w:ascii="宋体" w:hAnsi="宋体" w:cs="Times New Roman"/>
                <w:color w:val="000000"/>
                <w:kern w:val="0"/>
                <w:sz w:val="21"/>
                <w:szCs w:val="21"/>
                <w:lang w:val="en-US" w:eastAsia="zh-CN"/>
              </w:rPr>
              <w:t>1</w:t>
            </w:r>
            <w:r>
              <w:rPr>
                <w:rFonts w:hint="eastAsia" w:cs="Times New Roman"/>
                <w:color w:val="000000"/>
                <w:kern w:val="0"/>
                <w:sz w:val="21"/>
                <w:szCs w:val="21"/>
                <w:lang w:val="en-US" w:eastAsia="zh-CN"/>
              </w:rPr>
              <w:t>）</w:t>
            </w:r>
            <w:r>
              <w:rPr>
                <w:rFonts w:hint="eastAsia" w:ascii="宋体" w:hAnsi="宋体" w:cs="Times New Roman"/>
                <w:color w:val="000000"/>
                <w:kern w:val="0"/>
                <w:sz w:val="21"/>
                <w:szCs w:val="21"/>
              </w:rPr>
              <w:t>落实消防安全责任制，制定本单位的消防安全制度、消防安全操作规程，制定灭火和应急疏散预案；</w:t>
            </w:r>
          </w:p>
          <w:p w14:paraId="7D391394">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cs="Times New Roman"/>
                <w:color w:val="000000"/>
                <w:kern w:val="0"/>
                <w:sz w:val="21"/>
                <w:szCs w:val="21"/>
                <w:lang w:val="en-US" w:eastAsia="zh-CN"/>
              </w:rPr>
              <w:t>（</w:t>
            </w:r>
            <w:r>
              <w:rPr>
                <w:rFonts w:hint="default" w:ascii="宋体" w:hAnsi="宋体" w:cs="Times New Roman"/>
                <w:color w:val="000000"/>
                <w:kern w:val="0"/>
                <w:sz w:val="21"/>
                <w:szCs w:val="21"/>
                <w:lang w:val="en-US" w:eastAsia="zh-CN"/>
              </w:rPr>
              <w:t>2</w:t>
            </w:r>
            <w:r>
              <w:rPr>
                <w:rFonts w:hint="eastAsia" w:cs="Times New Roman"/>
                <w:color w:val="000000"/>
                <w:kern w:val="0"/>
                <w:sz w:val="21"/>
                <w:szCs w:val="21"/>
                <w:lang w:val="en-US" w:eastAsia="zh-CN"/>
              </w:rPr>
              <w:t>）</w:t>
            </w:r>
            <w:r>
              <w:rPr>
                <w:rFonts w:hint="eastAsia" w:ascii="宋体" w:hAnsi="宋体" w:cs="Times New Roman"/>
                <w:color w:val="000000"/>
                <w:kern w:val="0"/>
                <w:sz w:val="21"/>
                <w:szCs w:val="21"/>
              </w:rPr>
              <w:t>按照国家标准、行业标准配置消防设施、器材，设置消防安全标志，并定期组织检验、维修，确保完好有效；</w:t>
            </w:r>
          </w:p>
          <w:p w14:paraId="6E2D40E9">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cs="Times New Roman"/>
                <w:color w:val="000000"/>
                <w:kern w:val="0"/>
                <w:sz w:val="21"/>
                <w:szCs w:val="21"/>
                <w:lang w:val="en-US" w:eastAsia="zh-CN"/>
              </w:rPr>
              <w:t>（</w:t>
            </w:r>
            <w:r>
              <w:rPr>
                <w:rFonts w:hint="default" w:ascii="宋体" w:hAnsi="宋体" w:cs="Times New Roman"/>
                <w:color w:val="000000"/>
                <w:kern w:val="0"/>
                <w:sz w:val="21"/>
                <w:szCs w:val="21"/>
                <w:lang w:val="en-US" w:eastAsia="zh-CN"/>
              </w:rPr>
              <w:t>3</w:t>
            </w:r>
            <w:r>
              <w:rPr>
                <w:rFonts w:hint="eastAsia" w:cs="Times New Roman"/>
                <w:color w:val="000000"/>
                <w:kern w:val="0"/>
                <w:sz w:val="21"/>
                <w:szCs w:val="21"/>
                <w:lang w:val="en-US" w:eastAsia="zh-CN"/>
              </w:rPr>
              <w:t>）</w:t>
            </w:r>
            <w:r>
              <w:rPr>
                <w:rFonts w:hint="eastAsia" w:ascii="宋体" w:hAnsi="宋体" w:cs="Times New Roman"/>
                <w:color w:val="000000"/>
                <w:kern w:val="0"/>
                <w:sz w:val="21"/>
                <w:szCs w:val="21"/>
              </w:rPr>
              <w:t>对建筑消防设施每年至少进行一次全面检测，确保完好有效，检测记录应当完整准确，存档备查；</w:t>
            </w:r>
          </w:p>
          <w:p w14:paraId="133C7CA1">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cs="Times New Roman"/>
                <w:color w:val="000000"/>
                <w:kern w:val="0"/>
                <w:sz w:val="21"/>
                <w:szCs w:val="21"/>
                <w:lang w:val="en-US" w:eastAsia="zh-CN"/>
              </w:rPr>
              <w:t>（</w:t>
            </w:r>
            <w:r>
              <w:rPr>
                <w:rFonts w:hint="default" w:ascii="宋体" w:hAnsi="宋体" w:cs="Times New Roman"/>
                <w:color w:val="000000"/>
                <w:kern w:val="0"/>
                <w:sz w:val="21"/>
                <w:szCs w:val="21"/>
                <w:lang w:val="en-US" w:eastAsia="zh-CN"/>
              </w:rPr>
              <w:t>4</w:t>
            </w:r>
            <w:r>
              <w:rPr>
                <w:rFonts w:hint="eastAsia" w:cs="Times New Roman"/>
                <w:color w:val="000000"/>
                <w:kern w:val="0"/>
                <w:sz w:val="21"/>
                <w:szCs w:val="21"/>
                <w:lang w:val="en-US" w:eastAsia="zh-CN"/>
              </w:rPr>
              <w:t>）</w:t>
            </w:r>
            <w:r>
              <w:rPr>
                <w:rFonts w:hint="eastAsia" w:ascii="宋体" w:hAnsi="宋体" w:cs="Times New Roman"/>
                <w:color w:val="000000"/>
                <w:kern w:val="0"/>
                <w:sz w:val="21"/>
                <w:szCs w:val="21"/>
              </w:rPr>
              <w:t>保障疏散通道、安全出口、消防车通道畅通，保证防火防烟分区、防火间距符合消防技术标准；</w:t>
            </w:r>
          </w:p>
          <w:p w14:paraId="721740AA">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cs="Times New Roman"/>
                <w:color w:val="000000"/>
                <w:kern w:val="0"/>
                <w:sz w:val="21"/>
                <w:szCs w:val="21"/>
                <w:lang w:val="en-US" w:eastAsia="zh-CN"/>
              </w:rPr>
              <w:t>（</w:t>
            </w:r>
            <w:r>
              <w:rPr>
                <w:rFonts w:hint="default" w:ascii="宋体" w:hAnsi="宋体" w:cs="Times New Roman"/>
                <w:color w:val="000000"/>
                <w:kern w:val="0"/>
                <w:sz w:val="21"/>
                <w:szCs w:val="21"/>
                <w:lang w:val="en-US" w:eastAsia="zh-CN"/>
              </w:rPr>
              <w:t>5</w:t>
            </w:r>
            <w:r>
              <w:rPr>
                <w:rFonts w:hint="eastAsia" w:cs="Times New Roman"/>
                <w:color w:val="000000"/>
                <w:kern w:val="0"/>
                <w:sz w:val="21"/>
                <w:szCs w:val="21"/>
                <w:lang w:val="en-US" w:eastAsia="zh-CN"/>
              </w:rPr>
              <w:t>）</w:t>
            </w:r>
            <w:r>
              <w:rPr>
                <w:rFonts w:hint="eastAsia" w:ascii="宋体" w:hAnsi="宋体" w:cs="Times New Roman"/>
                <w:color w:val="000000"/>
                <w:kern w:val="0"/>
                <w:sz w:val="21"/>
                <w:szCs w:val="21"/>
              </w:rPr>
              <w:t>组织防火检查，及时消除火灾隐患；</w:t>
            </w:r>
          </w:p>
          <w:p w14:paraId="2BBCADD9">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cs="Times New Roman"/>
                <w:color w:val="000000"/>
                <w:kern w:val="0"/>
                <w:sz w:val="21"/>
                <w:szCs w:val="21"/>
                <w:lang w:val="en-US" w:eastAsia="zh-CN"/>
              </w:rPr>
              <w:t>（</w:t>
            </w:r>
            <w:r>
              <w:rPr>
                <w:rFonts w:hint="default" w:ascii="宋体" w:hAnsi="宋体" w:cs="Times New Roman"/>
                <w:color w:val="000000"/>
                <w:kern w:val="0"/>
                <w:sz w:val="21"/>
                <w:szCs w:val="21"/>
                <w:lang w:val="en-US" w:eastAsia="zh-CN"/>
              </w:rPr>
              <w:t>6</w:t>
            </w:r>
            <w:r>
              <w:rPr>
                <w:rFonts w:hint="eastAsia" w:cs="Times New Roman"/>
                <w:color w:val="000000"/>
                <w:kern w:val="0"/>
                <w:sz w:val="21"/>
                <w:szCs w:val="21"/>
                <w:lang w:val="en-US" w:eastAsia="zh-CN"/>
              </w:rPr>
              <w:t>）</w:t>
            </w:r>
            <w:r>
              <w:rPr>
                <w:rFonts w:hint="eastAsia" w:ascii="宋体" w:hAnsi="宋体" w:cs="Times New Roman"/>
                <w:color w:val="000000"/>
                <w:kern w:val="0"/>
                <w:sz w:val="21"/>
                <w:szCs w:val="21"/>
              </w:rPr>
              <w:t>组织进行有针对性的消防演练；</w:t>
            </w:r>
          </w:p>
          <w:p w14:paraId="34453FB9">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cs="Times New Roman"/>
                <w:color w:val="000000"/>
                <w:kern w:val="0"/>
                <w:sz w:val="21"/>
                <w:szCs w:val="21"/>
                <w:lang w:val="en-US" w:eastAsia="zh-CN"/>
              </w:rPr>
              <w:t>（</w:t>
            </w:r>
            <w:r>
              <w:rPr>
                <w:rFonts w:hint="default" w:ascii="宋体" w:hAnsi="宋体" w:cs="Times New Roman"/>
                <w:color w:val="000000"/>
                <w:kern w:val="0"/>
                <w:sz w:val="21"/>
                <w:szCs w:val="21"/>
                <w:lang w:val="en-US" w:eastAsia="zh-CN"/>
              </w:rPr>
              <w:t>7</w:t>
            </w:r>
            <w:r>
              <w:rPr>
                <w:rFonts w:hint="eastAsia" w:cs="Times New Roman"/>
                <w:color w:val="000000"/>
                <w:kern w:val="0"/>
                <w:sz w:val="21"/>
                <w:szCs w:val="21"/>
                <w:lang w:val="en-US" w:eastAsia="zh-CN"/>
              </w:rPr>
              <w:t>）</w:t>
            </w:r>
            <w:r>
              <w:rPr>
                <w:rFonts w:hint="eastAsia" w:ascii="宋体" w:hAnsi="宋体" w:cs="Times New Roman"/>
                <w:color w:val="000000"/>
                <w:kern w:val="0"/>
                <w:sz w:val="21"/>
                <w:szCs w:val="21"/>
                <w:lang w:eastAsia="zh-CN"/>
              </w:rPr>
              <w:t>法律法规</w:t>
            </w:r>
            <w:r>
              <w:rPr>
                <w:rFonts w:hint="eastAsia" w:ascii="宋体" w:hAnsi="宋体" w:cs="Times New Roman"/>
                <w:color w:val="000000"/>
                <w:kern w:val="0"/>
                <w:sz w:val="21"/>
                <w:szCs w:val="21"/>
              </w:rPr>
              <w:t>规定的其他消防安全职责。</w:t>
            </w:r>
          </w:p>
          <w:p w14:paraId="2D3A9894">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cs="Times New Roman"/>
                <w:color w:val="000000"/>
                <w:kern w:val="0"/>
                <w:sz w:val="21"/>
                <w:szCs w:val="21"/>
                <w:lang w:val="en-US" w:eastAsia="zh-CN"/>
              </w:rPr>
              <w:t>（</w:t>
            </w:r>
            <w:r>
              <w:rPr>
                <w:rFonts w:hint="default" w:ascii="宋体" w:hAnsi="宋体" w:cs="Times New Roman"/>
                <w:color w:val="000000"/>
                <w:kern w:val="0"/>
                <w:sz w:val="21"/>
                <w:szCs w:val="21"/>
                <w:lang w:val="en-US" w:eastAsia="zh-CN"/>
              </w:rPr>
              <w:t>8</w:t>
            </w:r>
            <w:r>
              <w:rPr>
                <w:rFonts w:hint="eastAsia" w:cs="Times New Roman"/>
                <w:color w:val="000000"/>
                <w:kern w:val="0"/>
                <w:sz w:val="21"/>
                <w:szCs w:val="21"/>
                <w:lang w:val="en-US" w:eastAsia="zh-CN"/>
              </w:rPr>
              <w:t>）</w:t>
            </w:r>
            <w:r>
              <w:rPr>
                <w:rFonts w:hint="eastAsia" w:ascii="宋体" w:hAnsi="宋体" w:cs="Times New Roman"/>
                <w:color w:val="000000"/>
                <w:kern w:val="0"/>
                <w:sz w:val="21"/>
                <w:szCs w:val="21"/>
              </w:rPr>
              <w:t>单位的主要负责人是本单位的消防安全责任人。</w:t>
            </w:r>
          </w:p>
        </w:tc>
        <w:tc>
          <w:tcPr>
            <w:tcW w:w="1227" w:type="pct"/>
            <w:tcBorders>
              <w:tl2br w:val="nil"/>
              <w:tr2bl w:val="nil"/>
            </w:tcBorders>
            <w:noWrap w:val="0"/>
            <w:vAlign w:val="center"/>
          </w:tcPr>
          <w:p w14:paraId="0290637B">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both"/>
              <w:textAlignment w:val="auto"/>
              <w:rPr>
                <w:rFonts w:hint="eastAsia" w:cs="Times New Roman"/>
                <w:color w:val="000000"/>
                <w:sz w:val="21"/>
                <w:szCs w:val="21"/>
                <w:lang w:eastAsia="zh-CN"/>
              </w:rPr>
            </w:pPr>
            <w:r>
              <w:rPr>
                <w:rFonts w:hint="eastAsia" w:cs="Times New Roman"/>
                <w:color w:val="000000"/>
                <w:sz w:val="21"/>
                <w:szCs w:val="21"/>
                <w:lang w:eastAsia="zh-CN"/>
              </w:rPr>
              <w:t>《中华人民共和国消防法》第十六条</w:t>
            </w:r>
          </w:p>
        </w:tc>
        <w:tc>
          <w:tcPr>
            <w:tcW w:w="1019" w:type="pct"/>
            <w:tcBorders>
              <w:tl2br w:val="nil"/>
              <w:tr2bl w:val="nil"/>
            </w:tcBorders>
            <w:noWrap w:val="0"/>
            <w:vAlign w:val="center"/>
          </w:tcPr>
          <w:p w14:paraId="0A101E68">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企业落实消防安全责任制，制定了本单位的消防安全制度、消防安全操作规程，制定灭火和应急疏散预案；配置了消防设施、器材，设置消防安全标志，并定期组织检验、维修，确保完好有效；保障疏散通道、安全出口、消防车通道畅通，保证防火防烟分区、防火间距符合消防技术标准；组织防火检查，及时消除火灾隐患；组织进行有针对性的消防演练；单位的主要负责人是本单位的消防安全责任人。</w:t>
            </w:r>
          </w:p>
        </w:tc>
        <w:tc>
          <w:tcPr>
            <w:tcW w:w="400" w:type="pct"/>
            <w:tcBorders>
              <w:tl2br w:val="nil"/>
              <w:tr2bl w:val="nil"/>
            </w:tcBorders>
            <w:noWrap w:val="0"/>
            <w:vAlign w:val="center"/>
          </w:tcPr>
          <w:p w14:paraId="1D6FD277">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color w:val="000000"/>
                <w:sz w:val="21"/>
                <w:szCs w:val="21"/>
              </w:rPr>
            </w:pPr>
            <w:r>
              <w:rPr>
                <w:rFonts w:hint="eastAsia" w:ascii="宋体" w:hAnsi="宋体" w:eastAsia="宋体" w:cs="宋体"/>
                <w:sz w:val="21"/>
                <w:szCs w:val="21"/>
              </w:rPr>
              <w:t>符合</w:t>
            </w:r>
          </w:p>
        </w:tc>
      </w:tr>
      <w:tr w14:paraId="264A3A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5" w:type="pct"/>
            <w:tcBorders>
              <w:tl2br w:val="nil"/>
              <w:tr2bl w:val="nil"/>
            </w:tcBorders>
            <w:noWrap w:val="0"/>
            <w:vAlign w:val="center"/>
          </w:tcPr>
          <w:p w14:paraId="3E45D7FE">
            <w:pPr>
              <w:keepNext w:val="0"/>
              <w:keepLines w:val="0"/>
              <w:pageBreakBefore w:val="0"/>
              <w:widowControl w:val="0"/>
              <w:numPr>
                <w:ilvl w:val="0"/>
                <w:numId w:val="117"/>
              </w:numPr>
              <w:suppressLineNumbers w:val="0"/>
              <w:kinsoku/>
              <w:wordWrap/>
              <w:bidi w:val="0"/>
              <w:spacing w:before="0" w:beforeAutospacing="0" w:after="0" w:afterAutospacing="0"/>
              <w:ind w:left="0" w:leftChars="0" w:right="0" w:rightChars="0" w:firstLine="0" w:firstLineChars="0"/>
              <w:jc w:val="center"/>
              <w:rPr>
                <w:rFonts w:hint="eastAsia" w:ascii="宋体" w:hAnsi="宋体"/>
                <w:color w:val="000000"/>
                <w:sz w:val="21"/>
                <w:szCs w:val="21"/>
              </w:rPr>
            </w:pPr>
          </w:p>
        </w:tc>
        <w:tc>
          <w:tcPr>
            <w:tcW w:w="2107" w:type="pct"/>
            <w:tcBorders>
              <w:tl2br w:val="nil"/>
              <w:tr2bl w:val="nil"/>
            </w:tcBorders>
            <w:noWrap w:val="0"/>
            <w:vAlign w:val="center"/>
          </w:tcPr>
          <w:p w14:paraId="31FBE2E0">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生产、储存、经营易燃易爆危险品的场所不得与居住场所设置在同一建筑物内，并应当与居住场所保持安全距离。</w:t>
            </w:r>
          </w:p>
          <w:p w14:paraId="7B16CE42">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生产、储存、经营其他物品的场所与居住场所设置在同一建筑物内的，应当符合国家工程建设消防技术标准。</w:t>
            </w:r>
          </w:p>
        </w:tc>
        <w:tc>
          <w:tcPr>
            <w:tcW w:w="1227" w:type="pct"/>
            <w:tcBorders>
              <w:tl2br w:val="nil"/>
              <w:tr2bl w:val="nil"/>
            </w:tcBorders>
            <w:noWrap w:val="0"/>
            <w:vAlign w:val="center"/>
          </w:tcPr>
          <w:p w14:paraId="2CD52753">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both"/>
              <w:textAlignment w:val="auto"/>
              <w:rPr>
                <w:rFonts w:hint="eastAsia" w:cs="Times New Roman"/>
                <w:color w:val="000000"/>
                <w:sz w:val="21"/>
                <w:szCs w:val="21"/>
                <w:lang w:eastAsia="zh-CN"/>
              </w:rPr>
            </w:pPr>
            <w:r>
              <w:rPr>
                <w:rFonts w:hint="eastAsia" w:cs="Times New Roman"/>
                <w:color w:val="000000"/>
                <w:sz w:val="21"/>
                <w:szCs w:val="21"/>
                <w:lang w:eastAsia="zh-CN"/>
              </w:rPr>
              <w:t>《中华人民共和国消防法》第十九条</w:t>
            </w:r>
          </w:p>
        </w:tc>
        <w:tc>
          <w:tcPr>
            <w:tcW w:w="1019" w:type="pct"/>
            <w:tcBorders>
              <w:tl2br w:val="nil"/>
              <w:tr2bl w:val="nil"/>
            </w:tcBorders>
            <w:noWrap w:val="0"/>
            <w:vAlign w:val="center"/>
          </w:tcPr>
          <w:p w14:paraId="69F83429">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本项目生产、储存不与居住场所设置在同一建筑物内。</w:t>
            </w:r>
          </w:p>
        </w:tc>
        <w:tc>
          <w:tcPr>
            <w:tcW w:w="400" w:type="pct"/>
            <w:tcBorders>
              <w:tl2br w:val="nil"/>
              <w:tr2bl w:val="nil"/>
            </w:tcBorders>
            <w:noWrap w:val="0"/>
            <w:vAlign w:val="center"/>
          </w:tcPr>
          <w:p w14:paraId="33971B63">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color w:val="000000"/>
                <w:sz w:val="21"/>
                <w:szCs w:val="21"/>
              </w:rPr>
            </w:pPr>
            <w:r>
              <w:rPr>
                <w:rFonts w:hint="eastAsia" w:ascii="宋体" w:hAnsi="宋体" w:eastAsia="宋体" w:cs="宋体"/>
                <w:sz w:val="21"/>
                <w:szCs w:val="21"/>
              </w:rPr>
              <w:t>符合</w:t>
            </w:r>
          </w:p>
        </w:tc>
      </w:tr>
      <w:tr w14:paraId="1E63C6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5" w:type="pct"/>
            <w:tcBorders>
              <w:tl2br w:val="nil"/>
              <w:tr2bl w:val="nil"/>
            </w:tcBorders>
            <w:noWrap w:val="0"/>
            <w:vAlign w:val="center"/>
          </w:tcPr>
          <w:p w14:paraId="29B63E72">
            <w:pPr>
              <w:keepNext w:val="0"/>
              <w:keepLines w:val="0"/>
              <w:pageBreakBefore w:val="0"/>
              <w:widowControl w:val="0"/>
              <w:numPr>
                <w:ilvl w:val="0"/>
                <w:numId w:val="117"/>
              </w:numPr>
              <w:suppressLineNumbers w:val="0"/>
              <w:kinsoku/>
              <w:wordWrap/>
              <w:bidi w:val="0"/>
              <w:spacing w:before="0" w:beforeAutospacing="0" w:after="0" w:afterAutospacing="0"/>
              <w:ind w:left="0" w:leftChars="0" w:right="0" w:rightChars="0" w:firstLine="0" w:firstLineChars="0"/>
              <w:jc w:val="center"/>
              <w:rPr>
                <w:rFonts w:hint="eastAsia" w:ascii="宋体" w:hAnsi="宋体"/>
                <w:color w:val="000000"/>
                <w:sz w:val="21"/>
                <w:szCs w:val="21"/>
              </w:rPr>
            </w:pPr>
          </w:p>
        </w:tc>
        <w:tc>
          <w:tcPr>
            <w:tcW w:w="2107" w:type="pct"/>
            <w:tcBorders>
              <w:tl2br w:val="nil"/>
              <w:tr2bl w:val="nil"/>
            </w:tcBorders>
            <w:noWrap w:val="0"/>
            <w:vAlign w:val="center"/>
          </w:tcPr>
          <w:p w14:paraId="07A55860">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消防产品必须符合国家标准；没有国家标准的，必须符合行业标准。禁止生产、销售或者使用不合格的消防产品以及国家明令淘汰的消防产品。</w:t>
            </w:r>
          </w:p>
          <w:p w14:paraId="1F06FDCF">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依法实行强制性产品认证的消防产品，由具有法定资质的认证机构按照国家标准、行业标准的强制性要求认证合格后，方可生产、销售、使用。实行强制性产品认证的消防产品目录，由国务院产品质量监督部门会同国务院应急管理部门制定并公布。</w:t>
            </w:r>
          </w:p>
          <w:p w14:paraId="7D7D3D42">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新研制的尚未制定国家标准、行业标准的消防产品，应当按照国务院产品质量监督部门会同国务院应急管理部门规定的办法，经技术鉴定符合消防安全要求的，方可生产、销售、使用。依照本条规定经强制性产品认证合格或者技术鉴定合格的消防产品，国务院应急管理部门应当予以公布。</w:t>
            </w:r>
          </w:p>
        </w:tc>
        <w:tc>
          <w:tcPr>
            <w:tcW w:w="1227" w:type="pct"/>
            <w:tcBorders>
              <w:tl2br w:val="nil"/>
              <w:tr2bl w:val="nil"/>
            </w:tcBorders>
            <w:noWrap w:val="0"/>
            <w:vAlign w:val="center"/>
          </w:tcPr>
          <w:p w14:paraId="2F1B6EC0">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both"/>
              <w:textAlignment w:val="auto"/>
              <w:rPr>
                <w:rFonts w:hint="eastAsia" w:cs="Times New Roman"/>
                <w:color w:val="000000"/>
                <w:sz w:val="21"/>
                <w:szCs w:val="21"/>
                <w:lang w:eastAsia="zh-CN"/>
              </w:rPr>
            </w:pPr>
            <w:r>
              <w:rPr>
                <w:rFonts w:hint="eastAsia" w:cs="Times New Roman"/>
                <w:color w:val="000000"/>
                <w:sz w:val="21"/>
                <w:szCs w:val="21"/>
                <w:lang w:eastAsia="zh-CN"/>
              </w:rPr>
              <w:t>《中华人民共和国消防法》第二十四条</w:t>
            </w:r>
          </w:p>
        </w:tc>
        <w:tc>
          <w:tcPr>
            <w:tcW w:w="1019" w:type="pct"/>
            <w:tcBorders>
              <w:tl2br w:val="nil"/>
              <w:tr2bl w:val="nil"/>
            </w:tcBorders>
            <w:noWrap w:val="0"/>
            <w:vAlign w:val="center"/>
          </w:tcPr>
          <w:p w14:paraId="77BDC7DC">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企业使用符合国家标准的消防产品。</w:t>
            </w:r>
          </w:p>
        </w:tc>
        <w:tc>
          <w:tcPr>
            <w:tcW w:w="400" w:type="pct"/>
            <w:tcBorders>
              <w:tl2br w:val="nil"/>
              <w:tr2bl w:val="nil"/>
            </w:tcBorders>
            <w:noWrap w:val="0"/>
            <w:vAlign w:val="center"/>
          </w:tcPr>
          <w:p w14:paraId="72EE42CB">
            <w:pPr>
              <w:keepNext w:val="0"/>
              <w:keepLines w:val="0"/>
              <w:pageBreakBefore w:val="0"/>
              <w:widowControl w:val="0"/>
              <w:suppressLineNumbers w:val="0"/>
              <w:kinsoku/>
              <w:wordWrap/>
              <w:bidi w:val="0"/>
              <w:spacing w:before="0" w:beforeAutospacing="0" w:after="0" w:afterAutospacing="0" w:line="260" w:lineRule="exact"/>
              <w:ind w:left="0" w:right="0" w:firstLine="0" w:firstLineChars="0"/>
              <w:jc w:val="center"/>
              <w:rPr>
                <w:rFonts w:hint="eastAsia" w:ascii="宋体" w:hAnsi="宋体"/>
                <w:color w:val="000000"/>
                <w:sz w:val="21"/>
                <w:szCs w:val="21"/>
              </w:rPr>
            </w:pPr>
            <w:r>
              <w:rPr>
                <w:rFonts w:hint="eastAsia" w:ascii="宋体" w:hAnsi="宋体" w:eastAsia="宋体" w:cs="宋体"/>
                <w:sz w:val="21"/>
                <w:szCs w:val="21"/>
              </w:rPr>
              <w:t>符合</w:t>
            </w:r>
          </w:p>
        </w:tc>
      </w:tr>
      <w:tr w14:paraId="702991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5" w:type="pct"/>
            <w:tcBorders>
              <w:tl2br w:val="nil"/>
              <w:tr2bl w:val="nil"/>
            </w:tcBorders>
            <w:noWrap w:val="0"/>
            <w:vAlign w:val="center"/>
          </w:tcPr>
          <w:p w14:paraId="1DEEE02C">
            <w:pPr>
              <w:keepNext w:val="0"/>
              <w:keepLines w:val="0"/>
              <w:pageBreakBefore w:val="0"/>
              <w:widowControl w:val="0"/>
              <w:numPr>
                <w:ilvl w:val="0"/>
                <w:numId w:val="117"/>
              </w:numPr>
              <w:suppressLineNumbers w:val="0"/>
              <w:kinsoku/>
              <w:wordWrap/>
              <w:bidi w:val="0"/>
              <w:spacing w:before="0" w:beforeAutospacing="0" w:after="0" w:afterAutospacing="0"/>
              <w:ind w:left="0" w:leftChars="0" w:right="0" w:rightChars="0" w:firstLine="0" w:firstLineChars="0"/>
              <w:jc w:val="center"/>
              <w:rPr>
                <w:rFonts w:hint="eastAsia" w:ascii="宋体" w:hAnsi="宋体" w:cs="Times New Roman"/>
                <w:color w:val="000000"/>
                <w:sz w:val="21"/>
                <w:szCs w:val="21"/>
              </w:rPr>
            </w:pPr>
          </w:p>
        </w:tc>
        <w:tc>
          <w:tcPr>
            <w:tcW w:w="2107" w:type="pct"/>
            <w:tcBorders>
              <w:tl2br w:val="nil"/>
              <w:tr2bl w:val="nil"/>
            </w:tcBorders>
            <w:noWrap w:val="0"/>
            <w:vAlign w:val="center"/>
          </w:tcPr>
          <w:p w14:paraId="2095C665">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tc>
        <w:tc>
          <w:tcPr>
            <w:tcW w:w="1227" w:type="pct"/>
            <w:tcBorders>
              <w:tl2br w:val="nil"/>
              <w:tr2bl w:val="nil"/>
            </w:tcBorders>
            <w:noWrap w:val="0"/>
            <w:vAlign w:val="center"/>
          </w:tcPr>
          <w:p w14:paraId="2FA2F7F2">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《中华人民共和国消防法》第二十八条</w:t>
            </w:r>
          </w:p>
        </w:tc>
        <w:tc>
          <w:tcPr>
            <w:tcW w:w="1019" w:type="pct"/>
            <w:tcBorders>
              <w:tl2br w:val="nil"/>
              <w:tr2bl w:val="nil"/>
            </w:tcBorders>
            <w:noWrap w:val="0"/>
            <w:vAlign w:val="center"/>
          </w:tcPr>
          <w:p w14:paraId="2C2F084A">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企业消防设施、器材完好，疏散通道、安全出口、消防车通道畅通。</w:t>
            </w:r>
          </w:p>
        </w:tc>
        <w:tc>
          <w:tcPr>
            <w:tcW w:w="400" w:type="pct"/>
            <w:tcBorders>
              <w:tl2br w:val="nil"/>
              <w:tr2bl w:val="nil"/>
            </w:tcBorders>
            <w:noWrap w:val="0"/>
            <w:vAlign w:val="center"/>
          </w:tcPr>
          <w:p w14:paraId="1B4C4BEC">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符合</w:t>
            </w:r>
          </w:p>
        </w:tc>
      </w:tr>
      <w:tr w14:paraId="5D8FF6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5" w:type="pct"/>
            <w:tcBorders>
              <w:tl2br w:val="nil"/>
              <w:tr2bl w:val="nil"/>
            </w:tcBorders>
            <w:noWrap w:val="0"/>
            <w:vAlign w:val="center"/>
          </w:tcPr>
          <w:p w14:paraId="0EBADE99">
            <w:pPr>
              <w:keepNext w:val="0"/>
              <w:keepLines w:val="0"/>
              <w:pageBreakBefore w:val="0"/>
              <w:widowControl w:val="0"/>
              <w:numPr>
                <w:ilvl w:val="0"/>
                <w:numId w:val="117"/>
              </w:numPr>
              <w:suppressLineNumbers w:val="0"/>
              <w:kinsoku/>
              <w:wordWrap/>
              <w:bidi w:val="0"/>
              <w:spacing w:before="0" w:beforeAutospacing="0" w:after="0" w:afterAutospacing="0"/>
              <w:ind w:left="0" w:leftChars="0" w:right="0" w:rightChars="0" w:firstLine="0" w:firstLineChars="0"/>
              <w:jc w:val="center"/>
              <w:rPr>
                <w:rFonts w:hint="eastAsia" w:ascii="宋体" w:hAnsi="宋体" w:cs="Times New Roman"/>
                <w:color w:val="000000"/>
                <w:sz w:val="21"/>
                <w:szCs w:val="21"/>
              </w:rPr>
            </w:pPr>
          </w:p>
        </w:tc>
        <w:tc>
          <w:tcPr>
            <w:tcW w:w="2107" w:type="pct"/>
            <w:tcBorders>
              <w:tl2br w:val="nil"/>
              <w:tr2bl w:val="nil"/>
            </w:tcBorders>
            <w:noWrap w:val="0"/>
            <w:vAlign w:val="center"/>
          </w:tcPr>
          <w:p w14:paraId="66279911">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厂房的安全出口应分散布置。每个防火分区或一个防火分区的每个楼层，其相邻2个安全出口最近边缘之间的水平距离不应小于5m。</w:t>
            </w:r>
          </w:p>
        </w:tc>
        <w:tc>
          <w:tcPr>
            <w:tcW w:w="1227" w:type="pct"/>
            <w:tcBorders>
              <w:tl2br w:val="nil"/>
              <w:tr2bl w:val="nil"/>
            </w:tcBorders>
            <w:noWrap w:val="0"/>
            <w:vAlign w:val="center"/>
          </w:tcPr>
          <w:p w14:paraId="0CC177D8">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eastAsia"/>
                <w:color w:val="000000"/>
                <w:sz w:val="21"/>
                <w:szCs w:val="21"/>
                <w:lang w:eastAsia="zh-CN"/>
              </w:rPr>
            </w:pPr>
            <w:r>
              <w:rPr>
                <w:rFonts w:hint="eastAsia"/>
                <w:color w:val="000000"/>
                <w:sz w:val="21"/>
                <w:szCs w:val="21"/>
                <w:lang w:eastAsia="zh-CN"/>
              </w:rPr>
              <w:t>《建筑设计防火规范（2018年版）》</w:t>
            </w:r>
          </w:p>
          <w:p w14:paraId="6A82CC8E">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eastAsia" w:ascii="宋体" w:hAnsi="宋体"/>
                <w:color w:val="000000"/>
                <w:sz w:val="21"/>
                <w:szCs w:val="21"/>
                <w:lang w:eastAsia="zh-CN"/>
              </w:rPr>
            </w:pPr>
            <w:r>
              <w:rPr>
                <w:rFonts w:hint="eastAsia"/>
                <w:color w:val="000000"/>
                <w:sz w:val="21"/>
                <w:szCs w:val="21"/>
                <w:lang w:eastAsia="zh-CN"/>
              </w:rPr>
              <w:t>（GB 50016-2014）</w:t>
            </w:r>
          </w:p>
          <w:p w14:paraId="52E5BF05">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eastAsia" w:ascii="宋体" w:hAnsi="宋体"/>
                <w:color w:val="000000"/>
                <w:sz w:val="21"/>
                <w:szCs w:val="21"/>
              </w:rPr>
            </w:pPr>
            <w:r>
              <w:rPr>
                <w:rFonts w:hint="eastAsia" w:ascii="宋体" w:hAnsi="宋体"/>
                <w:color w:val="000000"/>
                <w:sz w:val="21"/>
                <w:szCs w:val="21"/>
              </w:rPr>
              <w:t>3.7.1</w:t>
            </w:r>
          </w:p>
        </w:tc>
        <w:tc>
          <w:tcPr>
            <w:tcW w:w="1019" w:type="pct"/>
            <w:tcBorders>
              <w:tl2br w:val="nil"/>
              <w:tr2bl w:val="nil"/>
            </w:tcBorders>
            <w:noWrap w:val="0"/>
            <w:vAlign w:val="center"/>
          </w:tcPr>
          <w:p w14:paraId="38336C1B">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厂房的安全出口分散布置。相邻2个安全出口最近边缘之间的水平距离不小于5m。</w:t>
            </w:r>
          </w:p>
        </w:tc>
        <w:tc>
          <w:tcPr>
            <w:tcW w:w="400" w:type="pct"/>
            <w:tcBorders>
              <w:tl2br w:val="nil"/>
              <w:tr2bl w:val="nil"/>
            </w:tcBorders>
            <w:noWrap w:val="0"/>
            <w:vAlign w:val="center"/>
          </w:tcPr>
          <w:p w14:paraId="20CA57A9">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textAlignment w:val="auto"/>
              <w:rPr>
                <w:rFonts w:hint="eastAsia" w:ascii="宋体" w:hAnsi="宋体"/>
                <w:color w:val="000000"/>
                <w:sz w:val="21"/>
                <w:szCs w:val="21"/>
              </w:rPr>
            </w:pPr>
            <w:r>
              <w:rPr>
                <w:rFonts w:hint="eastAsia" w:ascii="宋体" w:hAnsi="宋体"/>
                <w:color w:val="000000"/>
                <w:sz w:val="21"/>
                <w:szCs w:val="21"/>
              </w:rPr>
              <w:t>符合</w:t>
            </w:r>
          </w:p>
        </w:tc>
      </w:tr>
      <w:tr w14:paraId="6FE61A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5" w:type="pct"/>
            <w:tcBorders>
              <w:tl2br w:val="nil"/>
              <w:tr2bl w:val="nil"/>
            </w:tcBorders>
            <w:noWrap w:val="0"/>
            <w:vAlign w:val="center"/>
          </w:tcPr>
          <w:p w14:paraId="1803FCAF">
            <w:pPr>
              <w:keepNext w:val="0"/>
              <w:keepLines w:val="0"/>
              <w:pageBreakBefore w:val="0"/>
              <w:widowControl w:val="0"/>
              <w:numPr>
                <w:ilvl w:val="0"/>
                <w:numId w:val="117"/>
              </w:numPr>
              <w:suppressLineNumbers w:val="0"/>
              <w:kinsoku/>
              <w:wordWrap/>
              <w:bidi w:val="0"/>
              <w:spacing w:before="0" w:beforeAutospacing="0" w:after="0" w:afterAutospacing="0"/>
              <w:ind w:left="0" w:leftChars="0" w:right="0" w:rightChars="0" w:firstLine="0" w:firstLineChars="0"/>
              <w:jc w:val="center"/>
              <w:rPr>
                <w:rFonts w:hint="eastAsia" w:ascii="宋体" w:hAnsi="宋体" w:cs="Times New Roman"/>
                <w:color w:val="000000"/>
                <w:sz w:val="21"/>
                <w:szCs w:val="21"/>
              </w:rPr>
            </w:pPr>
          </w:p>
        </w:tc>
        <w:tc>
          <w:tcPr>
            <w:tcW w:w="2107" w:type="pct"/>
            <w:tcBorders>
              <w:tl2br w:val="nil"/>
              <w:tr2bl w:val="nil"/>
            </w:tcBorders>
            <w:noWrap w:val="0"/>
            <w:vAlign w:val="center"/>
          </w:tcPr>
          <w:p w14:paraId="04DAEBAD">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s="Times New Roman"/>
                <w:color w:val="000000"/>
                <w:kern w:val="0"/>
                <w:sz w:val="21"/>
                <w:szCs w:val="21"/>
              </w:rPr>
            </w:pPr>
            <w:r>
              <w:rPr>
                <w:rFonts w:hint="eastAsia" w:ascii="宋体" w:hAnsi="宋体" w:cs="Times New Roman"/>
                <w:color w:val="000000"/>
                <w:kern w:val="0"/>
                <w:sz w:val="21"/>
                <w:szCs w:val="21"/>
              </w:rPr>
              <w:t>厂房内任一点到最近安全出口的距离不应大于表3.7.4 的规定</w:t>
            </w:r>
          </w:p>
        </w:tc>
        <w:tc>
          <w:tcPr>
            <w:tcW w:w="1227" w:type="pct"/>
            <w:tcBorders>
              <w:tl2br w:val="nil"/>
              <w:tr2bl w:val="nil"/>
            </w:tcBorders>
            <w:noWrap w:val="0"/>
            <w:vAlign w:val="center"/>
          </w:tcPr>
          <w:p w14:paraId="632D9FB1">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eastAsia"/>
                <w:color w:val="000000"/>
                <w:sz w:val="21"/>
                <w:szCs w:val="21"/>
                <w:lang w:eastAsia="zh-CN"/>
              </w:rPr>
            </w:pPr>
            <w:r>
              <w:rPr>
                <w:rFonts w:hint="eastAsia"/>
                <w:color w:val="000000"/>
                <w:sz w:val="21"/>
                <w:szCs w:val="21"/>
                <w:lang w:eastAsia="zh-CN"/>
              </w:rPr>
              <w:t>《建筑设计防火规范（2018年版）》</w:t>
            </w:r>
          </w:p>
          <w:p w14:paraId="56D9D083">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eastAsia" w:ascii="宋体" w:hAnsi="宋体"/>
                <w:color w:val="000000"/>
                <w:sz w:val="21"/>
                <w:szCs w:val="21"/>
                <w:lang w:eastAsia="zh-CN"/>
              </w:rPr>
            </w:pPr>
            <w:r>
              <w:rPr>
                <w:rFonts w:hint="eastAsia"/>
                <w:color w:val="000000"/>
                <w:sz w:val="21"/>
                <w:szCs w:val="21"/>
                <w:lang w:eastAsia="zh-CN"/>
              </w:rPr>
              <w:t>（GB 50016-2014）</w:t>
            </w:r>
          </w:p>
          <w:p w14:paraId="557396DF">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eastAsia" w:ascii="宋体" w:hAnsi="宋体"/>
                <w:color w:val="000000"/>
                <w:sz w:val="21"/>
                <w:szCs w:val="21"/>
              </w:rPr>
            </w:pPr>
            <w:r>
              <w:rPr>
                <w:rFonts w:hint="eastAsia" w:ascii="宋体" w:hAnsi="宋体"/>
                <w:color w:val="000000"/>
                <w:sz w:val="21"/>
                <w:szCs w:val="21"/>
              </w:rPr>
              <w:t>3.7.4</w:t>
            </w:r>
          </w:p>
        </w:tc>
        <w:tc>
          <w:tcPr>
            <w:tcW w:w="1019" w:type="pct"/>
            <w:tcBorders>
              <w:tl2br w:val="nil"/>
              <w:tr2bl w:val="nil"/>
            </w:tcBorders>
            <w:noWrap w:val="0"/>
            <w:vAlign w:val="center"/>
          </w:tcPr>
          <w:p w14:paraId="723A9E1F">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textAlignment w:val="auto"/>
              <w:rPr>
                <w:rFonts w:hint="eastAsia" w:ascii="宋体" w:hAnsi="宋体" w:eastAsia="宋体"/>
                <w:color w:val="000000"/>
                <w:sz w:val="21"/>
                <w:szCs w:val="21"/>
                <w:lang w:eastAsia="zh-CN"/>
              </w:rPr>
            </w:pPr>
            <w:r>
              <w:rPr>
                <w:rFonts w:hint="eastAsia" w:ascii="宋体" w:hAnsi="宋体"/>
                <w:color w:val="000000"/>
                <w:sz w:val="21"/>
                <w:szCs w:val="21"/>
              </w:rPr>
              <w:t>丁类</w:t>
            </w:r>
            <w:r>
              <w:rPr>
                <w:rFonts w:hint="eastAsia" w:ascii="宋体" w:hAnsi="宋体"/>
                <w:color w:val="000000"/>
                <w:sz w:val="21"/>
                <w:szCs w:val="21"/>
                <w:lang w:eastAsia="zh-CN"/>
              </w:rPr>
              <w:t>、</w:t>
            </w:r>
            <w:r>
              <w:rPr>
                <w:rFonts w:hint="eastAsia"/>
                <w:color w:val="000000"/>
                <w:sz w:val="21"/>
                <w:szCs w:val="21"/>
                <w:lang w:val="en-US" w:eastAsia="zh-CN"/>
              </w:rPr>
              <w:t>戊类，</w:t>
            </w:r>
            <w:r>
              <w:rPr>
                <w:rFonts w:hint="eastAsia" w:ascii="宋体" w:hAnsi="宋体"/>
                <w:color w:val="000000"/>
                <w:sz w:val="21"/>
                <w:szCs w:val="21"/>
                <w:lang w:val="en-US" w:eastAsia="zh-CN"/>
              </w:rPr>
              <w:t>二级耐火</w:t>
            </w:r>
            <w:r>
              <w:rPr>
                <w:rFonts w:hint="eastAsia" w:ascii="宋体" w:hAnsi="宋体"/>
                <w:color w:val="000000"/>
                <w:sz w:val="21"/>
                <w:szCs w:val="21"/>
              </w:rPr>
              <w:t>厂房</w:t>
            </w:r>
            <w:r>
              <w:rPr>
                <w:rFonts w:hint="eastAsia" w:ascii="宋体" w:hAnsi="宋体" w:cs="黑体"/>
                <w:color w:val="000000"/>
                <w:kern w:val="0"/>
                <w:sz w:val="21"/>
                <w:szCs w:val="21"/>
              </w:rPr>
              <w:t>任一点到最近安全出口的距离不限</w:t>
            </w:r>
            <w:r>
              <w:rPr>
                <w:rFonts w:hint="eastAsia" w:cs="黑体"/>
                <w:color w:val="000000"/>
                <w:kern w:val="0"/>
                <w:sz w:val="21"/>
                <w:szCs w:val="21"/>
                <w:lang w:eastAsia="zh-CN"/>
              </w:rPr>
              <w:t>。</w:t>
            </w:r>
          </w:p>
        </w:tc>
        <w:tc>
          <w:tcPr>
            <w:tcW w:w="400" w:type="pct"/>
            <w:tcBorders>
              <w:tl2br w:val="nil"/>
              <w:tr2bl w:val="nil"/>
            </w:tcBorders>
            <w:noWrap w:val="0"/>
            <w:vAlign w:val="center"/>
          </w:tcPr>
          <w:p w14:paraId="1DD07CBF">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firstLine="0" w:firstLineChars="0"/>
              <w:jc w:val="center"/>
              <w:textAlignment w:val="auto"/>
              <w:rPr>
                <w:rFonts w:hint="eastAsia" w:ascii="宋体" w:hAnsi="宋体"/>
                <w:color w:val="000000"/>
                <w:sz w:val="21"/>
                <w:szCs w:val="21"/>
              </w:rPr>
            </w:pPr>
            <w:r>
              <w:rPr>
                <w:rFonts w:hint="eastAsia" w:ascii="宋体" w:hAnsi="宋体"/>
                <w:color w:val="000000"/>
                <w:sz w:val="21"/>
                <w:szCs w:val="21"/>
              </w:rPr>
              <w:t>符合</w:t>
            </w:r>
          </w:p>
        </w:tc>
      </w:tr>
      <w:tr w14:paraId="5DB7BD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5" w:type="pct"/>
            <w:tcBorders>
              <w:tl2br w:val="nil"/>
              <w:tr2bl w:val="nil"/>
            </w:tcBorders>
            <w:noWrap w:val="0"/>
            <w:vAlign w:val="center"/>
          </w:tcPr>
          <w:p w14:paraId="2CDDCBA6">
            <w:pPr>
              <w:keepNext w:val="0"/>
              <w:keepLines w:val="0"/>
              <w:pageBreakBefore w:val="0"/>
              <w:widowControl w:val="0"/>
              <w:numPr>
                <w:ilvl w:val="0"/>
                <w:numId w:val="117"/>
              </w:numPr>
              <w:suppressLineNumbers w:val="0"/>
              <w:kinsoku/>
              <w:wordWrap/>
              <w:bidi w:val="0"/>
              <w:spacing w:before="0" w:beforeAutospacing="0" w:after="0" w:afterAutospacing="0"/>
              <w:ind w:left="0" w:leftChars="0" w:right="0" w:rightChars="0" w:firstLine="0" w:firstLineChars="0"/>
              <w:jc w:val="center"/>
              <w:rPr>
                <w:rFonts w:hint="eastAsia" w:ascii="宋体" w:hAnsi="宋体" w:cs="Times New Roman"/>
                <w:color w:val="000000"/>
                <w:sz w:val="21"/>
                <w:szCs w:val="21"/>
              </w:rPr>
            </w:pPr>
          </w:p>
        </w:tc>
        <w:tc>
          <w:tcPr>
            <w:tcW w:w="2107" w:type="pct"/>
            <w:tcBorders>
              <w:tl2br w:val="nil"/>
              <w:tr2bl w:val="nil"/>
            </w:tcBorders>
            <w:noWrap w:val="0"/>
            <w:vAlign w:val="center"/>
          </w:tcPr>
          <w:p w14:paraId="4A36EDC2">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eastAsia="宋体" w:cs="黑体"/>
                <w:color w:val="000000"/>
                <w:kern w:val="0"/>
                <w:sz w:val="21"/>
                <w:szCs w:val="21"/>
              </w:rPr>
            </w:pPr>
            <w:r>
              <w:rPr>
                <w:rFonts w:hint="eastAsia" w:ascii="宋体" w:hAnsi="宋体" w:eastAsia="宋体" w:cs="黑体"/>
                <w:color w:val="000000"/>
                <w:kern w:val="0"/>
                <w:sz w:val="21"/>
                <w:szCs w:val="21"/>
              </w:rPr>
              <w:t>工厂、仓库区内应设置消防车道。</w:t>
            </w:r>
          </w:p>
        </w:tc>
        <w:tc>
          <w:tcPr>
            <w:tcW w:w="1227" w:type="pct"/>
            <w:tcBorders>
              <w:tl2br w:val="nil"/>
              <w:tr2bl w:val="nil"/>
            </w:tcBorders>
            <w:noWrap w:val="0"/>
            <w:vAlign w:val="center"/>
          </w:tcPr>
          <w:p w14:paraId="1920A790">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eastAsia"/>
                <w:color w:val="000000"/>
                <w:sz w:val="21"/>
                <w:szCs w:val="21"/>
                <w:lang w:eastAsia="zh-CN"/>
              </w:rPr>
            </w:pPr>
            <w:r>
              <w:rPr>
                <w:rFonts w:hint="eastAsia"/>
                <w:color w:val="000000"/>
                <w:sz w:val="21"/>
                <w:szCs w:val="21"/>
                <w:lang w:eastAsia="zh-CN"/>
              </w:rPr>
              <w:t>《建筑设计防火规范（2018年版）》</w:t>
            </w:r>
          </w:p>
          <w:p w14:paraId="3EB6CE68">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eastAsia" w:ascii="宋体" w:hAnsi="宋体"/>
                <w:color w:val="000000"/>
                <w:sz w:val="21"/>
                <w:szCs w:val="21"/>
                <w:lang w:eastAsia="zh-CN"/>
              </w:rPr>
            </w:pPr>
            <w:r>
              <w:rPr>
                <w:rFonts w:hint="eastAsia"/>
                <w:color w:val="000000"/>
                <w:sz w:val="21"/>
                <w:szCs w:val="21"/>
                <w:lang w:eastAsia="zh-CN"/>
              </w:rPr>
              <w:t>（GB 50016-2014）</w:t>
            </w:r>
          </w:p>
          <w:p w14:paraId="5E9378CA">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default" w:ascii="宋体" w:hAnsi="宋体" w:eastAsia="宋体"/>
                <w:color w:val="000000"/>
                <w:sz w:val="21"/>
                <w:szCs w:val="21"/>
                <w:lang w:val="en-US" w:eastAsia="zh-CN"/>
              </w:rPr>
            </w:pPr>
            <w:r>
              <w:rPr>
                <w:rFonts w:hint="eastAsia" w:ascii="宋体" w:hAnsi="宋体"/>
                <w:color w:val="000000"/>
                <w:sz w:val="21"/>
                <w:szCs w:val="21"/>
                <w:lang w:val="en-US" w:eastAsia="zh-CN"/>
              </w:rPr>
              <w:t>7.1.3</w:t>
            </w:r>
          </w:p>
        </w:tc>
        <w:tc>
          <w:tcPr>
            <w:tcW w:w="1019" w:type="pct"/>
            <w:tcBorders>
              <w:tl2br w:val="nil"/>
              <w:tr2bl w:val="nil"/>
            </w:tcBorders>
            <w:noWrap w:val="0"/>
            <w:vAlign w:val="center"/>
          </w:tcPr>
          <w:p w14:paraId="14CEF15C">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eastAsia="宋体"/>
                <w:color w:val="000000"/>
                <w:sz w:val="21"/>
                <w:szCs w:val="21"/>
                <w:lang w:eastAsia="zh-CN"/>
              </w:rPr>
            </w:pPr>
            <w:r>
              <w:rPr>
                <w:rFonts w:hint="eastAsia" w:ascii="宋体" w:hAnsi="宋体"/>
                <w:color w:val="000000"/>
                <w:sz w:val="21"/>
                <w:szCs w:val="21"/>
              </w:rPr>
              <w:t>沿厂房设置有环形消防车道</w:t>
            </w:r>
            <w:r>
              <w:rPr>
                <w:rFonts w:hint="eastAsia"/>
                <w:color w:val="000000"/>
                <w:sz w:val="21"/>
                <w:szCs w:val="21"/>
                <w:lang w:eastAsia="zh-CN"/>
              </w:rPr>
              <w:t>。</w:t>
            </w:r>
          </w:p>
        </w:tc>
        <w:tc>
          <w:tcPr>
            <w:tcW w:w="400" w:type="pct"/>
            <w:tcBorders>
              <w:tl2br w:val="nil"/>
              <w:tr2bl w:val="nil"/>
            </w:tcBorders>
            <w:noWrap w:val="0"/>
            <w:vAlign w:val="center"/>
          </w:tcPr>
          <w:p w14:paraId="65D6CCC2">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olor w:val="000000"/>
                <w:sz w:val="21"/>
                <w:szCs w:val="21"/>
              </w:rPr>
            </w:pPr>
            <w:r>
              <w:rPr>
                <w:rFonts w:hint="eastAsia" w:ascii="宋体" w:hAnsi="宋体"/>
                <w:color w:val="000000"/>
                <w:sz w:val="21"/>
                <w:szCs w:val="21"/>
              </w:rPr>
              <w:t>符合</w:t>
            </w:r>
          </w:p>
        </w:tc>
      </w:tr>
      <w:tr w14:paraId="1B68B8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5" w:type="pct"/>
            <w:tcBorders>
              <w:tl2br w:val="nil"/>
              <w:tr2bl w:val="nil"/>
            </w:tcBorders>
            <w:noWrap w:val="0"/>
            <w:vAlign w:val="center"/>
          </w:tcPr>
          <w:p w14:paraId="42C3C6F1">
            <w:pPr>
              <w:keepNext w:val="0"/>
              <w:keepLines w:val="0"/>
              <w:pageBreakBefore w:val="0"/>
              <w:widowControl w:val="0"/>
              <w:numPr>
                <w:ilvl w:val="0"/>
                <w:numId w:val="117"/>
              </w:numPr>
              <w:suppressLineNumbers w:val="0"/>
              <w:kinsoku/>
              <w:wordWrap/>
              <w:bidi w:val="0"/>
              <w:spacing w:before="0" w:beforeAutospacing="0" w:after="0" w:afterAutospacing="0"/>
              <w:ind w:left="0" w:leftChars="0" w:right="0" w:rightChars="0" w:firstLine="0" w:firstLineChars="0"/>
              <w:jc w:val="center"/>
              <w:rPr>
                <w:rFonts w:hint="eastAsia" w:ascii="宋体" w:hAnsi="宋体" w:cs="Times New Roman"/>
                <w:color w:val="000000"/>
                <w:sz w:val="21"/>
                <w:szCs w:val="21"/>
              </w:rPr>
            </w:pPr>
          </w:p>
        </w:tc>
        <w:tc>
          <w:tcPr>
            <w:tcW w:w="2107" w:type="pct"/>
            <w:tcBorders>
              <w:tl2br w:val="nil"/>
              <w:tr2bl w:val="nil"/>
            </w:tcBorders>
            <w:noWrap w:val="0"/>
            <w:vAlign w:val="center"/>
          </w:tcPr>
          <w:p w14:paraId="3F1D2605">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eastAsia="宋体" w:cs="黑体"/>
                <w:color w:val="000000"/>
                <w:kern w:val="0"/>
                <w:sz w:val="21"/>
                <w:szCs w:val="21"/>
              </w:rPr>
            </w:pPr>
            <w:r>
              <w:rPr>
                <w:rFonts w:hint="eastAsia" w:ascii="宋体" w:hAnsi="宋体" w:eastAsia="宋体" w:cs="黑体"/>
                <w:color w:val="000000"/>
                <w:kern w:val="0"/>
                <w:sz w:val="21"/>
                <w:szCs w:val="21"/>
              </w:rPr>
              <w:t>消防车道应符合下列要求：</w:t>
            </w:r>
          </w:p>
          <w:p w14:paraId="0A0079BB">
            <w:pPr>
              <w:keepNext w:val="0"/>
              <w:keepLines w:val="0"/>
              <w:pageBreakBefore w:val="0"/>
              <w:widowControl w:val="0"/>
              <w:numPr>
                <w:ilvl w:val="0"/>
                <w:numId w:val="118"/>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ascii="宋体" w:hAnsi="宋体" w:eastAsia="宋体" w:cs="黑体"/>
                <w:color w:val="000000"/>
                <w:kern w:val="0"/>
                <w:sz w:val="21"/>
                <w:szCs w:val="21"/>
              </w:rPr>
            </w:pPr>
            <w:r>
              <w:rPr>
                <w:rFonts w:hint="eastAsia" w:ascii="宋体" w:hAnsi="宋体" w:eastAsia="宋体" w:cs="黑体"/>
                <w:color w:val="000000"/>
                <w:kern w:val="0"/>
                <w:sz w:val="21"/>
                <w:szCs w:val="21"/>
              </w:rPr>
              <w:t>车道的净宽度和净空高度均不应小于4.0m；</w:t>
            </w:r>
          </w:p>
          <w:p w14:paraId="45C23D19">
            <w:pPr>
              <w:keepNext w:val="0"/>
              <w:keepLines w:val="0"/>
              <w:pageBreakBefore w:val="0"/>
              <w:widowControl w:val="0"/>
              <w:numPr>
                <w:ilvl w:val="0"/>
                <w:numId w:val="118"/>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ascii="宋体" w:hAnsi="宋体" w:eastAsia="宋体" w:cs="黑体"/>
                <w:color w:val="000000"/>
                <w:kern w:val="0"/>
                <w:sz w:val="21"/>
                <w:szCs w:val="21"/>
              </w:rPr>
            </w:pPr>
            <w:r>
              <w:rPr>
                <w:rFonts w:hint="eastAsia" w:ascii="宋体" w:hAnsi="宋体" w:eastAsia="宋体" w:cs="黑体"/>
                <w:color w:val="000000"/>
                <w:kern w:val="0"/>
                <w:sz w:val="21"/>
                <w:szCs w:val="21"/>
              </w:rPr>
              <w:t>转弯半径应满足消防车转弯的要求；</w:t>
            </w:r>
          </w:p>
          <w:p w14:paraId="78262B6C">
            <w:pPr>
              <w:keepNext w:val="0"/>
              <w:keepLines w:val="0"/>
              <w:pageBreakBefore w:val="0"/>
              <w:widowControl w:val="0"/>
              <w:numPr>
                <w:ilvl w:val="0"/>
                <w:numId w:val="118"/>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ascii="宋体" w:hAnsi="宋体" w:eastAsia="宋体" w:cs="黑体"/>
                <w:color w:val="000000"/>
                <w:kern w:val="0"/>
                <w:sz w:val="21"/>
                <w:szCs w:val="21"/>
              </w:rPr>
            </w:pPr>
            <w:r>
              <w:rPr>
                <w:rFonts w:hint="eastAsia" w:ascii="宋体" w:hAnsi="宋体" w:eastAsia="宋体" w:cs="黑体"/>
                <w:color w:val="000000"/>
                <w:kern w:val="0"/>
                <w:sz w:val="21"/>
                <w:szCs w:val="21"/>
              </w:rPr>
              <w:t>消防车道与建筑之间不应设置妨碍消防车操作的树木、架空管线等障碍物；</w:t>
            </w:r>
          </w:p>
          <w:p w14:paraId="6A0D7275">
            <w:pPr>
              <w:keepNext w:val="0"/>
              <w:keepLines w:val="0"/>
              <w:pageBreakBefore w:val="0"/>
              <w:widowControl w:val="0"/>
              <w:numPr>
                <w:ilvl w:val="0"/>
                <w:numId w:val="118"/>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ascii="宋体" w:hAnsi="宋体" w:eastAsia="宋体" w:cs="黑体"/>
                <w:color w:val="000000"/>
                <w:kern w:val="0"/>
                <w:sz w:val="21"/>
                <w:szCs w:val="21"/>
              </w:rPr>
            </w:pPr>
            <w:r>
              <w:rPr>
                <w:rFonts w:hint="eastAsia" w:ascii="宋体" w:hAnsi="宋体" w:eastAsia="宋体" w:cs="黑体"/>
                <w:color w:val="000000"/>
                <w:kern w:val="0"/>
                <w:sz w:val="21"/>
                <w:szCs w:val="21"/>
              </w:rPr>
              <w:t>消防车道靠建筑外墙一侧的边缘距离建筑外墙不宜小于5m；</w:t>
            </w:r>
          </w:p>
          <w:p w14:paraId="17F5DC93">
            <w:pPr>
              <w:keepNext w:val="0"/>
              <w:keepLines w:val="0"/>
              <w:pageBreakBefore w:val="0"/>
              <w:widowControl w:val="0"/>
              <w:numPr>
                <w:ilvl w:val="0"/>
                <w:numId w:val="118"/>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ascii="宋体" w:hAnsi="宋体" w:eastAsia="宋体" w:cs="黑体"/>
                <w:color w:val="000000"/>
                <w:kern w:val="0"/>
                <w:sz w:val="21"/>
                <w:szCs w:val="21"/>
              </w:rPr>
            </w:pPr>
            <w:r>
              <w:rPr>
                <w:rFonts w:hint="eastAsia" w:ascii="宋体" w:hAnsi="宋体" w:eastAsia="宋体" w:cs="黑体"/>
                <w:color w:val="000000"/>
                <w:kern w:val="0"/>
                <w:sz w:val="21"/>
                <w:szCs w:val="21"/>
              </w:rPr>
              <w:t>消防车道的坡度不宜大于8%。</w:t>
            </w:r>
          </w:p>
        </w:tc>
        <w:tc>
          <w:tcPr>
            <w:tcW w:w="1227" w:type="pct"/>
            <w:tcBorders>
              <w:tl2br w:val="nil"/>
              <w:tr2bl w:val="nil"/>
            </w:tcBorders>
            <w:noWrap w:val="0"/>
            <w:vAlign w:val="center"/>
          </w:tcPr>
          <w:p w14:paraId="5D648C88">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Style w:val="35"/>
                <w:rFonts w:hint="eastAsia"/>
                <w:b w:val="0"/>
                <w:color w:val="000000"/>
                <w:sz w:val="21"/>
                <w:szCs w:val="21"/>
                <w:lang w:eastAsia="zh-CN"/>
              </w:rPr>
            </w:pPr>
            <w:r>
              <w:rPr>
                <w:rStyle w:val="35"/>
                <w:rFonts w:hint="eastAsia"/>
                <w:b w:val="0"/>
                <w:color w:val="000000"/>
                <w:sz w:val="21"/>
                <w:szCs w:val="21"/>
                <w:lang w:eastAsia="zh-CN"/>
              </w:rPr>
              <w:t>《建筑设计防火规范（2018年版）》</w:t>
            </w:r>
          </w:p>
          <w:p w14:paraId="063DE2D2">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Style w:val="35"/>
                <w:rFonts w:hint="eastAsia" w:ascii="宋体" w:hAnsi="宋体"/>
                <w:b w:val="0"/>
                <w:color w:val="000000"/>
                <w:sz w:val="21"/>
                <w:szCs w:val="21"/>
                <w:lang w:eastAsia="zh-CN"/>
              </w:rPr>
            </w:pPr>
            <w:r>
              <w:rPr>
                <w:rStyle w:val="35"/>
                <w:rFonts w:hint="eastAsia"/>
                <w:b w:val="0"/>
                <w:color w:val="000000"/>
                <w:sz w:val="21"/>
                <w:szCs w:val="21"/>
                <w:lang w:eastAsia="zh-CN"/>
              </w:rPr>
              <w:t>（GB 50016-2014）</w:t>
            </w:r>
          </w:p>
          <w:p w14:paraId="1BE36EFD">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eastAsia" w:ascii="宋体" w:hAnsi="宋体"/>
                <w:color w:val="000000"/>
                <w:sz w:val="21"/>
                <w:szCs w:val="21"/>
              </w:rPr>
            </w:pPr>
            <w:r>
              <w:rPr>
                <w:rStyle w:val="35"/>
                <w:rFonts w:hint="eastAsia" w:ascii="宋体" w:hAnsi="宋体"/>
                <w:b w:val="0"/>
                <w:color w:val="000000"/>
                <w:sz w:val="21"/>
                <w:szCs w:val="21"/>
              </w:rPr>
              <w:t>7.1.8</w:t>
            </w:r>
          </w:p>
        </w:tc>
        <w:tc>
          <w:tcPr>
            <w:tcW w:w="1019" w:type="pct"/>
            <w:tcBorders>
              <w:tl2br w:val="nil"/>
              <w:tr2bl w:val="nil"/>
            </w:tcBorders>
            <w:noWrap w:val="0"/>
            <w:vAlign w:val="center"/>
          </w:tcPr>
          <w:p w14:paraId="73F26F80">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Times New Roman"/>
                <w:color w:val="000000"/>
                <w:sz w:val="21"/>
                <w:szCs w:val="21"/>
                <w:lang w:val="en-US" w:eastAsia="zh-CN"/>
              </w:rPr>
            </w:pPr>
            <w:r>
              <w:rPr>
                <w:rFonts w:hint="eastAsia" w:ascii="宋体" w:hAnsi="宋体" w:eastAsia="宋体" w:cs="Times New Roman"/>
                <w:color w:val="000000"/>
                <w:sz w:val="21"/>
                <w:szCs w:val="21"/>
              </w:rPr>
              <w:t>消防车道宽度&gt;</w:t>
            </w:r>
            <w:r>
              <w:rPr>
                <w:rFonts w:hint="eastAsia" w:ascii="宋体" w:hAnsi="宋体" w:eastAsia="宋体" w:cs="Times New Roman"/>
                <w:color w:val="000000"/>
                <w:sz w:val="21"/>
                <w:szCs w:val="21"/>
                <w:lang w:val="en-US" w:eastAsia="zh-CN"/>
              </w:rPr>
              <w:t>4</w:t>
            </w:r>
            <w:r>
              <w:rPr>
                <w:rFonts w:hint="eastAsia" w:ascii="宋体" w:hAnsi="宋体" w:eastAsia="宋体" w:cs="Times New Roman"/>
                <w:color w:val="000000"/>
                <w:sz w:val="21"/>
                <w:szCs w:val="21"/>
              </w:rPr>
              <w:t>m，</w:t>
            </w:r>
            <w:r>
              <w:rPr>
                <w:rFonts w:hint="eastAsia" w:ascii="宋体" w:hAnsi="宋体" w:eastAsia="宋体" w:cs="黑体"/>
                <w:color w:val="000000"/>
                <w:kern w:val="0"/>
                <w:sz w:val="21"/>
                <w:szCs w:val="21"/>
              </w:rPr>
              <w:t>转弯半径</w:t>
            </w:r>
            <w:r>
              <w:rPr>
                <w:rFonts w:hint="eastAsia" w:cs="黑体"/>
                <w:color w:val="000000"/>
                <w:kern w:val="0"/>
                <w:sz w:val="21"/>
                <w:szCs w:val="21"/>
                <w:lang w:val="en-US" w:eastAsia="zh-CN"/>
              </w:rPr>
              <w:t>满足要求，</w:t>
            </w:r>
            <w:r>
              <w:rPr>
                <w:rFonts w:hint="eastAsia" w:ascii="宋体" w:hAnsi="宋体" w:eastAsia="宋体" w:cs="Times New Roman"/>
                <w:color w:val="000000"/>
                <w:sz w:val="21"/>
                <w:szCs w:val="21"/>
              </w:rPr>
              <w:t>消防车道畅通</w:t>
            </w:r>
            <w:r>
              <w:rPr>
                <w:rFonts w:hint="eastAsia" w:ascii="宋体" w:hAnsi="宋体" w:eastAsia="宋体" w:cs="Times New Roman"/>
                <w:color w:val="000000"/>
                <w:sz w:val="21"/>
                <w:szCs w:val="21"/>
                <w:lang w:eastAsia="zh-CN"/>
              </w:rPr>
              <w:t>。</w:t>
            </w:r>
          </w:p>
        </w:tc>
        <w:tc>
          <w:tcPr>
            <w:tcW w:w="400" w:type="pct"/>
            <w:tcBorders>
              <w:tl2br w:val="nil"/>
              <w:tr2bl w:val="nil"/>
            </w:tcBorders>
            <w:noWrap w:val="0"/>
            <w:vAlign w:val="center"/>
          </w:tcPr>
          <w:p w14:paraId="77214A76">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center"/>
              <w:textAlignment w:val="auto"/>
              <w:rPr>
                <w:rFonts w:hint="eastAsia" w:ascii="宋体" w:hAnsi="宋体"/>
                <w:color w:val="000000"/>
                <w:sz w:val="21"/>
                <w:szCs w:val="21"/>
              </w:rPr>
            </w:pPr>
            <w:r>
              <w:rPr>
                <w:rFonts w:hint="eastAsia" w:ascii="宋体" w:hAnsi="宋体"/>
                <w:color w:val="000000"/>
                <w:sz w:val="21"/>
                <w:szCs w:val="21"/>
              </w:rPr>
              <w:t>符合</w:t>
            </w:r>
          </w:p>
        </w:tc>
      </w:tr>
      <w:tr w14:paraId="3AB493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5" w:type="pct"/>
            <w:tcBorders>
              <w:tl2br w:val="nil"/>
              <w:tr2bl w:val="nil"/>
            </w:tcBorders>
            <w:noWrap w:val="0"/>
            <w:vAlign w:val="center"/>
          </w:tcPr>
          <w:p w14:paraId="3D60C1CE">
            <w:pPr>
              <w:keepNext w:val="0"/>
              <w:keepLines w:val="0"/>
              <w:pageBreakBefore w:val="0"/>
              <w:widowControl w:val="0"/>
              <w:numPr>
                <w:ilvl w:val="0"/>
                <w:numId w:val="117"/>
              </w:numPr>
              <w:suppressLineNumbers w:val="0"/>
              <w:kinsoku/>
              <w:wordWrap/>
              <w:bidi w:val="0"/>
              <w:spacing w:before="0" w:beforeAutospacing="0" w:after="0" w:afterAutospacing="0"/>
              <w:ind w:left="0" w:leftChars="0" w:right="0" w:rightChars="0" w:firstLine="0" w:firstLineChars="0"/>
              <w:jc w:val="center"/>
              <w:rPr>
                <w:rFonts w:hint="eastAsia" w:ascii="宋体" w:hAnsi="宋体" w:cs="Times New Roman"/>
                <w:color w:val="000000"/>
                <w:sz w:val="21"/>
                <w:szCs w:val="21"/>
              </w:rPr>
            </w:pPr>
          </w:p>
        </w:tc>
        <w:tc>
          <w:tcPr>
            <w:tcW w:w="2107" w:type="pct"/>
            <w:tcBorders>
              <w:tl2br w:val="nil"/>
              <w:tr2bl w:val="nil"/>
            </w:tcBorders>
            <w:noWrap w:val="0"/>
            <w:vAlign w:val="center"/>
          </w:tcPr>
          <w:p w14:paraId="4A69F481">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eastAsia="宋体" w:cs="黑体"/>
                <w:color w:val="000000"/>
                <w:kern w:val="0"/>
                <w:sz w:val="21"/>
                <w:szCs w:val="21"/>
                <w:lang w:eastAsia="zh-CN"/>
              </w:rPr>
            </w:pPr>
            <w:r>
              <w:rPr>
                <w:rFonts w:hint="eastAsia" w:ascii="宋体" w:hAnsi="宋体" w:eastAsia="宋体" w:cs="黑体"/>
                <w:color w:val="000000"/>
                <w:kern w:val="0"/>
                <w:sz w:val="21"/>
                <w:szCs w:val="21"/>
              </w:rPr>
              <w:t>环形消防车道至少应有两处</w:t>
            </w:r>
            <w:r>
              <w:rPr>
                <w:rFonts w:hint="eastAsia" w:cs="黑体"/>
                <w:color w:val="000000"/>
                <w:kern w:val="0"/>
                <w:sz w:val="21"/>
                <w:szCs w:val="21"/>
                <w:lang w:eastAsia="zh-CN"/>
              </w:rPr>
              <w:t>与其他</w:t>
            </w:r>
            <w:r>
              <w:rPr>
                <w:rFonts w:hint="eastAsia" w:ascii="宋体" w:hAnsi="宋体" w:eastAsia="宋体" w:cs="黑体"/>
                <w:color w:val="000000"/>
                <w:kern w:val="0"/>
                <w:sz w:val="21"/>
                <w:szCs w:val="21"/>
              </w:rPr>
              <w:t>车道连通。尽头式消防车道应设置回车道或回车场，回车场的面积不应小于12.0m×12.0m；供大型消防车使用时，不宜小于18.0m×18.0m。</w:t>
            </w:r>
          </w:p>
          <w:p w14:paraId="6F15AC35">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eastAsia="宋体" w:cs="黑体"/>
                <w:color w:val="000000"/>
                <w:kern w:val="0"/>
                <w:sz w:val="21"/>
                <w:szCs w:val="21"/>
                <w:lang w:eastAsia="zh-CN"/>
              </w:rPr>
            </w:pPr>
            <w:r>
              <w:rPr>
                <w:rFonts w:hint="eastAsia" w:ascii="宋体" w:hAnsi="宋体" w:eastAsia="宋体" w:cs="黑体"/>
                <w:color w:val="000000"/>
                <w:kern w:val="0"/>
                <w:sz w:val="21"/>
                <w:szCs w:val="21"/>
              </w:rPr>
              <w:t>消防车道路面、扑救作业场地及其下面的管道和暗沟等应能承受大型消防车的压力。</w:t>
            </w:r>
          </w:p>
          <w:p w14:paraId="0236E1B9">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eastAsia="宋体" w:cs="黑体"/>
                <w:color w:val="000000"/>
                <w:kern w:val="0"/>
                <w:sz w:val="21"/>
                <w:szCs w:val="21"/>
              </w:rPr>
            </w:pPr>
            <w:r>
              <w:rPr>
                <w:rFonts w:hint="eastAsia" w:ascii="宋体" w:hAnsi="宋体" w:eastAsia="宋体" w:cs="黑体"/>
                <w:color w:val="000000"/>
                <w:kern w:val="0"/>
                <w:sz w:val="21"/>
                <w:szCs w:val="21"/>
              </w:rPr>
              <w:t>消防车道可利用交通道路，但应满足消防车通行与停靠的要求。</w:t>
            </w:r>
          </w:p>
        </w:tc>
        <w:tc>
          <w:tcPr>
            <w:tcW w:w="1227" w:type="pct"/>
            <w:tcBorders>
              <w:tl2br w:val="nil"/>
              <w:tr2bl w:val="nil"/>
            </w:tcBorders>
            <w:noWrap w:val="0"/>
            <w:vAlign w:val="center"/>
          </w:tcPr>
          <w:p w14:paraId="647382AD">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Style w:val="35"/>
                <w:rFonts w:hint="eastAsia"/>
                <w:b w:val="0"/>
                <w:color w:val="000000"/>
                <w:sz w:val="21"/>
                <w:szCs w:val="21"/>
                <w:lang w:eastAsia="zh-CN"/>
              </w:rPr>
            </w:pPr>
            <w:r>
              <w:rPr>
                <w:rStyle w:val="35"/>
                <w:rFonts w:hint="eastAsia"/>
                <w:b w:val="0"/>
                <w:color w:val="000000"/>
                <w:sz w:val="21"/>
                <w:szCs w:val="21"/>
                <w:lang w:eastAsia="zh-CN"/>
              </w:rPr>
              <w:t>《建筑设计防火规范（2018年版）》</w:t>
            </w:r>
          </w:p>
          <w:p w14:paraId="0D51307F">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Style w:val="35"/>
                <w:rFonts w:hint="eastAsia" w:ascii="宋体" w:hAnsi="宋体"/>
                <w:b w:val="0"/>
                <w:color w:val="000000"/>
                <w:sz w:val="21"/>
                <w:szCs w:val="21"/>
                <w:lang w:eastAsia="zh-CN"/>
              </w:rPr>
            </w:pPr>
            <w:r>
              <w:rPr>
                <w:rStyle w:val="35"/>
                <w:rFonts w:hint="eastAsia"/>
                <w:b w:val="0"/>
                <w:color w:val="000000"/>
                <w:sz w:val="21"/>
                <w:szCs w:val="21"/>
                <w:lang w:eastAsia="zh-CN"/>
              </w:rPr>
              <w:t>（GB 50016-2014）</w:t>
            </w:r>
          </w:p>
          <w:p w14:paraId="798CCEF8">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default" w:ascii="宋体" w:hAnsi="宋体"/>
                <w:color w:val="000000"/>
                <w:sz w:val="21"/>
                <w:szCs w:val="21"/>
                <w:lang w:val="en-US"/>
              </w:rPr>
            </w:pPr>
            <w:r>
              <w:rPr>
                <w:rStyle w:val="35"/>
                <w:rFonts w:hint="eastAsia" w:ascii="宋体" w:hAnsi="宋体"/>
                <w:b w:val="0"/>
                <w:color w:val="000000"/>
                <w:sz w:val="21"/>
                <w:szCs w:val="21"/>
                <w:lang w:val="en-US" w:eastAsia="zh-CN"/>
              </w:rPr>
              <w:t>7.1.9</w:t>
            </w:r>
          </w:p>
        </w:tc>
        <w:tc>
          <w:tcPr>
            <w:tcW w:w="1019" w:type="pct"/>
            <w:tcBorders>
              <w:tl2br w:val="nil"/>
              <w:tr2bl w:val="nil"/>
            </w:tcBorders>
            <w:noWrap w:val="0"/>
            <w:vAlign w:val="center"/>
          </w:tcPr>
          <w:p w14:paraId="376D25C7">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Times New Roman"/>
                <w:color w:val="000000"/>
                <w:sz w:val="21"/>
                <w:szCs w:val="21"/>
                <w:lang w:val="en-US" w:eastAsia="zh-CN"/>
              </w:rPr>
            </w:pPr>
            <w:r>
              <w:rPr>
                <w:rFonts w:hint="eastAsia" w:ascii="宋体" w:hAnsi="宋体" w:eastAsia="宋体" w:cs="Times New Roman"/>
                <w:color w:val="000000"/>
                <w:sz w:val="21"/>
                <w:szCs w:val="21"/>
                <w:lang w:val="en-US" w:eastAsia="zh-CN"/>
              </w:rPr>
              <w:t>项目</w:t>
            </w:r>
            <w:r>
              <w:rPr>
                <w:rFonts w:hint="eastAsia" w:ascii="宋体" w:hAnsi="宋体" w:eastAsia="宋体" w:cs="Times New Roman"/>
                <w:color w:val="000000"/>
                <w:sz w:val="21"/>
                <w:szCs w:val="21"/>
              </w:rPr>
              <w:t>厂区生产车间周围设置有环形消防通道</w:t>
            </w:r>
            <w:r>
              <w:rPr>
                <w:rFonts w:hint="eastAsia" w:ascii="宋体" w:hAnsi="宋体" w:eastAsia="宋体" w:cs="Times New Roman"/>
                <w:color w:val="000000"/>
                <w:sz w:val="21"/>
                <w:szCs w:val="21"/>
                <w:lang w:val="en-US" w:eastAsia="zh-CN"/>
              </w:rPr>
              <w:t>，满足相关要求。</w:t>
            </w:r>
          </w:p>
        </w:tc>
        <w:tc>
          <w:tcPr>
            <w:tcW w:w="400" w:type="pct"/>
            <w:tcBorders>
              <w:tl2br w:val="nil"/>
              <w:tr2bl w:val="nil"/>
            </w:tcBorders>
            <w:noWrap w:val="0"/>
            <w:vAlign w:val="center"/>
          </w:tcPr>
          <w:p w14:paraId="6F6A4BE6">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textAlignment w:val="auto"/>
              <w:rPr>
                <w:rFonts w:hint="eastAsia" w:ascii="宋体" w:hAnsi="宋体"/>
                <w:color w:val="000000"/>
                <w:sz w:val="21"/>
                <w:szCs w:val="21"/>
              </w:rPr>
            </w:pPr>
            <w:r>
              <w:rPr>
                <w:rFonts w:hint="eastAsia" w:ascii="宋体" w:hAnsi="宋体"/>
                <w:color w:val="000000"/>
                <w:sz w:val="21"/>
                <w:szCs w:val="21"/>
              </w:rPr>
              <w:t>符合</w:t>
            </w:r>
          </w:p>
        </w:tc>
      </w:tr>
      <w:tr w14:paraId="692D26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5" w:type="pct"/>
            <w:tcBorders>
              <w:tl2br w:val="nil"/>
              <w:tr2bl w:val="nil"/>
            </w:tcBorders>
            <w:noWrap w:val="0"/>
            <w:vAlign w:val="center"/>
          </w:tcPr>
          <w:p w14:paraId="3D965A54">
            <w:pPr>
              <w:keepNext w:val="0"/>
              <w:keepLines w:val="0"/>
              <w:pageBreakBefore w:val="0"/>
              <w:widowControl w:val="0"/>
              <w:numPr>
                <w:ilvl w:val="0"/>
                <w:numId w:val="117"/>
              </w:numPr>
              <w:suppressLineNumbers w:val="0"/>
              <w:kinsoku/>
              <w:wordWrap/>
              <w:bidi w:val="0"/>
              <w:spacing w:before="0" w:beforeAutospacing="0" w:after="0" w:afterAutospacing="0"/>
              <w:ind w:left="0" w:leftChars="0" w:right="0" w:rightChars="0" w:firstLine="0" w:firstLineChars="0"/>
              <w:jc w:val="center"/>
              <w:rPr>
                <w:rFonts w:hint="eastAsia" w:ascii="宋体" w:hAnsi="宋体" w:cs="Times New Roman"/>
                <w:color w:val="000000"/>
                <w:sz w:val="21"/>
                <w:szCs w:val="21"/>
              </w:rPr>
            </w:pPr>
          </w:p>
        </w:tc>
        <w:tc>
          <w:tcPr>
            <w:tcW w:w="2107" w:type="pct"/>
            <w:tcBorders>
              <w:tl2br w:val="nil"/>
              <w:tr2bl w:val="nil"/>
            </w:tcBorders>
            <w:noWrap w:val="0"/>
            <w:vAlign w:val="center"/>
          </w:tcPr>
          <w:p w14:paraId="665AA39D">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textAlignment w:val="auto"/>
              <w:rPr>
                <w:rFonts w:hint="eastAsia" w:ascii="宋体" w:hAnsi="宋体"/>
                <w:color w:val="000000"/>
                <w:kern w:val="0"/>
                <w:sz w:val="21"/>
                <w:szCs w:val="21"/>
              </w:rPr>
            </w:pPr>
            <w:r>
              <w:rPr>
                <w:rFonts w:hint="eastAsia" w:ascii="宋体" w:hAnsi="宋体"/>
                <w:color w:val="000000"/>
                <w:kern w:val="0"/>
                <w:sz w:val="21"/>
                <w:szCs w:val="21"/>
              </w:rPr>
              <w:t xml:space="preserve"> 建筑内的疏散门应符合下列规定：</w:t>
            </w:r>
          </w:p>
          <w:p w14:paraId="39E578F9">
            <w:pPr>
              <w:keepNext w:val="0"/>
              <w:keepLines w:val="0"/>
              <w:pageBreakBefore w:val="0"/>
              <w:widowControl w:val="0"/>
              <w:numPr>
                <w:ilvl w:val="0"/>
                <w:numId w:val="119"/>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textAlignment w:val="auto"/>
              <w:rPr>
                <w:rFonts w:hint="eastAsia" w:ascii="宋体" w:hAnsi="宋体"/>
                <w:color w:val="000000"/>
                <w:kern w:val="0"/>
                <w:sz w:val="21"/>
                <w:szCs w:val="21"/>
              </w:rPr>
            </w:pPr>
            <w:r>
              <w:rPr>
                <w:rFonts w:hint="eastAsia" w:ascii="宋体" w:hAnsi="宋体"/>
                <w:color w:val="000000"/>
                <w:kern w:val="0"/>
                <w:sz w:val="21"/>
                <w:szCs w:val="21"/>
              </w:rPr>
              <w:t>民用建筑和厂房的疏散门，应采用向疏散方向开启的平开门，不应采用推拉门、卷帘门、吊门、转门和折叠门。除甲、乙类生产车间外，人数不超过60人且每樘门的平均疏散人数不超过30人的房间，其疏散门的开启方向不限。</w:t>
            </w:r>
          </w:p>
          <w:p w14:paraId="340029AE">
            <w:pPr>
              <w:keepNext w:val="0"/>
              <w:keepLines w:val="0"/>
              <w:pageBreakBefore w:val="0"/>
              <w:widowControl w:val="0"/>
              <w:numPr>
                <w:ilvl w:val="0"/>
                <w:numId w:val="119"/>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textAlignment w:val="auto"/>
              <w:rPr>
                <w:rFonts w:hint="eastAsia" w:ascii="宋体" w:hAnsi="宋体"/>
                <w:color w:val="000000"/>
                <w:kern w:val="0"/>
                <w:sz w:val="21"/>
                <w:szCs w:val="21"/>
              </w:rPr>
            </w:pPr>
            <w:r>
              <w:rPr>
                <w:rFonts w:hint="eastAsia" w:ascii="宋体" w:hAnsi="宋体"/>
                <w:color w:val="000000"/>
                <w:kern w:val="0"/>
                <w:sz w:val="21"/>
                <w:szCs w:val="21"/>
              </w:rPr>
              <w:t>仓库的疏散门应采用向疏散方向开启的平开门，但丙、丁、戊类仓库首层靠墙的外侧可采用推拉门或卷帘门。</w:t>
            </w:r>
          </w:p>
          <w:p w14:paraId="4C494E05">
            <w:pPr>
              <w:keepNext w:val="0"/>
              <w:keepLines w:val="0"/>
              <w:pageBreakBefore w:val="0"/>
              <w:widowControl w:val="0"/>
              <w:numPr>
                <w:ilvl w:val="0"/>
                <w:numId w:val="119"/>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textAlignment w:val="auto"/>
              <w:rPr>
                <w:rFonts w:hint="eastAsia" w:ascii="宋体" w:hAnsi="宋体"/>
                <w:color w:val="000000"/>
                <w:kern w:val="0"/>
                <w:sz w:val="21"/>
                <w:szCs w:val="21"/>
              </w:rPr>
            </w:pPr>
            <w:r>
              <w:rPr>
                <w:rFonts w:hint="eastAsia" w:ascii="宋体" w:hAnsi="宋体"/>
                <w:color w:val="000000"/>
                <w:kern w:val="0"/>
                <w:sz w:val="21"/>
                <w:szCs w:val="21"/>
              </w:rPr>
              <w:t>开向疏散楼梯或疏散楼梯间的门，当其完全开启时，不应减少楼梯平台的有效宽度。</w:t>
            </w:r>
          </w:p>
          <w:p w14:paraId="0F8F1184">
            <w:pPr>
              <w:keepNext w:val="0"/>
              <w:keepLines w:val="0"/>
              <w:pageBreakBefore w:val="0"/>
              <w:widowControl w:val="0"/>
              <w:numPr>
                <w:ilvl w:val="0"/>
                <w:numId w:val="119"/>
              </w:numPr>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firstLine="0" w:firstLineChars="0"/>
              <w:textAlignment w:val="auto"/>
              <w:rPr>
                <w:rFonts w:hint="eastAsia" w:ascii="宋体" w:hAnsi="宋体"/>
                <w:color w:val="000000"/>
                <w:sz w:val="21"/>
                <w:szCs w:val="21"/>
              </w:rPr>
            </w:pPr>
            <w:r>
              <w:rPr>
                <w:rFonts w:hint="eastAsia" w:ascii="宋体" w:hAnsi="宋体"/>
                <w:color w:val="000000"/>
                <w:kern w:val="0"/>
                <w:sz w:val="21"/>
                <w:szCs w:val="21"/>
              </w:rPr>
              <w:t>人员密集场所内平时需要控制人员随意出入的疏散门和设置门禁系统的住宅、宿舍、公寓建筑的外门，应保证火灾时不需使用钥匙等任何工具即能从内部易于打开，并应在显著位置设置具有使用提示的标识。</w:t>
            </w:r>
          </w:p>
        </w:tc>
        <w:tc>
          <w:tcPr>
            <w:tcW w:w="1227" w:type="pct"/>
            <w:tcBorders>
              <w:tl2br w:val="nil"/>
              <w:tr2bl w:val="nil"/>
            </w:tcBorders>
            <w:noWrap w:val="0"/>
            <w:vAlign w:val="center"/>
          </w:tcPr>
          <w:p w14:paraId="1135A2E9">
            <w:pPr>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eastAsia"/>
                <w:color w:val="000000"/>
                <w:sz w:val="21"/>
                <w:szCs w:val="21"/>
                <w:lang w:eastAsia="zh-CN"/>
              </w:rPr>
            </w:pPr>
            <w:r>
              <w:rPr>
                <w:rFonts w:hint="eastAsia"/>
                <w:color w:val="000000"/>
                <w:sz w:val="21"/>
                <w:szCs w:val="21"/>
                <w:lang w:eastAsia="zh-CN"/>
              </w:rPr>
              <w:t>《建筑设计防火规范（2018年版）》</w:t>
            </w:r>
          </w:p>
          <w:p w14:paraId="21AC31F8">
            <w:pPr>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eastAsia" w:ascii="宋体" w:hAnsi="宋体"/>
                <w:color w:val="000000"/>
                <w:sz w:val="21"/>
                <w:szCs w:val="21"/>
                <w:lang w:eastAsia="zh-CN"/>
              </w:rPr>
            </w:pPr>
            <w:r>
              <w:rPr>
                <w:rFonts w:hint="eastAsia"/>
                <w:color w:val="000000"/>
                <w:sz w:val="21"/>
                <w:szCs w:val="21"/>
                <w:lang w:eastAsia="zh-CN"/>
              </w:rPr>
              <w:t>（GB 50016-2014）</w:t>
            </w:r>
          </w:p>
          <w:p w14:paraId="2B94C82D">
            <w:pPr>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uto"/>
              <w:ind w:left="0" w:right="0" w:firstLine="0" w:firstLineChars="0"/>
              <w:jc w:val="center"/>
              <w:textAlignment w:val="auto"/>
              <w:rPr>
                <w:rFonts w:hint="eastAsia" w:ascii="宋体" w:hAnsi="宋体" w:eastAsia="宋体"/>
                <w:color w:val="000000"/>
                <w:sz w:val="21"/>
                <w:szCs w:val="21"/>
                <w:lang w:eastAsia="zh-CN"/>
              </w:rPr>
            </w:pPr>
            <w:r>
              <w:rPr>
                <w:rFonts w:hint="eastAsia" w:ascii="宋体" w:hAnsi="宋体"/>
                <w:color w:val="000000"/>
                <w:sz w:val="21"/>
                <w:szCs w:val="21"/>
                <w:lang w:val="en-US" w:eastAsia="zh-CN"/>
              </w:rPr>
              <w:t>6</w:t>
            </w:r>
            <w:r>
              <w:rPr>
                <w:rFonts w:hint="eastAsia" w:ascii="宋体" w:hAnsi="宋体"/>
                <w:color w:val="000000"/>
                <w:sz w:val="21"/>
                <w:szCs w:val="21"/>
              </w:rPr>
              <w:t>.4.1</w:t>
            </w:r>
            <w:r>
              <w:rPr>
                <w:rFonts w:hint="eastAsia" w:ascii="宋体" w:hAnsi="宋体"/>
                <w:color w:val="000000"/>
                <w:sz w:val="21"/>
                <w:szCs w:val="21"/>
                <w:lang w:val="en-US" w:eastAsia="zh-CN"/>
              </w:rPr>
              <w:t>1</w:t>
            </w:r>
          </w:p>
        </w:tc>
        <w:tc>
          <w:tcPr>
            <w:tcW w:w="1019" w:type="pct"/>
            <w:tcBorders>
              <w:tl2br w:val="nil"/>
              <w:tr2bl w:val="nil"/>
            </w:tcBorders>
            <w:noWrap w:val="0"/>
            <w:vAlign w:val="center"/>
          </w:tcPr>
          <w:p w14:paraId="51777E33">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textAlignment w:val="auto"/>
              <w:rPr>
                <w:rFonts w:hint="default" w:ascii="宋体" w:hAnsi="宋体" w:eastAsia="宋体"/>
                <w:color w:val="000000"/>
                <w:sz w:val="21"/>
                <w:szCs w:val="21"/>
                <w:lang w:val="en-US" w:eastAsia="zh-CN"/>
              </w:rPr>
            </w:pPr>
            <w:r>
              <w:rPr>
                <w:rFonts w:hint="eastAsia"/>
                <w:color w:val="000000"/>
                <w:sz w:val="21"/>
                <w:szCs w:val="21"/>
                <w:lang w:val="en-US" w:eastAsia="zh-CN"/>
              </w:rPr>
              <w:t>项目疏散门符合要求。</w:t>
            </w:r>
          </w:p>
        </w:tc>
        <w:tc>
          <w:tcPr>
            <w:tcW w:w="400" w:type="pct"/>
            <w:tcBorders>
              <w:tl2br w:val="nil"/>
              <w:tr2bl w:val="nil"/>
            </w:tcBorders>
            <w:noWrap w:val="0"/>
            <w:vAlign w:val="center"/>
          </w:tcPr>
          <w:p w14:paraId="70DF7075">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firstLine="0" w:firstLineChars="0"/>
              <w:textAlignment w:val="auto"/>
              <w:rPr>
                <w:rFonts w:hint="eastAsia" w:ascii="宋体" w:hAnsi="宋体"/>
                <w:color w:val="000000"/>
                <w:sz w:val="21"/>
                <w:szCs w:val="21"/>
              </w:rPr>
            </w:pPr>
            <w:r>
              <w:rPr>
                <w:rFonts w:hint="eastAsia" w:ascii="宋体" w:hAnsi="宋体"/>
                <w:color w:val="000000"/>
                <w:sz w:val="21"/>
                <w:szCs w:val="21"/>
              </w:rPr>
              <w:t>符合</w:t>
            </w:r>
          </w:p>
        </w:tc>
      </w:tr>
      <w:tr w14:paraId="5E01C0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5" w:type="pct"/>
            <w:tcBorders>
              <w:tl2br w:val="nil"/>
              <w:tr2bl w:val="nil"/>
            </w:tcBorders>
            <w:noWrap w:val="0"/>
            <w:vAlign w:val="center"/>
          </w:tcPr>
          <w:p w14:paraId="06CC6FAD">
            <w:pPr>
              <w:keepNext w:val="0"/>
              <w:keepLines w:val="0"/>
              <w:pageBreakBefore w:val="0"/>
              <w:widowControl w:val="0"/>
              <w:numPr>
                <w:ilvl w:val="0"/>
                <w:numId w:val="117"/>
              </w:numPr>
              <w:suppressLineNumbers w:val="0"/>
              <w:kinsoku/>
              <w:wordWrap/>
              <w:bidi w:val="0"/>
              <w:spacing w:before="0" w:beforeAutospacing="0" w:after="0" w:afterAutospacing="0"/>
              <w:ind w:left="0" w:leftChars="0" w:right="0" w:rightChars="0" w:firstLine="0" w:firstLineChars="0"/>
              <w:jc w:val="center"/>
              <w:rPr>
                <w:rFonts w:hint="eastAsia" w:ascii="宋体" w:hAnsi="宋体" w:cs="Times New Roman"/>
                <w:color w:val="000000"/>
                <w:sz w:val="21"/>
                <w:szCs w:val="21"/>
              </w:rPr>
            </w:pPr>
          </w:p>
        </w:tc>
        <w:tc>
          <w:tcPr>
            <w:tcW w:w="2107" w:type="pct"/>
            <w:tcBorders>
              <w:tl2br w:val="nil"/>
              <w:tr2bl w:val="nil"/>
            </w:tcBorders>
            <w:noWrap w:val="0"/>
            <w:vAlign w:val="center"/>
          </w:tcPr>
          <w:p w14:paraId="6BE56B10">
            <w:pPr>
              <w:keepNext w:val="0"/>
              <w:keepLines w:val="0"/>
              <w:pageBreakBefore w:val="0"/>
              <w:widowControl w:val="0"/>
              <w:suppressLineNumbers w:val="0"/>
              <w:kinsoku/>
              <w:wordWrap/>
              <w:overflowPunct/>
              <w:topLinePunct w:val="0"/>
              <w:bidi w:val="0"/>
              <w:adjustRightInd w:val="0"/>
              <w:snapToGrid/>
              <w:spacing w:before="0" w:beforeAutospacing="0" w:after="0" w:afterAutospacing="0" w:line="240" w:lineRule="auto"/>
              <w:ind w:left="0" w:right="0" w:firstLine="0" w:firstLineChars="0"/>
              <w:textAlignment w:val="auto"/>
              <w:rPr>
                <w:rFonts w:hint="eastAsia" w:ascii="宋体" w:hAnsi="宋体"/>
                <w:color w:val="000000"/>
                <w:kern w:val="0"/>
                <w:sz w:val="21"/>
                <w:szCs w:val="21"/>
              </w:rPr>
            </w:pPr>
            <w:r>
              <w:rPr>
                <w:rFonts w:hint="eastAsia" w:ascii="宋体" w:hAnsi="宋体"/>
                <w:color w:val="000000"/>
                <w:kern w:val="0"/>
                <w:sz w:val="21"/>
                <w:szCs w:val="21"/>
              </w:rPr>
              <w:t xml:space="preserve"> 民用建筑、厂房、仓库、储罐（区）和堆场周围应设置室外消火栓系统。</w:t>
            </w:r>
          </w:p>
          <w:p w14:paraId="1FB7DE6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textAlignment w:val="auto"/>
              <w:rPr>
                <w:rFonts w:hint="default" w:ascii="宋体" w:hAnsi="宋体"/>
                <w:color w:val="000000"/>
                <w:sz w:val="21"/>
                <w:szCs w:val="21"/>
              </w:rPr>
            </w:pPr>
          </w:p>
        </w:tc>
        <w:tc>
          <w:tcPr>
            <w:tcW w:w="1227" w:type="pct"/>
            <w:tcBorders>
              <w:tl2br w:val="nil"/>
              <w:tr2bl w:val="nil"/>
            </w:tcBorders>
            <w:noWrap w:val="0"/>
            <w:vAlign w:val="center"/>
          </w:tcPr>
          <w:p w14:paraId="0E34623A">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eastAsia"/>
                <w:color w:val="000000"/>
                <w:sz w:val="21"/>
                <w:szCs w:val="21"/>
                <w:lang w:eastAsia="zh-CN"/>
              </w:rPr>
            </w:pPr>
            <w:r>
              <w:rPr>
                <w:rFonts w:hint="eastAsia"/>
                <w:color w:val="000000"/>
                <w:sz w:val="21"/>
                <w:szCs w:val="21"/>
                <w:lang w:eastAsia="zh-CN"/>
              </w:rPr>
              <w:t>《建筑设计防火规范（2018年版）》</w:t>
            </w:r>
          </w:p>
          <w:p w14:paraId="41F3D2E8">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eastAsia" w:ascii="宋体" w:hAnsi="宋体"/>
                <w:color w:val="000000"/>
                <w:sz w:val="21"/>
                <w:szCs w:val="21"/>
                <w:lang w:eastAsia="zh-CN"/>
              </w:rPr>
            </w:pPr>
            <w:r>
              <w:rPr>
                <w:rFonts w:hint="eastAsia"/>
                <w:color w:val="000000"/>
                <w:sz w:val="21"/>
                <w:szCs w:val="21"/>
                <w:lang w:eastAsia="zh-CN"/>
              </w:rPr>
              <w:t>（GB 50016-2014）</w:t>
            </w:r>
          </w:p>
          <w:p w14:paraId="60ACC1C8">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eastAsia" w:ascii="宋体" w:hAnsi="宋体"/>
                <w:color w:val="000000"/>
                <w:sz w:val="21"/>
                <w:szCs w:val="21"/>
              </w:rPr>
            </w:pPr>
            <w:r>
              <w:rPr>
                <w:rFonts w:hint="eastAsia" w:ascii="宋体" w:hAnsi="宋体"/>
                <w:color w:val="000000"/>
                <w:sz w:val="21"/>
                <w:szCs w:val="21"/>
              </w:rPr>
              <w:t>8.1.2</w:t>
            </w:r>
          </w:p>
          <w:p w14:paraId="3A60FBCE">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right="0" w:firstLine="0" w:firstLineChars="0"/>
              <w:jc w:val="center"/>
              <w:textAlignment w:val="auto"/>
              <w:rPr>
                <w:rFonts w:hint="eastAsia" w:ascii="宋体" w:hAnsi="宋体"/>
                <w:color w:val="000000"/>
                <w:sz w:val="21"/>
                <w:szCs w:val="21"/>
              </w:rPr>
            </w:pPr>
          </w:p>
        </w:tc>
        <w:tc>
          <w:tcPr>
            <w:tcW w:w="1019" w:type="pct"/>
            <w:tcBorders>
              <w:tl2br w:val="nil"/>
              <w:tr2bl w:val="nil"/>
            </w:tcBorders>
            <w:noWrap w:val="0"/>
            <w:vAlign w:val="center"/>
          </w:tcPr>
          <w:p w14:paraId="0761FF3D">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ascii="宋体" w:hAnsi="宋体" w:eastAsia="宋体"/>
                <w:color w:val="000000"/>
                <w:sz w:val="21"/>
                <w:szCs w:val="21"/>
                <w:lang w:eastAsia="zh-CN"/>
              </w:rPr>
            </w:pPr>
            <w:r>
              <w:rPr>
                <w:rFonts w:hint="eastAsia"/>
                <w:color w:val="000000"/>
                <w:sz w:val="21"/>
                <w:szCs w:val="21"/>
                <w:lang w:val="en-US" w:eastAsia="zh-CN"/>
              </w:rPr>
              <w:t>项目</w:t>
            </w:r>
            <w:r>
              <w:rPr>
                <w:rFonts w:hint="eastAsia"/>
                <w:color w:val="000000"/>
                <w:sz w:val="21"/>
                <w:szCs w:val="21"/>
              </w:rPr>
              <w:t>设</w:t>
            </w:r>
            <w:r>
              <w:rPr>
                <w:rFonts w:hint="eastAsia"/>
                <w:color w:val="000000"/>
                <w:sz w:val="21"/>
                <w:szCs w:val="21"/>
                <w:lang w:val="en-US" w:eastAsia="zh-CN"/>
              </w:rPr>
              <w:t>置</w:t>
            </w:r>
            <w:r>
              <w:rPr>
                <w:rFonts w:hint="eastAsia"/>
                <w:color w:val="000000"/>
                <w:sz w:val="21"/>
                <w:szCs w:val="21"/>
              </w:rPr>
              <w:t>有消防给水系统</w:t>
            </w:r>
            <w:r>
              <w:rPr>
                <w:rFonts w:hint="eastAsia"/>
                <w:color w:val="000000"/>
                <w:sz w:val="21"/>
                <w:szCs w:val="21"/>
                <w:lang w:eastAsia="zh-CN"/>
              </w:rPr>
              <w:t>。</w:t>
            </w:r>
          </w:p>
        </w:tc>
        <w:tc>
          <w:tcPr>
            <w:tcW w:w="400" w:type="pct"/>
            <w:tcBorders>
              <w:tl2br w:val="nil"/>
              <w:tr2bl w:val="nil"/>
            </w:tcBorders>
            <w:noWrap w:val="0"/>
            <w:vAlign w:val="center"/>
          </w:tcPr>
          <w:p w14:paraId="6DCCAF05">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olor w:val="000000"/>
                <w:sz w:val="21"/>
                <w:szCs w:val="21"/>
              </w:rPr>
            </w:pPr>
            <w:r>
              <w:rPr>
                <w:rFonts w:hint="eastAsia" w:ascii="宋体" w:hAnsi="宋体"/>
                <w:color w:val="000000"/>
                <w:sz w:val="21"/>
                <w:szCs w:val="21"/>
              </w:rPr>
              <w:t>符合</w:t>
            </w:r>
          </w:p>
        </w:tc>
      </w:tr>
      <w:tr w14:paraId="22552E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5" w:type="pct"/>
            <w:tcBorders>
              <w:tl2br w:val="nil"/>
              <w:tr2bl w:val="nil"/>
            </w:tcBorders>
            <w:noWrap w:val="0"/>
            <w:vAlign w:val="center"/>
          </w:tcPr>
          <w:p w14:paraId="7B085A04">
            <w:pPr>
              <w:keepNext w:val="0"/>
              <w:keepLines w:val="0"/>
              <w:pageBreakBefore w:val="0"/>
              <w:widowControl w:val="0"/>
              <w:numPr>
                <w:ilvl w:val="0"/>
                <w:numId w:val="117"/>
              </w:numPr>
              <w:suppressLineNumbers w:val="0"/>
              <w:kinsoku/>
              <w:wordWrap/>
              <w:bidi w:val="0"/>
              <w:spacing w:before="0" w:beforeAutospacing="0" w:after="0" w:afterAutospacing="0"/>
              <w:ind w:left="0" w:leftChars="0" w:right="0" w:rightChars="0" w:firstLine="0" w:firstLineChars="0"/>
              <w:jc w:val="center"/>
              <w:rPr>
                <w:rFonts w:hint="eastAsia" w:ascii="宋体" w:hAnsi="宋体" w:cs="Times New Roman"/>
                <w:color w:val="000000"/>
                <w:sz w:val="21"/>
                <w:szCs w:val="21"/>
              </w:rPr>
            </w:pPr>
          </w:p>
        </w:tc>
        <w:tc>
          <w:tcPr>
            <w:tcW w:w="2107" w:type="pct"/>
            <w:tcBorders>
              <w:tl2br w:val="nil"/>
              <w:tr2bl w:val="nil"/>
            </w:tcBorders>
            <w:noWrap w:val="0"/>
            <w:vAlign w:val="center"/>
          </w:tcPr>
          <w:p w14:paraId="74B18FCB">
            <w:pPr>
              <w:keepNext w:val="0"/>
              <w:keepLines w:val="0"/>
              <w:pageBreakBefore w:val="0"/>
              <w:widowControl w:val="0"/>
              <w:suppressLineNumbers w:val="0"/>
              <w:kinsoku/>
              <w:wordWrap/>
              <w:overflowPunct/>
              <w:topLinePunct w:val="0"/>
              <w:bidi w:val="0"/>
              <w:adjustRightInd w:val="0"/>
              <w:snapToGrid/>
              <w:spacing w:before="0" w:beforeAutospacing="0" w:after="0" w:afterAutospacing="0" w:line="240" w:lineRule="auto"/>
              <w:ind w:left="0" w:right="0" w:firstLine="0" w:firstLineChars="0"/>
              <w:textAlignment w:val="auto"/>
              <w:rPr>
                <w:rFonts w:hint="eastAsia" w:ascii="宋体" w:hAnsi="宋体"/>
                <w:color w:val="000000"/>
                <w:kern w:val="0"/>
                <w:sz w:val="21"/>
                <w:szCs w:val="21"/>
              </w:rPr>
            </w:pPr>
            <w:r>
              <w:rPr>
                <w:rFonts w:hint="eastAsia" w:ascii="宋体" w:hAnsi="宋体"/>
                <w:color w:val="000000"/>
                <w:kern w:val="0"/>
                <w:sz w:val="21"/>
                <w:szCs w:val="21"/>
              </w:rPr>
              <w:t>下列建筑或场所应设置室内消火栓系统：</w:t>
            </w:r>
          </w:p>
          <w:p w14:paraId="61D0AD8F">
            <w:pPr>
              <w:keepNext w:val="0"/>
              <w:keepLines w:val="0"/>
              <w:pageBreakBefore w:val="0"/>
              <w:widowControl w:val="0"/>
              <w:numPr>
                <w:ilvl w:val="0"/>
                <w:numId w:val="12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textAlignment w:val="auto"/>
              <w:rPr>
                <w:rFonts w:hint="eastAsia" w:ascii="宋体" w:hAnsi="宋体"/>
                <w:color w:val="000000"/>
                <w:kern w:val="0"/>
                <w:sz w:val="21"/>
                <w:szCs w:val="21"/>
              </w:rPr>
            </w:pPr>
            <w:r>
              <w:rPr>
                <w:rFonts w:hint="eastAsia" w:ascii="宋体" w:hAnsi="宋体" w:cs="Times New Roman"/>
                <w:color w:val="000000"/>
                <w:sz w:val="21"/>
                <w:szCs w:val="21"/>
              </w:rPr>
              <w:t>建筑占地面积大于300m²的厂房和仓库；</w:t>
            </w:r>
          </w:p>
        </w:tc>
        <w:tc>
          <w:tcPr>
            <w:tcW w:w="1227" w:type="pct"/>
            <w:tcBorders>
              <w:tl2br w:val="nil"/>
              <w:tr2bl w:val="nil"/>
            </w:tcBorders>
            <w:noWrap w:val="0"/>
            <w:vAlign w:val="center"/>
          </w:tcPr>
          <w:p w14:paraId="6A928DF1">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leftChars="0" w:right="0" w:rightChars="0" w:firstLine="0" w:firstLineChars="0"/>
              <w:jc w:val="center"/>
              <w:textAlignment w:val="auto"/>
              <w:rPr>
                <w:rFonts w:hint="eastAsia"/>
                <w:color w:val="000000"/>
                <w:sz w:val="21"/>
                <w:szCs w:val="21"/>
                <w:lang w:eastAsia="zh-CN"/>
              </w:rPr>
            </w:pPr>
            <w:r>
              <w:rPr>
                <w:rFonts w:hint="eastAsia"/>
                <w:color w:val="000000"/>
                <w:sz w:val="21"/>
                <w:szCs w:val="21"/>
                <w:lang w:eastAsia="zh-CN"/>
              </w:rPr>
              <w:t>《建筑设计防火规范（2018年版）》</w:t>
            </w:r>
          </w:p>
          <w:p w14:paraId="15B5109B">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leftChars="0" w:right="0" w:rightChars="0" w:firstLine="0" w:firstLineChars="0"/>
              <w:jc w:val="center"/>
              <w:textAlignment w:val="auto"/>
              <w:rPr>
                <w:rFonts w:hint="eastAsia" w:ascii="宋体" w:hAnsi="宋体"/>
                <w:color w:val="000000"/>
                <w:sz w:val="21"/>
                <w:szCs w:val="21"/>
                <w:lang w:eastAsia="zh-CN"/>
              </w:rPr>
            </w:pPr>
            <w:r>
              <w:rPr>
                <w:rFonts w:hint="eastAsia"/>
                <w:color w:val="000000"/>
                <w:sz w:val="21"/>
                <w:szCs w:val="21"/>
                <w:lang w:eastAsia="zh-CN"/>
              </w:rPr>
              <w:t>（GB 50016-2014）</w:t>
            </w:r>
          </w:p>
          <w:p w14:paraId="20613E7F">
            <w:pPr>
              <w:keepNext w:val="0"/>
              <w:keepLines w:val="0"/>
              <w:pageBreakBefore w:val="0"/>
              <w:widowControl w:val="0"/>
              <w:suppressLineNumbers w:val="0"/>
              <w:kinsoku/>
              <w:wordWrap w:val="0"/>
              <w:overflowPunct/>
              <w:topLinePunct w:val="0"/>
              <w:autoSpaceDE/>
              <w:autoSpaceDN/>
              <w:bidi w:val="0"/>
              <w:snapToGrid/>
              <w:spacing w:before="0" w:beforeAutospacing="0" w:after="0" w:afterAutospacing="0" w:line="240" w:lineRule="auto"/>
              <w:ind w:left="0" w:leftChars="0" w:right="0" w:rightChars="0" w:firstLine="0" w:firstLineChars="0"/>
              <w:jc w:val="center"/>
              <w:textAlignment w:val="auto"/>
              <w:rPr>
                <w:rFonts w:hint="eastAsia" w:ascii="宋体" w:hAnsi="宋体"/>
                <w:color w:val="000000"/>
                <w:sz w:val="21"/>
                <w:szCs w:val="21"/>
                <w:lang w:val="en-US" w:eastAsia="zh-CN"/>
              </w:rPr>
            </w:pPr>
            <w:r>
              <w:rPr>
                <w:rFonts w:hint="eastAsia" w:ascii="宋体" w:hAnsi="宋体"/>
                <w:color w:val="000000"/>
                <w:sz w:val="21"/>
                <w:szCs w:val="21"/>
                <w:lang w:val="en-US" w:eastAsia="zh-CN"/>
              </w:rPr>
              <w:t>8.2.1</w:t>
            </w:r>
          </w:p>
        </w:tc>
        <w:tc>
          <w:tcPr>
            <w:tcW w:w="1019" w:type="pct"/>
            <w:tcBorders>
              <w:tl2br w:val="nil"/>
              <w:tr2bl w:val="nil"/>
            </w:tcBorders>
            <w:noWrap w:val="0"/>
            <w:vAlign w:val="center"/>
          </w:tcPr>
          <w:p w14:paraId="14051483">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jc w:val="left"/>
              <w:textAlignment w:val="auto"/>
              <w:rPr>
                <w:rFonts w:hint="eastAsia"/>
                <w:color w:val="000000"/>
                <w:sz w:val="21"/>
                <w:szCs w:val="21"/>
              </w:rPr>
            </w:pPr>
            <w:r>
              <w:rPr>
                <w:rFonts w:hint="eastAsia"/>
                <w:color w:val="000000"/>
                <w:sz w:val="21"/>
                <w:szCs w:val="21"/>
                <w:lang w:val="en-US" w:eastAsia="zh-CN"/>
              </w:rPr>
              <w:t>联合车间和成品仓库均</w:t>
            </w:r>
            <w:r>
              <w:rPr>
                <w:rFonts w:hint="eastAsia"/>
                <w:color w:val="000000"/>
                <w:sz w:val="21"/>
                <w:szCs w:val="21"/>
              </w:rPr>
              <w:t>设</w:t>
            </w:r>
            <w:r>
              <w:rPr>
                <w:rFonts w:hint="eastAsia"/>
                <w:color w:val="000000"/>
                <w:sz w:val="21"/>
                <w:szCs w:val="21"/>
                <w:lang w:val="en-US" w:eastAsia="zh-CN"/>
              </w:rPr>
              <w:t>置有</w:t>
            </w:r>
            <w:r>
              <w:rPr>
                <w:rFonts w:hint="eastAsia"/>
                <w:color w:val="000000"/>
                <w:sz w:val="21"/>
                <w:szCs w:val="21"/>
              </w:rPr>
              <w:t>室内消</w:t>
            </w:r>
            <w:r>
              <w:rPr>
                <w:rFonts w:hint="eastAsia"/>
                <w:color w:val="000000"/>
                <w:sz w:val="21"/>
                <w:szCs w:val="21"/>
                <w:lang w:val="en-US" w:eastAsia="zh-CN"/>
              </w:rPr>
              <w:t>火</w:t>
            </w:r>
            <w:r>
              <w:rPr>
                <w:rFonts w:hint="eastAsia"/>
                <w:color w:val="000000"/>
                <w:sz w:val="21"/>
                <w:szCs w:val="21"/>
              </w:rPr>
              <w:t>栓</w:t>
            </w:r>
            <w:r>
              <w:rPr>
                <w:rFonts w:hint="eastAsia"/>
                <w:color w:val="000000"/>
                <w:sz w:val="21"/>
                <w:szCs w:val="21"/>
                <w:lang w:eastAsia="zh-CN"/>
              </w:rPr>
              <w:t>。</w:t>
            </w:r>
          </w:p>
        </w:tc>
        <w:tc>
          <w:tcPr>
            <w:tcW w:w="400" w:type="pct"/>
            <w:tcBorders>
              <w:tl2br w:val="nil"/>
              <w:tr2bl w:val="nil"/>
            </w:tcBorders>
            <w:noWrap w:val="0"/>
            <w:vAlign w:val="center"/>
          </w:tcPr>
          <w:p w14:paraId="066B2572">
            <w:pPr>
              <w:keepNext w:val="0"/>
              <w:keepLines w:val="0"/>
              <w:pageBreakBefore w:val="0"/>
              <w:widowControl w:val="0"/>
              <w:suppressLineNumbers w:val="0"/>
              <w:kinsoku/>
              <w:wordWrap/>
              <w:overflowPunct/>
              <w:topLinePunct w:val="0"/>
              <w:bidi w:val="0"/>
              <w:snapToGrid/>
              <w:spacing w:before="0" w:beforeAutospacing="0" w:after="0" w:afterAutospacing="0" w:line="240" w:lineRule="auto"/>
              <w:ind w:left="0" w:right="0" w:firstLine="0" w:firstLineChars="0"/>
              <w:textAlignment w:val="auto"/>
              <w:rPr>
                <w:rFonts w:hint="eastAsia" w:ascii="宋体" w:hAnsi="宋体"/>
                <w:color w:val="000000"/>
                <w:sz w:val="21"/>
                <w:szCs w:val="21"/>
              </w:rPr>
            </w:pPr>
            <w:r>
              <w:rPr>
                <w:rFonts w:hint="eastAsia" w:ascii="宋体" w:hAnsi="宋体"/>
                <w:color w:val="000000"/>
                <w:sz w:val="21"/>
                <w:szCs w:val="21"/>
              </w:rPr>
              <w:t>符合</w:t>
            </w:r>
          </w:p>
        </w:tc>
      </w:tr>
      <w:tr w14:paraId="031BCA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5" w:type="pct"/>
            <w:tcBorders>
              <w:tl2br w:val="nil"/>
              <w:tr2bl w:val="nil"/>
            </w:tcBorders>
            <w:noWrap w:val="0"/>
            <w:vAlign w:val="center"/>
          </w:tcPr>
          <w:p w14:paraId="69947AAF">
            <w:pPr>
              <w:keepNext w:val="0"/>
              <w:keepLines w:val="0"/>
              <w:pageBreakBefore w:val="0"/>
              <w:widowControl w:val="0"/>
              <w:numPr>
                <w:ilvl w:val="0"/>
                <w:numId w:val="117"/>
              </w:numPr>
              <w:suppressLineNumbers w:val="0"/>
              <w:kinsoku/>
              <w:wordWrap/>
              <w:bidi w:val="0"/>
              <w:spacing w:before="0" w:beforeAutospacing="0" w:after="0" w:afterAutospacing="0"/>
              <w:ind w:left="0" w:leftChars="0" w:right="0" w:rightChars="0" w:firstLine="0" w:firstLineChars="0"/>
              <w:jc w:val="center"/>
              <w:rPr>
                <w:rFonts w:hint="eastAsia" w:ascii="宋体" w:hAnsi="宋体" w:cs="Times New Roman"/>
                <w:color w:val="000000"/>
                <w:sz w:val="21"/>
                <w:szCs w:val="21"/>
              </w:rPr>
            </w:pPr>
          </w:p>
        </w:tc>
        <w:tc>
          <w:tcPr>
            <w:tcW w:w="2107" w:type="pct"/>
            <w:tcBorders>
              <w:tl2br w:val="nil"/>
              <w:tr2bl w:val="nil"/>
            </w:tcBorders>
            <w:noWrap w:val="0"/>
            <w:vAlign w:val="center"/>
          </w:tcPr>
          <w:p w14:paraId="1ECE7A63">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both"/>
              <w:rPr>
                <w:rFonts w:hint="eastAsia" w:ascii="宋体" w:hAnsi="宋体" w:cs="Times New Roman"/>
                <w:color w:val="000000"/>
                <w:sz w:val="21"/>
                <w:szCs w:val="21"/>
              </w:rPr>
            </w:pPr>
            <w:r>
              <w:rPr>
                <w:rFonts w:hint="eastAsia" w:ascii="宋体" w:hAnsi="宋体" w:eastAsia="宋体" w:cs="宋体"/>
                <w:sz w:val="21"/>
                <w:szCs w:val="21"/>
              </w:rPr>
              <w:t>灭火器应设置在位置明显和便于取用的地点，且不得影响安全疏散。</w:t>
            </w:r>
          </w:p>
        </w:tc>
        <w:tc>
          <w:tcPr>
            <w:tcW w:w="1227" w:type="pct"/>
            <w:tcBorders>
              <w:tl2br w:val="nil"/>
              <w:tr2bl w:val="nil"/>
            </w:tcBorders>
            <w:noWrap w:val="0"/>
            <w:vAlign w:val="center"/>
          </w:tcPr>
          <w:p w14:paraId="69A466F1">
            <w:pPr>
              <w:keepNext w:val="0"/>
              <w:keepLines w:val="0"/>
              <w:pageBreakBefore w:val="0"/>
              <w:widowControl w:val="0"/>
              <w:suppressLineNumbers w:val="0"/>
              <w:kinsoku/>
              <w:wordWrap/>
              <w:bidi w:val="0"/>
              <w:adjustRightInd/>
              <w:spacing w:before="0" w:beforeAutospacing="0" w:after="0" w:afterAutospacing="0" w:line="300" w:lineRule="exact"/>
              <w:ind w:left="0" w:leftChars="0" w:right="0" w:rightChars="0" w:firstLine="0" w:firstLineChars="0"/>
              <w:jc w:val="center"/>
              <w:textAlignment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《建筑灭火器配置设计规范》（GB50140-2005）</w:t>
            </w:r>
          </w:p>
          <w:p w14:paraId="661DA7BA">
            <w:pPr>
              <w:keepNext w:val="0"/>
              <w:keepLines w:val="0"/>
              <w:pageBreakBefore w:val="0"/>
              <w:widowControl w:val="0"/>
              <w:suppressLineNumbers w:val="0"/>
              <w:kinsoku/>
              <w:wordWrap/>
              <w:bidi w:val="0"/>
              <w:adjustRightInd/>
              <w:spacing w:before="0" w:beforeAutospacing="0" w:after="0" w:afterAutospacing="0" w:line="300" w:lineRule="exact"/>
              <w:ind w:left="0" w:leftChars="0" w:right="0" w:rightChars="0" w:firstLine="0" w:firstLineChars="0"/>
              <w:jc w:val="center"/>
              <w:textAlignment w:val="center"/>
              <w:rPr>
                <w:rFonts w:hint="eastAsia" w:ascii="宋体" w:hAnsi="宋体"/>
                <w:color w:val="000000"/>
                <w:sz w:val="21"/>
                <w:szCs w:val="21"/>
                <w:lang w:val="en-US" w:eastAsia="zh-CN"/>
              </w:rPr>
            </w:pPr>
            <w:r>
              <w:rPr>
                <w:rFonts w:hint="eastAsia" w:ascii="宋体" w:hAnsi="宋体" w:eastAsia="宋体" w:cs="宋体"/>
                <w:sz w:val="21"/>
                <w:szCs w:val="21"/>
                <w:lang w:val="en-US" w:eastAsia="zh-CN" w:bidi="ar-SA"/>
              </w:rPr>
              <w:t>第5.1.1条</w:t>
            </w:r>
          </w:p>
        </w:tc>
        <w:tc>
          <w:tcPr>
            <w:tcW w:w="1019" w:type="pct"/>
            <w:tcBorders>
              <w:tl2br w:val="nil"/>
              <w:tr2bl w:val="nil"/>
            </w:tcBorders>
            <w:noWrap w:val="0"/>
            <w:vAlign w:val="center"/>
          </w:tcPr>
          <w:p w14:paraId="4D5215D7">
            <w:pPr>
              <w:keepNext w:val="0"/>
              <w:keepLines w:val="0"/>
              <w:pageBreakBefore w:val="0"/>
              <w:widowControl w:val="0"/>
              <w:suppressLineNumbers w:val="0"/>
              <w:kinsoku/>
              <w:wordWrap/>
              <w:bidi w:val="0"/>
              <w:spacing w:before="0" w:beforeAutospacing="0" w:after="0" w:afterAutospacing="0" w:line="300" w:lineRule="exact"/>
              <w:ind w:left="0" w:right="0" w:firstLine="0" w:firstLineChars="0"/>
              <w:jc w:val="both"/>
              <w:rPr>
                <w:rFonts w:hint="eastAsia"/>
                <w:color w:val="000000"/>
                <w:sz w:val="21"/>
                <w:szCs w:val="21"/>
              </w:rPr>
            </w:pPr>
            <w:r>
              <w:rPr>
                <w:rFonts w:hint="eastAsia" w:ascii="宋体" w:hAnsi="宋体" w:eastAsia="宋体" w:cs="宋体"/>
                <w:sz w:val="21"/>
                <w:szCs w:val="21"/>
              </w:rPr>
              <w:t>公司灭火器设置在明显和便于取用的地点，且不影响安全疏散。</w:t>
            </w:r>
          </w:p>
        </w:tc>
        <w:tc>
          <w:tcPr>
            <w:tcW w:w="400" w:type="pct"/>
            <w:tcBorders>
              <w:tl2br w:val="nil"/>
              <w:tr2bl w:val="nil"/>
            </w:tcBorders>
            <w:noWrap w:val="0"/>
            <w:vAlign w:val="center"/>
          </w:tcPr>
          <w:p w14:paraId="16C84C88">
            <w:pPr>
              <w:keepNext w:val="0"/>
              <w:keepLines w:val="0"/>
              <w:pageBreakBefore w:val="0"/>
              <w:widowControl w:val="0"/>
              <w:suppressLineNumbers w:val="0"/>
              <w:kinsoku/>
              <w:wordWrap/>
              <w:bidi w:val="0"/>
              <w:adjustRightInd/>
              <w:spacing w:before="0" w:beforeAutospacing="0" w:after="0" w:afterAutospacing="0" w:line="300" w:lineRule="exact"/>
              <w:ind w:left="0" w:leftChars="0" w:right="0" w:firstLine="0" w:firstLineChars="0"/>
              <w:jc w:val="both"/>
              <w:textAlignment w:val="center"/>
              <w:rPr>
                <w:rFonts w:hint="eastAsia" w:ascii="宋体" w:hAnsi="宋体"/>
                <w:color w:val="000000"/>
                <w:sz w:val="21"/>
                <w:szCs w:val="21"/>
              </w:rPr>
            </w:pPr>
            <w:r>
              <w:rPr>
                <w:rFonts w:hint="eastAsia" w:ascii="宋体" w:hAnsi="宋体" w:eastAsia="宋体" w:cs="宋体"/>
                <w:kern w:val="2"/>
                <w:sz w:val="21"/>
                <w:szCs w:val="21"/>
                <w:lang w:val="en-US" w:eastAsia="zh-CN" w:bidi="ar-SA"/>
              </w:rPr>
              <w:t>符合</w:t>
            </w:r>
          </w:p>
        </w:tc>
      </w:tr>
      <w:tr w14:paraId="72D011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5" w:type="pct"/>
            <w:tcBorders>
              <w:tl2br w:val="nil"/>
              <w:tr2bl w:val="nil"/>
            </w:tcBorders>
            <w:noWrap w:val="0"/>
            <w:vAlign w:val="center"/>
          </w:tcPr>
          <w:p w14:paraId="1B40D21C">
            <w:pPr>
              <w:keepNext w:val="0"/>
              <w:keepLines w:val="0"/>
              <w:pageBreakBefore w:val="0"/>
              <w:widowControl w:val="0"/>
              <w:numPr>
                <w:ilvl w:val="0"/>
                <w:numId w:val="117"/>
              </w:numPr>
              <w:suppressLineNumbers w:val="0"/>
              <w:kinsoku/>
              <w:wordWrap/>
              <w:bidi w:val="0"/>
              <w:spacing w:before="0" w:beforeAutospacing="0" w:after="0" w:afterAutospacing="0"/>
              <w:ind w:left="0" w:leftChars="0" w:right="0" w:rightChars="0" w:firstLine="0" w:firstLineChars="0"/>
              <w:jc w:val="center"/>
              <w:rPr>
                <w:rFonts w:hint="eastAsia" w:ascii="宋体" w:hAnsi="宋体" w:cs="Times New Roman"/>
                <w:color w:val="000000"/>
                <w:sz w:val="21"/>
                <w:szCs w:val="21"/>
              </w:rPr>
            </w:pPr>
          </w:p>
        </w:tc>
        <w:tc>
          <w:tcPr>
            <w:tcW w:w="2107" w:type="pct"/>
            <w:tcBorders>
              <w:tl2br w:val="nil"/>
              <w:tr2bl w:val="nil"/>
            </w:tcBorders>
            <w:noWrap w:val="0"/>
            <w:vAlign w:val="center"/>
          </w:tcPr>
          <w:p w14:paraId="0333444E">
            <w:pPr>
              <w:keepNext w:val="0"/>
              <w:keepLines w:val="0"/>
              <w:pageBreakBefore w:val="0"/>
              <w:widowControl w:val="0"/>
              <w:suppressLineNumbers w:val="0"/>
              <w:kinsoku/>
              <w:wordWrap/>
              <w:bidi w:val="0"/>
              <w:spacing w:before="0" w:beforeAutospacing="0" w:after="0" w:afterAutospacing="0" w:line="300" w:lineRule="exact"/>
              <w:ind w:left="0" w:leftChars="0" w:right="0" w:firstLine="0" w:firstLineChars="0"/>
              <w:jc w:val="both"/>
              <w:rPr>
                <w:rFonts w:hint="eastAsia" w:ascii="宋体" w:hAnsi="宋体" w:eastAsia="宋体" w:cs="宋体"/>
                <w:sz w:val="21"/>
                <w:szCs w:val="21"/>
              </w:rPr>
            </w:pPr>
            <w:r>
              <w:rPr>
                <w:rFonts w:hint="eastAsia" w:ascii="宋体" w:hAnsi="宋体" w:eastAsia="宋体" w:cs="宋体"/>
                <w:sz w:val="21"/>
                <w:szCs w:val="21"/>
              </w:rPr>
              <w:t>灭火器的摆放应稳固，其铭牌应朝外。手提式灭火器宜设置在灭火器箱内或挂钩、托架上，其顶部离地面高度不应大于1.50m；底部离地面高度不宜小于0.08m。灭火器箱不得上锁。</w:t>
            </w:r>
          </w:p>
        </w:tc>
        <w:tc>
          <w:tcPr>
            <w:tcW w:w="1227" w:type="pct"/>
            <w:tcBorders>
              <w:tl2br w:val="nil"/>
              <w:tr2bl w:val="nil"/>
            </w:tcBorders>
            <w:noWrap w:val="0"/>
            <w:vAlign w:val="center"/>
          </w:tcPr>
          <w:p w14:paraId="049E01FC">
            <w:pPr>
              <w:keepNext w:val="0"/>
              <w:keepLines w:val="0"/>
              <w:pageBreakBefore w:val="0"/>
              <w:widowControl w:val="0"/>
              <w:suppressLineNumbers w:val="0"/>
              <w:kinsoku/>
              <w:wordWrap/>
              <w:bidi w:val="0"/>
              <w:adjustRightInd/>
              <w:spacing w:before="0" w:beforeAutospacing="0" w:after="0" w:afterAutospacing="0" w:line="300" w:lineRule="exact"/>
              <w:ind w:left="0" w:leftChars="0" w:right="0" w:rightChars="0" w:firstLine="0" w:firstLineChars="0"/>
              <w:jc w:val="center"/>
              <w:textAlignment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《建筑灭火器配置设计规范》（GB50140-2005）</w:t>
            </w:r>
          </w:p>
          <w:p w14:paraId="12286D52">
            <w:pPr>
              <w:keepNext w:val="0"/>
              <w:keepLines w:val="0"/>
              <w:pageBreakBefore w:val="0"/>
              <w:widowControl w:val="0"/>
              <w:suppressLineNumbers w:val="0"/>
              <w:kinsoku/>
              <w:wordWrap/>
              <w:bidi w:val="0"/>
              <w:adjustRightInd/>
              <w:spacing w:before="0" w:beforeAutospacing="0" w:after="0" w:afterAutospacing="0" w:line="300" w:lineRule="exact"/>
              <w:ind w:left="0" w:leftChars="0" w:right="0" w:rightChars="0" w:firstLine="0" w:firstLineChars="0"/>
              <w:jc w:val="center"/>
              <w:textAlignment w:val="center"/>
              <w:rPr>
                <w:rFonts w:hint="eastAsia" w:ascii="宋体" w:hAnsi="宋体"/>
                <w:color w:val="000000"/>
                <w:sz w:val="21"/>
                <w:szCs w:val="21"/>
                <w:lang w:val="en-US" w:eastAsia="zh-CN"/>
              </w:rPr>
            </w:pPr>
            <w:r>
              <w:rPr>
                <w:rFonts w:hint="eastAsia" w:ascii="宋体" w:hAnsi="宋体" w:eastAsia="宋体" w:cs="宋体"/>
                <w:sz w:val="21"/>
                <w:szCs w:val="21"/>
                <w:lang w:val="en-US" w:eastAsia="zh-CN" w:bidi="ar-SA"/>
              </w:rPr>
              <w:t>第5.1.3条</w:t>
            </w:r>
          </w:p>
        </w:tc>
        <w:tc>
          <w:tcPr>
            <w:tcW w:w="1019" w:type="pct"/>
            <w:tcBorders>
              <w:tl2br w:val="nil"/>
              <w:tr2bl w:val="nil"/>
            </w:tcBorders>
            <w:noWrap w:val="0"/>
            <w:vAlign w:val="center"/>
          </w:tcPr>
          <w:p w14:paraId="57985982">
            <w:pPr>
              <w:keepNext w:val="0"/>
              <w:keepLines w:val="0"/>
              <w:pageBreakBefore w:val="0"/>
              <w:widowControl w:val="0"/>
              <w:suppressLineNumbers w:val="0"/>
              <w:kinsoku/>
              <w:wordWrap/>
              <w:bidi w:val="0"/>
              <w:spacing w:before="0" w:beforeAutospacing="0" w:after="0" w:afterAutospacing="0" w:line="300" w:lineRule="exact"/>
              <w:ind w:left="0" w:right="0" w:firstLine="0" w:firstLineChars="0"/>
              <w:jc w:val="both"/>
              <w:rPr>
                <w:rFonts w:hint="eastAsia"/>
                <w:color w:val="000000"/>
                <w:sz w:val="21"/>
                <w:szCs w:val="21"/>
              </w:rPr>
            </w:pPr>
            <w:r>
              <w:rPr>
                <w:rFonts w:hint="eastAsia" w:ascii="宋体" w:hAnsi="宋体" w:eastAsia="宋体" w:cs="宋体"/>
                <w:sz w:val="21"/>
                <w:szCs w:val="21"/>
              </w:rPr>
              <w:t>灭火器的摆放稳固，其铭牌朝外。手提式灭火器设置其顶部离地面高度不大于1.50m。</w:t>
            </w:r>
          </w:p>
        </w:tc>
        <w:tc>
          <w:tcPr>
            <w:tcW w:w="400" w:type="pct"/>
            <w:tcBorders>
              <w:tl2br w:val="nil"/>
              <w:tr2bl w:val="nil"/>
            </w:tcBorders>
            <w:noWrap w:val="0"/>
            <w:vAlign w:val="center"/>
          </w:tcPr>
          <w:p w14:paraId="05B529F7">
            <w:pPr>
              <w:keepNext w:val="0"/>
              <w:keepLines w:val="0"/>
              <w:pageBreakBefore w:val="0"/>
              <w:widowControl w:val="0"/>
              <w:suppressLineNumbers w:val="0"/>
              <w:kinsoku/>
              <w:wordWrap/>
              <w:bidi w:val="0"/>
              <w:adjustRightInd/>
              <w:spacing w:before="0" w:beforeAutospacing="0" w:after="0" w:afterAutospacing="0" w:line="300" w:lineRule="exact"/>
              <w:ind w:left="0" w:leftChars="0" w:right="0" w:firstLine="0" w:firstLineChars="0"/>
              <w:jc w:val="both"/>
              <w:textAlignment w:val="center"/>
              <w:rPr>
                <w:rFonts w:hint="eastAsia" w:ascii="宋体" w:hAnsi="宋体"/>
                <w:color w:val="000000"/>
                <w:sz w:val="21"/>
                <w:szCs w:val="21"/>
              </w:rPr>
            </w:pPr>
            <w:r>
              <w:rPr>
                <w:rFonts w:hint="eastAsia" w:ascii="宋体" w:hAnsi="宋体" w:eastAsia="宋体" w:cs="宋体"/>
                <w:kern w:val="2"/>
                <w:sz w:val="21"/>
                <w:szCs w:val="21"/>
                <w:lang w:val="en-US" w:eastAsia="zh-CN" w:bidi="ar-SA"/>
              </w:rPr>
              <w:t>符合</w:t>
            </w:r>
          </w:p>
        </w:tc>
      </w:tr>
    </w:tbl>
    <w:p w14:paraId="38853809">
      <w:pPr>
        <w:keepNext w:val="0"/>
        <w:keepLines w:val="0"/>
        <w:pageBreakBefore w:val="0"/>
        <w:widowControl w:val="0"/>
        <w:kinsoku/>
        <w:bidi w:val="0"/>
        <w:rPr>
          <w:rFonts w:hint="eastAsia"/>
          <w:lang w:val="en-US" w:eastAsia="zh-CN"/>
        </w:rPr>
      </w:pPr>
      <w:r>
        <w:rPr>
          <w:rFonts w:hint="eastAsia"/>
          <w:lang w:val="en-US" w:eastAsia="zh-CN"/>
        </w:rPr>
        <w:t>项目</w:t>
      </w:r>
      <w:r>
        <w:rPr>
          <w:rFonts w:hint="eastAsia"/>
        </w:rPr>
        <w:t>消防系统</w:t>
      </w:r>
      <w:r>
        <w:rPr>
          <w:rFonts w:hint="eastAsia"/>
          <w:lang w:val="en-US" w:eastAsia="zh-CN"/>
        </w:rPr>
        <w:t>符合</w:t>
      </w:r>
      <w:r>
        <w:rPr>
          <w:rFonts w:hint="eastAsia"/>
        </w:rPr>
        <w:t>《中华人民共和国消防法</w:t>
      </w:r>
      <w:r>
        <w:rPr>
          <w:rFonts w:hint="eastAsia"/>
          <w:lang w:eastAsia="zh-CN"/>
        </w:rPr>
        <w:t>》《</w:t>
      </w:r>
      <w:r>
        <w:rPr>
          <w:rFonts w:hint="eastAsia"/>
        </w:rPr>
        <w:t>建筑设计防火规范（2018年版）》（GB 50016-2014）、《建筑灭火器配置设计规范》（GB50140-2005）等相关</w:t>
      </w:r>
      <w:r>
        <w:rPr>
          <w:rFonts w:hint="eastAsia"/>
          <w:lang w:val="en-US" w:eastAsia="zh-CN"/>
        </w:rPr>
        <w:t>法律、</w:t>
      </w:r>
      <w:r>
        <w:rPr>
          <w:rFonts w:hint="eastAsia"/>
        </w:rPr>
        <w:t>标准规范的要求</w:t>
      </w:r>
      <w:r>
        <w:rPr>
          <w:rFonts w:hint="eastAsia"/>
          <w:lang w:eastAsia="zh-CN"/>
        </w:rPr>
        <w:t>。</w:t>
      </w:r>
    </w:p>
    <w:p w14:paraId="1DD391D5">
      <w:pPr>
        <w:pStyle w:val="5"/>
        <w:keepNext w:val="0"/>
        <w:keepLines w:val="0"/>
        <w:pageBreakBefore w:val="0"/>
        <w:widowControl w:val="0"/>
        <w:kinsoku/>
        <w:bidi w:val="0"/>
      </w:pPr>
      <w:bookmarkStart w:id="1023" w:name="_Toc55945315"/>
      <w:bookmarkStart w:id="1024" w:name="_Toc498519840"/>
      <w:bookmarkStart w:id="1025" w:name="_Toc498299370"/>
      <w:bookmarkStart w:id="1026" w:name="_Toc60925424"/>
      <w:bookmarkStart w:id="1027" w:name="_Toc46697252"/>
      <w:bookmarkStart w:id="1028" w:name="_Toc500007178"/>
      <w:bookmarkStart w:id="1029" w:name="_Toc26856"/>
      <w:bookmarkStart w:id="1030" w:name="_Toc300059862"/>
      <w:bookmarkStart w:id="1031" w:name="_Toc196202577"/>
      <w:bookmarkStart w:id="1032" w:name="_Toc297737301"/>
      <w:bookmarkStart w:id="1033" w:name="_Toc13984"/>
      <w:bookmarkStart w:id="1034" w:name="_Toc195557266"/>
      <w:bookmarkStart w:id="1035" w:name="_Toc325717203"/>
      <w:bookmarkStart w:id="1036" w:name="_Toc24992"/>
      <w:bookmarkStart w:id="1037" w:name="_Toc198350302"/>
      <w:r>
        <w:rPr>
          <w:rFonts w:hint="eastAsia"/>
        </w:rPr>
        <w:t>采暖通风</w:t>
      </w:r>
      <w:bookmarkEnd w:id="1023"/>
      <w:bookmarkEnd w:id="1024"/>
      <w:bookmarkEnd w:id="1025"/>
      <w:bookmarkEnd w:id="1026"/>
      <w:bookmarkEnd w:id="1027"/>
      <w:bookmarkEnd w:id="1028"/>
      <w:bookmarkEnd w:id="1029"/>
    </w:p>
    <w:p w14:paraId="18F408A5">
      <w:pPr>
        <w:bidi w:val="0"/>
        <w:rPr>
          <w:rFonts w:hint="eastAsia" w:ascii="宋体" w:hAnsi="宋体" w:eastAsia="宋体" w:cs="宋体"/>
        </w:rPr>
      </w:pPr>
      <w:r>
        <w:rPr>
          <w:rFonts w:hint="eastAsia"/>
        </w:rPr>
        <w:t>根据《工业企业设计卫生标准》（GBZ1-2010）、《生产过程安全卫生要求总则》（GB/T12801-2008）等相关法规、标准的要求编制检查表，对本项目采暖通风及空气调节设施进行符合性评价。检查结果见下表。</w:t>
      </w:r>
    </w:p>
    <w:p w14:paraId="18A3C0AC">
      <w:pPr>
        <w:pStyle w:val="12"/>
        <w:keepNext w:val="0"/>
        <w:keepLines w:val="0"/>
        <w:pageBreakBefore w:val="0"/>
        <w:widowControl w:val="0"/>
        <w:kinsoku/>
        <w:wordWrap/>
        <w:bidi w:val="0"/>
        <w:rPr>
          <w:rFonts w:hint="eastAsia"/>
          <w:lang w:val="en-US" w:eastAsia="zh-CN"/>
        </w:rPr>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8</w:t>
      </w:r>
      <w:r>
        <w:rPr>
          <w:rFonts w:hint="eastAsia"/>
          <w:lang w:val="en-US" w:eastAsia="zh-CN"/>
        </w:rPr>
        <w:fldChar w:fldCharType="end"/>
      </w:r>
      <w:r>
        <w:rPr>
          <w:rFonts w:hint="eastAsia"/>
          <w:lang w:val="en-US" w:eastAsia="zh-CN"/>
        </w:rPr>
        <w:t>采暖通风及空气调节检查表</w:t>
      </w:r>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65"/>
        <w:gridCol w:w="3571"/>
        <w:gridCol w:w="2119"/>
        <w:gridCol w:w="1918"/>
        <w:gridCol w:w="547"/>
      </w:tblGrid>
      <w:tr w14:paraId="087CEA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14" w:type="pct"/>
            <w:tcBorders>
              <w:tl2br w:val="nil"/>
              <w:tr2bl w:val="nil"/>
            </w:tcBorders>
            <w:noWrap w:val="0"/>
            <w:vAlign w:val="center"/>
          </w:tcPr>
          <w:p w14:paraId="2BB3131A">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84" w:rightChars="-30"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2095" w:type="pct"/>
            <w:tcBorders>
              <w:tl2br w:val="nil"/>
              <w:tr2bl w:val="nil"/>
            </w:tcBorders>
            <w:noWrap w:val="0"/>
            <w:vAlign w:val="center"/>
          </w:tcPr>
          <w:p w14:paraId="4116A060">
            <w:pPr>
              <w:keepNext w:val="0"/>
              <w:keepLines w:val="0"/>
              <w:pageBreakBefore w:val="0"/>
              <w:widowControl w:val="0"/>
              <w:suppressLineNumbers w:val="0"/>
              <w:kinsoku/>
              <w:wordWrap/>
              <w:bidi w:val="0"/>
              <w:adjustRightInd w:val="0"/>
              <w:snapToGrid w:val="0"/>
              <w:spacing w:before="0" w:beforeAutospacing="0" w:after="0" w:afterAutospacing="0" w:line="240" w:lineRule="auto"/>
              <w:ind w:left="-84" w:leftChars="-30" w:right="-84" w:rightChars="-30"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评价项目及内容</w:t>
            </w:r>
          </w:p>
        </w:tc>
        <w:tc>
          <w:tcPr>
            <w:tcW w:w="1243" w:type="pct"/>
            <w:tcBorders>
              <w:tl2br w:val="nil"/>
              <w:tr2bl w:val="nil"/>
            </w:tcBorders>
            <w:noWrap w:val="0"/>
            <w:vAlign w:val="center"/>
          </w:tcPr>
          <w:p w14:paraId="0CB1B423">
            <w:pPr>
              <w:keepNext w:val="0"/>
              <w:keepLines w:val="0"/>
              <w:pageBreakBefore w:val="0"/>
              <w:widowControl w:val="0"/>
              <w:suppressLineNumbers w:val="0"/>
              <w:kinsoku/>
              <w:wordWrap/>
              <w:bidi w:val="0"/>
              <w:adjustRightInd w:val="0"/>
              <w:snapToGrid w:val="0"/>
              <w:spacing w:before="0" w:beforeAutospacing="0" w:after="0" w:afterAutospacing="0" w:line="240" w:lineRule="auto"/>
              <w:ind w:left="-140" w:leftChars="-50" w:right="-140" w:rightChars="-50"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依据标准</w:t>
            </w:r>
          </w:p>
        </w:tc>
        <w:tc>
          <w:tcPr>
            <w:tcW w:w="1125" w:type="pct"/>
            <w:tcBorders>
              <w:tl2br w:val="nil"/>
              <w:tr2bl w:val="nil"/>
            </w:tcBorders>
            <w:noWrap w:val="0"/>
            <w:vAlign w:val="center"/>
          </w:tcPr>
          <w:p w14:paraId="5A650EAA">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检查情况</w:t>
            </w:r>
          </w:p>
        </w:tc>
        <w:tc>
          <w:tcPr>
            <w:tcW w:w="321" w:type="pct"/>
            <w:tcBorders>
              <w:tl2br w:val="nil"/>
              <w:tr2bl w:val="nil"/>
            </w:tcBorders>
            <w:noWrap w:val="0"/>
            <w:vAlign w:val="center"/>
          </w:tcPr>
          <w:p w14:paraId="39BF28BC">
            <w:pPr>
              <w:keepNext w:val="0"/>
              <w:keepLines w:val="0"/>
              <w:pageBreakBefore w:val="0"/>
              <w:widowControl w:val="0"/>
              <w:suppressLineNumbers w:val="0"/>
              <w:kinsoku/>
              <w:wordWrap/>
              <w:bidi w:val="0"/>
              <w:adjustRightInd w:val="0"/>
              <w:snapToGrid w:val="0"/>
              <w:spacing w:before="0" w:beforeAutospacing="0" w:after="0" w:afterAutospacing="0" w:line="240" w:lineRule="auto"/>
              <w:ind w:left="-140" w:leftChars="-50" w:right="-140" w:rightChars="-50"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结论</w:t>
            </w:r>
          </w:p>
        </w:tc>
      </w:tr>
      <w:tr w14:paraId="401F94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tcBorders>
              <w:tl2br w:val="nil"/>
              <w:tr2bl w:val="nil"/>
            </w:tcBorders>
            <w:noWrap w:val="0"/>
            <w:vAlign w:val="center"/>
          </w:tcPr>
          <w:p w14:paraId="06FEDA16">
            <w:pPr>
              <w:keepNext w:val="0"/>
              <w:keepLines w:val="0"/>
              <w:pageBreakBefore w:val="0"/>
              <w:widowControl w:val="0"/>
              <w:numPr>
                <w:ilvl w:val="0"/>
                <w:numId w:val="121"/>
              </w:numPr>
              <w:suppressLineNumbers w:val="0"/>
              <w:kinsoku/>
              <w:wordWrap/>
              <w:bidi w:val="0"/>
              <w:spacing w:before="0" w:beforeAutospacing="0" w:after="0" w:afterAutospacing="0"/>
              <w:ind w:left="0" w:leftChars="0" w:right="0" w:rightChars="0" w:firstLine="0" w:firstLineChars="0"/>
              <w:jc w:val="center"/>
              <w:rPr>
                <w:rFonts w:hint="eastAsia" w:ascii="宋体" w:hAnsi="宋体" w:eastAsia="宋体" w:cs="宋体"/>
                <w:kern w:val="2"/>
                <w:sz w:val="21"/>
                <w:szCs w:val="21"/>
                <w:lang w:val="en-US" w:eastAsia="zh-CN" w:bidi="ar-SA"/>
              </w:rPr>
            </w:pPr>
          </w:p>
        </w:tc>
        <w:tc>
          <w:tcPr>
            <w:tcW w:w="2095" w:type="pct"/>
            <w:tcBorders>
              <w:tl2br w:val="nil"/>
              <w:tr2bl w:val="nil"/>
            </w:tcBorders>
            <w:noWrap w:val="0"/>
            <w:vAlign w:val="center"/>
          </w:tcPr>
          <w:p w14:paraId="67A415D5">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厂房建筑方位应能使室内有良好的自然通风和自然采光，相邻两建筑物的间距一般不小于二者中较高建筑物的高度；</w:t>
            </w:r>
          </w:p>
        </w:tc>
        <w:tc>
          <w:tcPr>
            <w:tcW w:w="1243" w:type="pct"/>
            <w:tcBorders>
              <w:tl2br w:val="nil"/>
              <w:tr2bl w:val="nil"/>
            </w:tcBorders>
            <w:noWrap w:val="0"/>
            <w:vAlign w:val="center"/>
          </w:tcPr>
          <w:p w14:paraId="5845DEAC">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《工业企业设计卫生标准》</w:t>
            </w:r>
          </w:p>
          <w:p w14:paraId="5EF8F4D6">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（GBZ1-2010）</w:t>
            </w:r>
          </w:p>
          <w:p w14:paraId="74AFEEC8">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5.3.1</w:t>
            </w:r>
          </w:p>
        </w:tc>
        <w:tc>
          <w:tcPr>
            <w:tcW w:w="1125" w:type="pct"/>
            <w:tcBorders>
              <w:tl2br w:val="nil"/>
              <w:tr2bl w:val="nil"/>
            </w:tcBorders>
            <w:noWrap w:val="0"/>
            <w:vAlign w:val="center"/>
          </w:tcPr>
          <w:p w14:paraId="7DF231E1">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项目生产车间设计有一定面积的采光天窗和侧窗，通风良好。</w:t>
            </w:r>
          </w:p>
        </w:tc>
        <w:tc>
          <w:tcPr>
            <w:tcW w:w="321" w:type="pct"/>
            <w:tcBorders>
              <w:tl2br w:val="nil"/>
              <w:tr2bl w:val="nil"/>
            </w:tcBorders>
            <w:noWrap w:val="0"/>
            <w:vAlign w:val="center"/>
          </w:tcPr>
          <w:p w14:paraId="0C2505EE">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72B97D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tcBorders>
              <w:tl2br w:val="nil"/>
              <w:tr2bl w:val="nil"/>
            </w:tcBorders>
            <w:noWrap w:val="0"/>
            <w:vAlign w:val="center"/>
          </w:tcPr>
          <w:p w14:paraId="28B383C4">
            <w:pPr>
              <w:keepNext w:val="0"/>
              <w:keepLines w:val="0"/>
              <w:pageBreakBefore w:val="0"/>
              <w:widowControl w:val="0"/>
              <w:numPr>
                <w:ilvl w:val="0"/>
                <w:numId w:val="121"/>
              </w:numPr>
              <w:suppressLineNumbers w:val="0"/>
              <w:kinsoku/>
              <w:wordWrap/>
              <w:bidi w:val="0"/>
              <w:spacing w:before="0" w:beforeAutospacing="0" w:after="0" w:afterAutospacing="0"/>
              <w:ind w:left="0" w:leftChars="0" w:right="0" w:rightChars="0" w:firstLine="0" w:firstLineChars="0"/>
              <w:jc w:val="center"/>
              <w:rPr>
                <w:rFonts w:hint="eastAsia" w:ascii="宋体" w:hAnsi="宋体" w:eastAsia="宋体" w:cs="宋体"/>
                <w:kern w:val="2"/>
                <w:sz w:val="21"/>
                <w:szCs w:val="21"/>
                <w:lang w:val="en-US" w:eastAsia="zh-CN" w:bidi="ar-SA"/>
              </w:rPr>
            </w:pPr>
          </w:p>
        </w:tc>
        <w:tc>
          <w:tcPr>
            <w:tcW w:w="2095" w:type="pct"/>
            <w:tcBorders>
              <w:tl2br w:val="nil"/>
              <w:tr2bl w:val="nil"/>
            </w:tcBorders>
            <w:noWrap w:val="0"/>
            <w:vAlign w:val="center"/>
          </w:tcPr>
          <w:p w14:paraId="22B5ACAF">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产生噪声、振动的厂房设计和设备布局应采取降噪和减振措施。</w:t>
            </w:r>
          </w:p>
        </w:tc>
        <w:tc>
          <w:tcPr>
            <w:tcW w:w="1243" w:type="pct"/>
            <w:tcBorders>
              <w:tl2br w:val="nil"/>
              <w:tr2bl w:val="nil"/>
            </w:tcBorders>
            <w:noWrap w:val="0"/>
            <w:vAlign w:val="center"/>
          </w:tcPr>
          <w:p w14:paraId="32A0D5E9">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《工业企业设计卫生标准》</w:t>
            </w:r>
          </w:p>
          <w:p w14:paraId="11DDF764">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（GBZ1-2010）</w:t>
            </w:r>
          </w:p>
          <w:p w14:paraId="4A737D53">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5.3.4</w:t>
            </w:r>
          </w:p>
        </w:tc>
        <w:tc>
          <w:tcPr>
            <w:tcW w:w="1125" w:type="pct"/>
            <w:tcBorders>
              <w:tl2br w:val="nil"/>
              <w:tr2bl w:val="nil"/>
            </w:tcBorders>
            <w:noWrap w:val="0"/>
            <w:vAlign w:val="center"/>
          </w:tcPr>
          <w:p w14:paraId="1CF03FE1">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项目高噪声设备</w:t>
            </w:r>
            <w:r>
              <w:rPr>
                <w:rFonts w:hint="eastAsia" w:cs="宋体"/>
                <w:sz w:val="21"/>
                <w:szCs w:val="21"/>
                <w:lang w:val="en-US" w:eastAsia="zh-CN"/>
              </w:rPr>
              <w:t>除尘设备</w:t>
            </w:r>
            <w:r>
              <w:rPr>
                <w:rFonts w:hint="eastAsia" w:ascii="宋体" w:hAnsi="宋体" w:eastAsia="宋体" w:cs="宋体"/>
                <w:sz w:val="21"/>
                <w:szCs w:val="21"/>
              </w:rPr>
              <w:t>露天布置，并采取基础减振降噪措施。</w:t>
            </w:r>
          </w:p>
        </w:tc>
        <w:tc>
          <w:tcPr>
            <w:tcW w:w="321" w:type="pct"/>
            <w:tcBorders>
              <w:tl2br w:val="nil"/>
              <w:tr2bl w:val="nil"/>
            </w:tcBorders>
            <w:noWrap w:val="0"/>
            <w:vAlign w:val="center"/>
          </w:tcPr>
          <w:p w14:paraId="24F1FAD1">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符合</w:t>
            </w:r>
          </w:p>
        </w:tc>
      </w:tr>
      <w:tr w14:paraId="5A9AAA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tcBorders>
              <w:tl2br w:val="nil"/>
              <w:tr2bl w:val="nil"/>
            </w:tcBorders>
            <w:noWrap w:val="0"/>
            <w:vAlign w:val="center"/>
          </w:tcPr>
          <w:p w14:paraId="7FA147A2">
            <w:pPr>
              <w:keepNext w:val="0"/>
              <w:keepLines w:val="0"/>
              <w:pageBreakBefore w:val="0"/>
              <w:widowControl w:val="0"/>
              <w:numPr>
                <w:ilvl w:val="0"/>
                <w:numId w:val="121"/>
              </w:numPr>
              <w:suppressLineNumbers w:val="0"/>
              <w:kinsoku/>
              <w:wordWrap/>
              <w:bidi w:val="0"/>
              <w:spacing w:before="0" w:beforeAutospacing="0" w:after="0" w:afterAutospacing="0"/>
              <w:ind w:left="0" w:leftChars="0" w:right="0" w:rightChars="0" w:firstLine="0" w:firstLineChars="0"/>
              <w:jc w:val="center"/>
              <w:rPr>
                <w:rFonts w:hint="eastAsia" w:ascii="宋体" w:hAnsi="宋体" w:eastAsia="宋体" w:cs="宋体"/>
                <w:kern w:val="2"/>
                <w:sz w:val="21"/>
                <w:szCs w:val="21"/>
                <w:lang w:val="en-US" w:eastAsia="zh-CN" w:bidi="ar-SA"/>
              </w:rPr>
            </w:pPr>
          </w:p>
        </w:tc>
        <w:tc>
          <w:tcPr>
            <w:tcW w:w="2095" w:type="pct"/>
            <w:tcBorders>
              <w:tl2br w:val="nil"/>
              <w:tr2bl w:val="nil"/>
            </w:tcBorders>
            <w:noWrap w:val="0"/>
            <w:vAlign w:val="center"/>
          </w:tcPr>
          <w:p w14:paraId="1D8DFEEC">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工作场所粉尘、毒物的发生源应布置在工作地点的自然通风或进风口的下风侧；放散不同有毒物质的生产过程所涉及的设施布置在同一建筑物内时，使用或产生高毒物质的工作场所应与其他工作场所隔离。</w:t>
            </w:r>
          </w:p>
        </w:tc>
        <w:tc>
          <w:tcPr>
            <w:tcW w:w="1243" w:type="pct"/>
            <w:tcBorders>
              <w:tl2br w:val="nil"/>
              <w:tr2bl w:val="nil"/>
            </w:tcBorders>
            <w:noWrap w:val="0"/>
            <w:vAlign w:val="center"/>
          </w:tcPr>
          <w:p w14:paraId="4619293E">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《工业企业设计卫生标准》</w:t>
            </w:r>
          </w:p>
          <w:p w14:paraId="05AD54BC">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（GBZ1-2010）</w:t>
            </w:r>
          </w:p>
          <w:p w14:paraId="19DF731B">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6.1.4</w:t>
            </w:r>
          </w:p>
        </w:tc>
        <w:tc>
          <w:tcPr>
            <w:tcW w:w="1125" w:type="pct"/>
            <w:tcBorders>
              <w:tl2br w:val="nil"/>
              <w:tr2bl w:val="nil"/>
            </w:tcBorders>
            <w:noWrap w:val="0"/>
            <w:vAlign w:val="center"/>
          </w:tcPr>
          <w:p w14:paraId="674F84A5">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项目产生烟气、防尘设备位于工作场所的下风口，符合要求。</w:t>
            </w:r>
          </w:p>
        </w:tc>
        <w:tc>
          <w:tcPr>
            <w:tcW w:w="321" w:type="pct"/>
            <w:tcBorders>
              <w:tl2br w:val="nil"/>
              <w:tr2bl w:val="nil"/>
            </w:tcBorders>
            <w:noWrap w:val="0"/>
            <w:vAlign w:val="center"/>
          </w:tcPr>
          <w:p w14:paraId="4D5079B9">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符合</w:t>
            </w:r>
          </w:p>
        </w:tc>
      </w:tr>
      <w:tr w14:paraId="185605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4" w:type="pct"/>
            <w:tcBorders>
              <w:tl2br w:val="nil"/>
              <w:tr2bl w:val="nil"/>
            </w:tcBorders>
            <w:noWrap w:val="0"/>
            <w:vAlign w:val="center"/>
          </w:tcPr>
          <w:p w14:paraId="6B88020C">
            <w:pPr>
              <w:keepNext w:val="0"/>
              <w:keepLines w:val="0"/>
              <w:pageBreakBefore w:val="0"/>
              <w:widowControl w:val="0"/>
              <w:numPr>
                <w:ilvl w:val="0"/>
                <w:numId w:val="121"/>
              </w:numPr>
              <w:suppressLineNumbers w:val="0"/>
              <w:kinsoku/>
              <w:wordWrap/>
              <w:bidi w:val="0"/>
              <w:spacing w:before="0" w:beforeAutospacing="0" w:after="0" w:afterAutospacing="0"/>
              <w:ind w:left="0" w:leftChars="0" w:right="0" w:rightChars="0" w:firstLine="0" w:firstLineChars="0"/>
              <w:jc w:val="center"/>
              <w:rPr>
                <w:rFonts w:hint="eastAsia" w:ascii="宋体" w:hAnsi="宋体" w:eastAsia="宋体" w:cs="宋体"/>
                <w:kern w:val="2"/>
                <w:sz w:val="21"/>
                <w:szCs w:val="21"/>
                <w:lang w:val="en-US" w:eastAsia="zh-CN" w:bidi="ar-SA"/>
              </w:rPr>
            </w:pPr>
          </w:p>
        </w:tc>
        <w:tc>
          <w:tcPr>
            <w:tcW w:w="2095" w:type="pct"/>
            <w:tcBorders>
              <w:tl2br w:val="nil"/>
              <w:tr2bl w:val="nil"/>
            </w:tcBorders>
            <w:noWrap w:val="0"/>
            <w:vAlign w:val="center"/>
          </w:tcPr>
          <w:p w14:paraId="76B93B26">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both"/>
              <w:rPr>
                <w:rFonts w:hint="eastAsia" w:ascii="宋体" w:hAnsi="宋体" w:eastAsia="宋体" w:cs="宋体"/>
                <w:kern w:val="0"/>
                <w:sz w:val="21"/>
                <w:szCs w:val="21"/>
              </w:rPr>
            </w:pPr>
            <w:r>
              <w:rPr>
                <w:rFonts w:hint="eastAsia" w:ascii="宋体" w:hAnsi="宋体" w:eastAsia="宋体" w:cs="宋体"/>
                <w:kern w:val="0"/>
                <w:sz w:val="21"/>
                <w:szCs w:val="21"/>
              </w:rPr>
              <w:t>工作场所采光要求应按GB50033规定执行。工作场所照明要求应按GB50034规定执行。</w:t>
            </w:r>
          </w:p>
        </w:tc>
        <w:tc>
          <w:tcPr>
            <w:tcW w:w="1243" w:type="pct"/>
            <w:tcBorders>
              <w:tl2br w:val="nil"/>
              <w:tr2bl w:val="nil"/>
            </w:tcBorders>
            <w:noWrap w:val="0"/>
            <w:vAlign w:val="center"/>
          </w:tcPr>
          <w:p w14:paraId="0A741D83">
            <w:pPr>
              <w:keepNext w:val="0"/>
              <w:keepLines w:val="0"/>
              <w:pageBreakBefore w:val="0"/>
              <w:widowControl w:val="0"/>
              <w:suppressLineNumbers w:val="0"/>
              <w:tabs>
                <w:tab w:val="left" w:pos="360"/>
              </w:tabs>
              <w:kinsoku/>
              <w:wordWrap/>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《工业企业设计卫生标准》</w:t>
            </w:r>
          </w:p>
          <w:p w14:paraId="6C63EC9B">
            <w:pPr>
              <w:keepNext w:val="0"/>
              <w:keepLines w:val="0"/>
              <w:pageBreakBefore w:val="0"/>
              <w:widowControl w:val="0"/>
              <w:suppressLineNumbers w:val="0"/>
              <w:tabs>
                <w:tab w:val="left" w:pos="360"/>
              </w:tabs>
              <w:kinsoku/>
              <w:wordWrap/>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sz w:val="21"/>
                <w:szCs w:val="21"/>
                <w:lang w:eastAsia="zh-CN"/>
              </w:rPr>
            </w:pPr>
            <w:r>
              <w:rPr>
                <w:rFonts w:hint="eastAsia" w:cs="宋体"/>
                <w:sz w:val="21"/>
                <w:szCs w:val="21"/>
                <w:lang w:eastAsia="zh-CN"/>
              </w:rPr>
              <w:t>（</w:t>
            </w:r>
            <w:r>
              <w:rPr>
                <w:rFonts w:hint="eastAsia" w:ascii="宋体" w:hAnsi="宋体" w:eastAsia="宋体" w:cs="宋体"/>
                <w:sz w:val="21"/>
                <w:szCs w:val="21"/>
              </w:rPr>
              <w:t>GBZ1-2010</w:t>
            </w:r>
            <w:r>
              <w:rPr>
                <w:rFonts w:hint="eastAsia" w:cs="宋体"/>
                <w:sz w:val="21"/>
                <w:szCs w:val="21"/>
                <w:lang w:eastAsia="zh-CN"/>
              </w:rPr>
              <w:t>）</w:t>
            </w:r>
          </w:p>
          <w:p w14:paraId="1672D2F7">
            <w:pPr>
              <w:keepNext w:val="0"/>
              <w:keepLines w:val="0"/>
              <w:pageBreakBefore w:val="0"/>
              <w:widowControl w:val="0"/>
              <w:suppressLineNumbers w:val="0"/>
              <w:tabs>
                <w:tab w:val="left" w:pos="360"/>
              </w:tabs>
              <w:kinsoku/>
              <w:wordWrap/>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6.5.2</w:t>
            </w:r>
          </w:p>
        </w:tc>
        <w:tc>
          <w:tcPr>
            <w:tcW w:w="1125" w:type="pct"/>
            <w:tcBorders>
              <w:tl2br w:val="nil"/>
              <w:tr2bl w:val="nil"/>
            </w:tcBorders>
            <w:noWrap w:val="0"/>
            <w:vAlign w:val="center"/>
          </w:tcPr>
          <w:p w14:paraId="70108181">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项目采光、照明由人工照明和自然采光组成。</w:t>
            </w:r>
          </w:p>
        </w:tc>
        <w:tc>
          <w:tcPr>
            <w:tcW w:w="321" w:type="pct"/>
            <w:tcBorders>
              <w:tl2br w:val="nil"/>
              <w:tr2bl w:val="nil"/>
            </w:tcBorders>
            <w:noWrap w:val="0"/>
            <w:vAlign w:val="center"/>
          </w:tcPr>
          <w:p w14:paraId="39387B75">
            <w:pPr>
              <w:keepNext w:val="0"/>
              <w:keepLines w:val="0"/>
              <w:pageBreakBefore w:val="0"/>
              <w:widowControl w:val="0"/>
              <w:suppressLineNumbers w:val="0"/>
              <w:kinsoku/>
              <w:wordWrap/>
              <w:bidi w:val="0"/>
              <w:adjustRightInd w:val="0"/>
              <w:snapToGrid w:val="0"/>
              <w:spacing w:before="0" w:beforeAutospacing="0" w:after="0" w:afterAutospacing="0" w:line="240" w:lineRule="auto"/>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bl>
    <w:p w14:paraId="254E960F">
      <w:pPr>
        <w:bidi w:val="0"/>
        <w:rPr>
          <w:rFonts w:hint="default"/>
          <w:lang w:val="en-US" w:eastAsia="zh-CN"/>
        </w:rPr>
      </w:pPr>
      <w:r>
        <w:rPr>
          <w:rFonts w:hint="eastAsia"/>
          <w:lang w:eastAsia="zh-CN"/>
        </w:rPr>
        <w:t>云南东锆新材料有限公司</w:t>
      </w:r>
      <w:r>
        <w:rPr>
          <w:rFonts w:hint="eastAsia"/>
        </w:rPr>
        <w:t>所在区域不需要设置集中采暖</w:t>
      </w:r>
      <w:r>
        <w:rPr>
          <w:rFonts w:hint="eastAsia"/>
          <w:lang w:eastAsia="zh-CN"/>
        </w:rPr>
        <w:t>，</w:t>
      </w:r>
      <w:r>
        <w:rPr>
          <w:rFonts w:hint="eastAsia"/>
          <w:lang w:val="en-US" w:eastAsia="zh-CN"/>
        </w:rPr>
        <w:t>项目区办公室设置有空调系统</w:t>
      </w:r>
      <w:r>
        <w:rPr>
          <w:rFonts w:hint="eastAsia"/>
        </w:rPr>
        <w:t>。生产厂房采用自然通风，采光、照明由人工照明和自然采光组成。</w:t>
      </w:r>
      <w:r>
        <w:rPr>
          <w:rFonts w:hint="eastAsia"/>
          <w:lang w:val="en-US" w:eastAsia="zh-CN"/>
        </w:rPr>
        <w:t>项目</w:t>
      </w:r>
      <w:r>
        <w:rPr>
          <w:rFonts w:hint="eastAsia"/>
        </w:rPr>
        <w:t>采暖通风及空气调节措施</w:t>
      </w:r>
      <w:r>
        <w:rPr>
          <w:rFonts w:hint="eastAsia"/>
          <w:lang w:val="en-US" w:eastAsia="zh-CN"/>
        </w:rPr>
        <w:t>符合规范要求。</w:t>
      </w:r>
    </w:p>
    <w:bookmarkEnd w:id="1012"/>
    <w:bookmarkEnd w:id="1013"/>
    <w:bookmarkEnd w:id="1014"/>
    <w:bookmarkEnd w:id="1015"/>
    <w:bookmarkEnd w:id="1030"/>
    <w:bookmarkEnd w:id="1031"/>
    <w:bookmarkEnd w:id="1032"/>
    <w:bookmarkEnd w:id="1033"/>
    <w:bookmarkEnd w:id="1034"/>
    <w:bookmarkEnd w:id="1035"/>
    <w:bookmarkEnd w:id="1036"/>
    <w:bookmarkEnd w:id="1037"/>
    <w:p w14:paraId="544996A1">
      <w:pPr>
        <w:pStyle w:val="5"/>
        <w:keepNext w:val="0"/>
        <w:keepLines w:val="0"/>
        <w:pageBreakBefore w:val="0"/>
        <w:widowControl w:val="0"/>
        <w:kinsoku/>
        <w:bidi w:val="0"/>
        <w:rPr>
          <w:rFonts w:hint="eastAsia"/>
          <w:lang w:val="en-US" w:eastAsia="zh-CN"/>
        </w:rPr>
      </w:pPr>
      <w:r>
        <w:rPr>
          <w:rFonts w:hint="eastAsia"/>
          <w:lang w:val="en-US" w:eastAsia="zh-CN"/>
        </w:rPr>
        <w:t>供气系统</w:t>
      </w:r>
    </w:p>
    <w:p w14:paraId="174B11CD">
      <w:pPr>
        <w:pStyle w:val="12"/>
        <w:keepNext w:val="0"/>
        <w:keepLines w:val="0"/>
        <w:pageBreakBefore w:val="0"/>
        <w:widowControl w:val="0"/>
        <w:kinsoku/>
        <w:wordWrap/>
        <w:bidi w:val="0"/>
        <w:rPr>
          <w:rFonts w:hint="eastAsia"/>
          <w:lang w:val="en-US" w:eastAsia="zh-CN"/>
        </w:rPr>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9</w:t>
      </w:r>
      <w:r>
        <w:rPr>
          <w:rFonts w:hint="eastAsia"/>
          <w:lang w:val="en-US" w:eastAsia="zh-CN"/>
        </w:rPr>
        <w:fldChar w:fldCharType="end"/>
      </w:r>
      <w:r>
        <w:rPr>
          <w:rFonts w:hint="eastAsia"/>
          <w:lang w:val="en-US" w:eastAsia="zh-CN"/>
        </w:rPr>
        <w:t>空压机房安全检查表评价</w:t>
      </w:r>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49"/>
        <w:gridCol w:w="3638"/>
        <w:gridCol w:w="1964"/>
        <w:gridCol w:w="1780"/>
        <w:gridCol w:w="689"/>
      </w:tblGrid>
      <w:tr w14:paraId="454E46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64" w:type="pct"/>
            <w:tcBorders>
              <w:tl2br w:val="nil"/>
              <w:tr2bl w:val="nil"/>
            </w:tcBorders>
            <w:noWrap w:val="0"/>
            <w:vAlign w:val="center"/>
          </w:tcPr>
          <w:p w14:paraId="5C19C9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b/>
                <w:bCs/>
                <w:color w:val="000000"/>
                <w:sz w:val="21"/>
                <w:szCs w:val="21"/>
              </w:rPr>
            </w:pPr>
            <w:r>
              <w:rPr>
                <w:rFonts w:hint="eastAsia" w:ascii="宋体" w:hAnsi="宋体"/>
                <w:b/>
                <w:bCs/>
                <w:color w:val="000000"/>
                <w:sz w:val="21"/>
                <w:szCs w:val="21"/>
              </w:rPr>
              <w:t>序号</w:t>
            </w:r>
          </w:p>
        </w:tc>
        <w:tc>
          <w:tcPr>
            <w:tcW w:w="2134" w:type="pct"/>
            <w:tcBorders>
              <w:tl2br w:val="nil"/>
              <w:tr2bl w:val="nil"/>
            </w:tcBorders>
            <w:noWrap w:val="0"/>
            <w:vAlign w:val="center"/>
          </w:tcPr>
          <w:p w14:paraId="7C64CE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b/>
                <w:bCs/>
                <w:color w:val="000000"/>
                <w:sz w:val="21"/>
                <w:szCs w:val="21"/>
              </w:rPr>
            </w:pPr>
            <w:r>
              <w:rPr>
                <w:rFonts w:hint="eastAsia" w:ascii="宋体" w:hAnsi="宋体"/>
                <w:b/>
                <w:bCs/>
                <w:color w:val="000000"/>
                <w:sz w:val="21"/>
                <w:szCs w:val="21"/>
              </w:rPr>
              <w:t>检查内容</w:t>
            </w:r>
          </w:p>
        </w:tc>
        <w:tc>
          <w:tcPr>
            <w:tcW w:w="1152" w:type="pct"/>
            <w:tcBorders>
              <w:tl2br w:val="nil"/>
              <w:tr2bl w:val="nil"/>
            </w:tcBorders>
            <w:noWrap w:val="0"/>
            <w:vAlign w:val="center"/>
          </w:tcPr>
          <w:p w14:paraId="75F9A0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b/>
                <w:bCs/>
                <w:color w:val="000000"/>
                <w:sz w:val="21"/>
                <w:szCs w:val="21"/>
              </w:rPr>
            </w:pPr>
            <w:r>
              <w:rPr>
                <w:rFonts w:hint="eastAsia" w:ascii="宋体" w:hAnsi="宋体"/>
                <w:b/>
                <w:bCs/>
                <w:color w:val="000000"/>
                <w:sz w:val="21"/>
                <w:szCs w:val="21"/>
              </w:rPr>
              <w:t>检查依据</w:t>
            </w:r>
          </w:p>
        </w:tc>
        <w:tc>
          <w:tcPr>
            <w:tcW w:w="1044" w:type="pct"/>
            <w:tcBorders>
              <w:tl2br w:val="nil"/>
              <w:tr2bl w:val="nil"/>
            </w:tcBorders>
            <w:noWrap w:val="0"/>
            <w:vAlign w:val="center"/>
          </w:tcPr>
          <w:p w14:paraId="6DBAE1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b/>
                <w:bCs/>
                <w:color w:val="000000"/>
                <w:sz w:val="21"/>
                <w:szCs w:val="21"/>
              </w:rPr>
            </w:pPr>
            <w:r>
              <w:rPr>
                <w:rFonts w:hint="eastAsia" w:ascii="宋体" w:hAnsi="宋体"/>
                <w:b/>
                <w:bCs/>
                <w:color w:val="000000"/>
                <w:sz w:val="21"/>
                <w:szCs w:val="21"/>
              </w:rPr>
              <w:t>检查结果</w:t>
            </w:r>
          </w:p>
        </w:tc>
        <w:tc>
          <w:tcPr>
            <w:tcW w:w="404" w:type="pct"/>
            <w:tcBorders>
              <w:tl2br w:val="nil"/>
              <w:tr2bl w:val="nil"/>
            </w:tcBorders>
            <w:noWrap w:val="0"/>
            <w:vAlign w:val="center"/>
          </w:tcPr>
          <w:p w14:paraId="6D6ED9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b/>
                <w:bCs/>
                <w:color w:val="000000"/>
                <w:sz w:val="21"/>
                <w:szCs w:val="21"/>
              </w:rPr>
            </w:pPr>
            <w:r>
              <w:rPr>
                <w:rFonts w:hint="eastAsia" w:ascii="宋体" w:hAnsi="宋体"/>
                <w:b/>
                <w:bCs/>
                <w:color w:val="000000"/>
                <w:sz w:val="21"/>
                <w:szCs w:val="21"/>
              </w:rPr>
              <w:t>结论</w:t>
            </w:r>
          </w:p>
        </w:tc>
      </w:tr>
      <w:tr w14:paraId="50B5CF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64" w:type="pct"/>
            <w:tcBorders>
              <w:tl2br w:val="nil"/>
              <w:tr2bl w:val="nil"/>
            </w:tcBorders>
            <w:noWrap w:val="0"/>
            <w:vAlign w:val="center"/>
          </w:tcPr>
          <w:p w14:paraId="3C73B9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rPr>
            </w:pPr>
            <w:r>
              <w:rPr>
                <w:rFonts w:hint="eastAsia" w:ascii="宋体" w:hAnsi="宋体"/>
                <w:color w:val="000000"/>
                <w:sz w:val="21"/>
                <w:szCs w:val="21"/>
              </w:rPr>
              <w:t>1</w:t>
            </w:r>
          </w:p>
        </w:tc>
        <w:tc>
          <w:tcPr>
            <w:tcW w:w="2134" w:type="pct"/>
            <w:tcBorders>
              <w:tl2br w:val="nil"/>
              <w:tr2bl w:val="nil"/>
            </w:tcBorders>
            <w:noWrap w:val="0"/>
            <w:vAlign w:val="center"/>
          </w:tcPr>
          <w:p w14:paraId="547EB0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9"/>
              <w:rPr>
                <w:rFonts w:hint="eastAsia" w:ascii="宋体" w:hAnsi="宋体"/>
                <w:color w:val="000000"/>
                <w:sz w:val="21"/>
                <w:szCs w:val="21"/>
              </w:rPr>
            </w:pPr>
            <w:r>
              <w:rPr>
                <w:rFonts w:hint="eastAsia" w:ascii="宋体" w:hAnsi="宋体"/>
                <w:color w:val="000000"/>
                <w:sz w:val="21"/>
                <w:szCs w:val="21"/>
              </w:rPr>
              <w:t>压缩空气站的布置，应</w:t>
            </w:r>
            <w:r>
              <w:rPr>
                <w:rFonts w:hint="default" w:ascii="宋体" w:hAnsi="宋体"/>
                <w:color w:val="000000"/>
                <w:sz w:val="21"/>
                <w:szCs w:val="21"/>
              </w:rPr>
              <w:t>避免靠近散发爆炸性、腐蚀性和有毒气体以及粉尘等有害物的场所，并位于上述场所全年风向最小频率的下风侧</w:t>
            </w:r>
            <w:r>
              <w:rPr>
                <w:rFonts w:hint="eastAsia" w:ascii="宋体" w:hAnsi="宋体"/>
                <w:color w:val="000000"/>
                <w:sz w:val="21"/>
                <w:szCs w:val="21"/>
              </w:rPr>
              <w:t>。</w:t>
            </w:r>
          </w:p>
        </w:tc>
        <w:tc>
          <w:tcPr>
            <w:tcW w:w="1152" w:type="pct"/>
            <w:tcBorders>
              <w:tl2br w:val="nil"/>
              <w:tr2bl w:val="nil"/>
            </w:tcBorders>
            <w:noWrap w:val="0"/>
            <w:vAlign w:val="center"/>
          </w:tcPr>
          <w:p w14:paraId="7985B42E">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lang w:eastAsia="zh-CN"/>
              </w:rPr>
            </w:pPr>
            <w:r>
              <w:rPr>
                <w:rFonts w:hint="eastAsia" w:ascii="宋体" w:hAnsi="宋体"/>
                <w:color w:val="000000"/>
                <w:sz w:val="21"/>
                <w:szCs w:val="21"/>
                <w:lang w:eastAsia="zh-CN"/>
              </w:rPr>
              <w:t>《压缩空气站设计规范》</w:t>
            </w:r>
          </w:p>
          <w:p w14:paraId="23BC16C6">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lang w:eastAsia="zh-CN"/>
              </w:rPr>
            </w:pPr>
            <w:r>
              <w:rPr>
                <w:rFonts w:hint="eastAsia" w:ascii="宋体" w:hAnsi="宋体"/>
                <w:color w:val="000000"/>
                <w:sz w:val="21"/>
                <w:szCs w:val="21"/>
                <w:lang w:eastAsia="zh-CN"/>
              </w:rPr>
              <w:t>（GB 50029-2014）</w:t>
            </w:r>
          </w:p>
          <w:p w14:paraId="396A9E9F">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rPr>
            </w:pPr>
            <w:r>
              <w:rPr>
                <w:rFonts w:hint="eastAsia" w:ascii="宋体" w:hAnsi="宋体"/>
                <w:color w:val="000000"/>
                <w:sz w:val="21"/>
                <w:szCs w:val="21"/>
              </w:rPr>
              <w:t>2.0.1</w:t>
            </w:r>
          </w:p>
        </w:tc>
        <w:tc>
          <w:tcPr>
            <w:tcW w:w="1044" w:type="pct"/>
            <w:tcBorders>
              <w:tl2br w:val="nil"/>
              <w:tr2bl w:val="nil"/>
            </w:tcBorders>
            <w:noWrap w:val="0"/>
            <w:vAlign w:val="center"/>
          </w:tcPr>
          <w:p w14:paraId="705D71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rPr>
                <w:rFonts w:hint="default" w:ascii="宋体" w:hAnsi="宋体" w:eastAsia="宋体" w:cs="Times New Roman"/>
                <w:color w:val="000000"/>
                <w:spacing w:val="-4"/>
                <w:sz w:val="21"/>
                <w:szCs w:val="21"/>
                <w:lang w:val="en-US"/>
              </w:rPr>
            </w:pPr>
            <w:r>
              <w:rPr>
                <w:rFonts w:hint="eastAsia" w:ascii="宋体" w:hAnsi="宋体" w:eastAsia="宋体" w:cs="Times New Roman"/>
                <w:color w:val="000000"/>
                <w:spacing w:val="-4"/>
                <w:sz w:val="21"/>
                <w:szCs w:val="21"/>
              </w:rPr>
              <w:t>空压机</w:t>
            </w:r>
            <w:r>
              <w:rPr>
                <w:rFonts w:hint="eastAsia" w:ascii="宋体" w:hAnsi="宋体" w:eastAsia="宋体" w:cs="Times New Roman"/>
                <w:color w:val="000000"/>
                <w:spacing w:val="-4"/>
                <w:sz w:val="21"/>
                <w:szCs w:val="21"/>
                <w:lang w:val="en-US" w:eastAsia="zh-CN"/>
              </w:rPr>
              <w:t>站</w:t>
            </w:r>
            <w:r>
              <w:rPr>
                <w:rFonts w:hint="eastAsia" w:ascii="宋体" w:hAnsi="宋体" w:eastAsia="宋体" w:cs="Times New Roman"/>
                <w:color w:val="000000"/>
                <w:spacing w:val="-4"/>
                <w:sz w:val="21"/>
                <w:szCs w:val="21"/>
              </w:rPr>
              <w:t>位于</w:t>
            </w:r>
            <w:r>
              <w:rPr>
                <w:rFonts w:hint="eastAsia" w:ascii="宋体" w:hAnsi="宋体" w:eastAsia="宋体" w:cs="Times New Roman"/>
                <w:color w:val="000000"/>
                <w:spacing w:val="-4"/>
                <w:sz w:val="21"/>
                <w:szCs w:val="21"/>
                <w:lang w:val="en-US" w:eastAsia="zh-CN"/>
              </w:rPr>
              <w:t>生产车间北侧空地</w:t>
            </w:r>
          </w:p>
        </w:tc>
        <w:tc>
          <w:tcPr>
            <w:tcW w:w="404" w:type="pct"/>
            <w:tcBorders>
              <w:tl2br w:val="nil"/>
              <w:tr2bl w:val="nil"/>
            </w:tcBorders>
            <w:noWrap w:val="0"/>
            <w:vAlign w:val="center"/>
          </w:tcPr>
          <w:p w14:paraId="4E693B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rPr>
            </w:pPr>
            <w:r>
              <w:rPr>
                <w:rFonts w:hint="eastAsia" w:ascii="宋体" w:hAnsi="宋体"/>
                <w:color w:val="000000"/>
                <w:sz w:val="21"/>
                <w:szCs w:val="21"/>
              </w:rPr>
              <w:t>符合</w:t>
            </w:r>
          </w:p>
        </w:tc>
      </w:tr>
      <w:tr w14:paraId="326EA3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64" w:type="pct"/>
            <w:tcBorders>
              <w:tl2br w:val="nil"/>
              <w:tr2bl w:val="nil"/>
            </w:tcBorders>
            <w:noWrap w:val="0"/>
            <w:vAlign w:val="center"/>
          </w:tcPr>
          <w:p w14:paraId="03C75A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rPr>
            </w:pPr>
            <w:r>
              <w:rPr>
                <w:rFonts w:hint="eastAsia" w:ascii="宋体" w:hAnsi="宋体"/>
                <w:color w:val="000000"/>
                <w:sz w:val="21"/>
                <w:szCs w:val="21"/>
              </w:rPr>
              <w:t>2</w:t>
            </w:r>
          </w:p>
        </w:tc>
        <w:tc>
          <w:tcPr>
            <w:tcW w:w="2134" w:type="pct"/>
            <w:tcBorders>
              <w:tl2br w:val="nil"/>
              <w:tr2bl w:val="nil"/>
            </w:tcBorders>
            <w:noWrap w:val="0"/>
            <w:vAlign w:val="center"/>
          </w:tcPr>
          <w:p w14:paraId="3D8E20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9"/>
              <w:rPr>
                <w:rFonts w:hint="eastAsia" w:ascii="宋体" w:hAnsi="宋体" w:eastAsia="宋体" w:cs="Times New Roman"/>
                <w:color w:val="000000"/>
                <w:kern w:val="0"/>
                <w:sz w:val="21"/>
                <w:szCs w:val="21"/>
              </w:rPr>
            </w:pPr>
            <w:r>
              <w:rPr>
                <w:rFonts w:hint="eastAsia" w:ascii="宋体" w:hAnsi="宋体" w:eastAsia="宋体" w:cs="Times New Roman"/>
                <w:color w:val="000000"/>
                <w:kern w:val="0"/>
                <w:sz w:val="21"/>
                <w:szCs w:val="21"/>
              </w:rPr>
              <w:t>装有活塞空气压缩机、隔膜空气压缩机或离心空气压缩机的压缩空气站，当单机额定功率大于或等于75kW或总台数大于3台时，宜为独立建筑物。压缩空气站与其他建筑物毗连或设在其内时，宜用墙隔开，空气压缩机宜靠外墙布置。设在多层建筑内的空气压缩机，宜布置在底层。</w:t>
            </w:r>
          </w:p>
        </w:tc>
        <w:tc>
          <w:tcPr>
            <w:tcW w:w="1152" w:type="pct"/>
            <w:tcBorders>
              <w:tl2br w:val="nil"/>
              <w:tr2bl w:val="nil"/>
            </w:tcBorders>
            <w:noWrap w:val="0"/>
            <w:vAlign w:val="center"/>
          </w:tcPr>
          <w:p w14:paraId="69BD0E6F">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lang w:eastAsia="zh-CN"/>
              </w:rPr>
            </w:pPr>
            <w:r>
              <w:rPr>
                <w:rFonts w:hint="eastAsia" w:ascii="宋体" w:hAnsi="宋体"/>
                <w:color w:val="000000"/>
                <w:sz w:val="21"/>
                <w:szCs w:val="21"/>
                <w:lang w:eastAsia="zh-CN"/>
              </w:rPr>
              <w:t>《压缩空气站设计规范》</w:t>
            </w:r>
          </w:p>
          <w:p w14:paraId="71054E5C">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lang w:eastAsia="zh-CN"/>
              </w:rPr>
            </w:pPr>
            <w:r>
              <w:rPr>
                <w:rFonts w:hint="eastAsia" w:ascii="宋体" w:hAnsi="宋体"/>
                <w:color w:val="000000"/>
                <w:sz w:val="21"/>
                <w:szCs w:val="21"/>
                <w:lang w:eastAsia="zh-CN"/>
              </w:rPr>
              <w:t>（GB 50029-2014）</w:t>
            </w:r>
          </w:p>
          <w:p w14:paraId="217B4849">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rPr>
            </w:pPr>
            <w:r>
              <w:rPr>
                <w:rFonts w:hint="eastAsia" w:ascii="宋体" w:hAnsi="宋体"/>
                <w:color w:val="000000"/>
                <w:sz w:val="21"/>
                <w:szCs w:val="21"/>
              </w:rPr>
              <w:t>2.0.3</w:t>
            </w:r>
          </w:p>
        </w:tc>
        <w:tc>
          <w:tcPr>
            <w:tcW w:w="1044" w:type="pct"/>
            <w:tcBorders>
              <w:tl2br w:val="nil"/>
              <w:tr2bl w:val="nil"/>
            </w:tcBorders>
            <w:noWrap w:val="0"/>
            <w:vAlign w:val="center"/>
          </w:tcPr>
          <w:p w14:paraId="15942F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Times New Roman"/>
                <w:color w:val="000000"/>
                <w:spacing w:val="-4"/>
                <w:sz w:val="21"/>
                <w:szCs w:val="21"/>
              </w:rPr>
            </w:pPr>
            <w:r>
              <w:rPr>
                <w:rFonts w:hint="eastAsia" w:ascii="宋体" w:hAnsi="宋体" w:eastAsia="宋体" w:cs="Times New Roman"/>
                <w:color w:val="000000"/>
                <w:spacing w:val="-4"/>
                <w:sz w:val="21"/>
                <w:szCs w:val="21"/>
              </w:rPr>
              <w:t>空压机房</w:t>
            </w:r>
            <w:r>
              <w:rPr>
                <w:rFonts w:hint="default" w:ascii="宋体" w:hAnsi="宋体" w:eastAsia="宋体" w:cs="Times New Roman"/>
                <w:color w:val="000000"/>
                <w:spacing w:val="-4"/>
                <w:sz w:val="21"/>
                <w:szCs w:val="21"/>
              </w:rPr>
              <w:t>与其他建筑物</w:t>
            </w:r>
            <w:r>
              <w:rPr>
                <w:rFonts w:hint="eastAsia" w:ascii="宋体" w:hAnsi="宋体" w:eastAsia="宋体" w:cs="Times New Roman"/>
                <w:color w:val="000000"/>
                <w:spacing w:val="-4"/>
                <w:sz w:val="21"/>
                <w:szCs w:val="21"/>
              </w:rPr>
              <w:t>之间采用实体墙隔开</w:t>
            </w:r>
          </w:p>
        </w:tc>
        <w:tc>
          <w:tcPr>
            <w:tcW w:w="404" w:type="pct"/>
            <w:tcBorders>
              <w:tl2br w:val="nil"/>
              <w:tr2bl w:val="nil"/>
            </w:tcBorders>
            <w:noWrap w:val="0"/>
            <w:vAlign w:val="center"/>
          </w:tcPr>
          <w:p w14:paraId="3AABBC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宋体" w:hAnsi="宋体"/>
                <w:color w:val="000000"/>
                <w:sz w:val="21"/>
                <w:szCs w:val="21"/>
              </w:rPr>
            </w:pPr>
            <w:r>
              <w:rPr>
                <w:rFonts w:hint="eastAsia" w:ascii="宋体" w:hAnsi="宋体"/>
                <w:color w:val="000000"/>
                <w:sz w:val="21"/>
                <w:szCs w:val="21"/>
              </w:rPr>
              <w:t>符合</w:t>
            </w:r>
          </w:p>
        </w:tc>
      </w:tr>
      <w:tr w14:paraId="59A231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64" w:type="pct"/>
            <w:tcBorders>
              <w:tl2br w:val="nil"/>
              <w:tr2bl w:val="nil"/>
            </w:tcBorders>
            <w:noWrap w:val="0"/>
            <w:vAlign w:val="center"/>
          </w:tcPr>
          <w:p w14:paraId="5139EB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olor w:val="000000"/>
                <w:sz w:val="21"/>
                <w:szCs w:val="21"/>
                <w:lang w:eastAsia="zh-CN"/>
              </w:rPr>
            </w:pPr>
            <w:r>
              <w:rPr>
                <w:rFonts w:hint="eastAsia" w:ascii="宋体" w:hAnsi="宋体"/>
                <w:color w:val="000000"/>
                <w:sz w:val="21"/>
                <w:szCs w:val="21"/>
                <w:lang w:val="en-US" w:eastAsia="zh-CN"/>
              </w:rPr>
              <w:t>3</w:t>
            </w:r>
          </w:p>
        </w:tc>
        <w:tc>
          <w:tcPr>
            <w:tcW w:w="2134" w:type="pct"/>
            <w:tcBorders>
              <w:tl2br w:val="nil"/>
              <w:tr2bl w:val="nil"/>
            </w:tcBorders>
            <w:noWrap w:val="0"/>
            <w:vAlign w:val="center"/>
          </w:tcPr>
          <w:p w14:paraId="1D4532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9"/>
              <w:rPr>
                <w:rFonts w:hint="eastAsia" w:ascii="宋体" w:hAnsi="宋体" w:eastAsia="宋体" w:cs="Times New Roman"/>
                <w:color w:val="000000"/>
                <w:kern w:val="0"/>
                <w:sz w:val="21"/>
                <w:szCs w:val="21"/>
              </w:rPr>
            </w:pPr>
            <w:r>
              <w:rPr>
                <w:rFonts w:hint="eastAsia" w:ascii="宋体" w:hAnsi="宋体" w:eastAsia="宋体" w:cs="Times New Roman"/>
                <w:color w:val="000000"/>
                <w:kern w:val="0"/>
                <w:sz w:val="21"/>
                <w:szCs w:val="21"/>
              </w:rPr>
              <w:t>储气罐上必须装设安全阀。储气罐与供气总管之间，应装设切断阀。</w:t>
            </w:r>
          </w:p>
        </w:tc>
        <w:tc>
          <w:tcPr>
            <w:tcW w:w="1152" w:type="pct"/>
            <w:tcBorders>
              <w:tl2br w:val="nil"/>
              <w:tr2bl w:val="nil"/>
            </w:tcBorders>
            <w:noWrap w:val="0"/>
            <w:vAlign w:val="center"/>
          </w:tcPr>
          <w:p w14:paraId="30590A94">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lang w:eastAsia="zh-CN"/>
              </w:rPr>
            </w:pPr>
            <w:r>
              <w:rPr>
                <w:rFonts w:hint="eastAsia" w:ascii="宋体" w:hAnsi="宋体"/>
                <w:color w:val="000000"/>
                <w:sz w:val="21"/>
                <w:szCs w:val="21"/>
                <w:lang w:eastAsia="zh-CN"/>
              </w:rPr>
              <w:t>《压缩空气站设计规范》</w:t>
            </w:r>
          </w:p>
          <w:p w14:paraId="5FA87C72">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lang w:eastAsia="zh-CN"/>
              </w:rPr>
            </w:pPr>
            <w:r>
              <w:rPr>
                <w:rFonts w:hint="eastAsia" w:ascii="宋体" w:hAnsi="宋体"/>
                <w:color w:val="000000"/>
                <w:sz w:val="21"/>
                <w:szCs w:val="21"/>
                <w:lang w:eastAsia="zh-CN"/>
              </w:rPr>
              <w:t>（GB 50029-2014）</w:t>
            </w:r>
          </w:p>
          <w:p w14:paraId="7CCA5FE8">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olor w:val="000000"/>
                <w:sz w:val="21"/>
                <w:szCs w:val="21"/>
                <w:lang w:eastAsia="zh-CN"/>
              </w:rPr>
            </w:pPr>
            <w:r>
              <w:rPr>
                <w:rFonts w:hint="eastAsia" w:ascii="宋体" w:hAnsi="宋体"/>
                <w:color w:val="000000"/>
                <w:sz w:val="21"/>
                <w:szCs w:val="21"/>
              </w:rPr>
              <w:t>3.0.1</w:t>
            </w:r>
            <w:r>
              <w:rPr>
                <w:rFonts w:hint="eastAsia" w:ascii="宋体" w:hAnsi="宋体"/>
                <w:color w:val="000000"/>
                <w:sz w:val="21"/>
                <w:szCs w:val="21"/>
                <w:lang w:val="en-US" w:eastAsia="zh-CN"/>
              </w:rPr>
              <w:t>8</w:t>
            </w:r>
          </w:p>
        </w:tc>
        <w:tc>
          <w:tcPr>
            <w:tcW w:w="1044" w:type="pct"/>
            <w:tcBorders>
              <w:tl2br w:val="nil"/>
              <w:tr2bl w:val="nil"/>
            </w:tcBorders>
            <w:noWrap w:val="0"/>
            <w:vAlign w:val="center"/>
          </w:tcPr>
          <w:p w14:paraId="4DDECC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Times New Roman"/>
                <w:color w:val="000000"/>
                <w:spacing w:val="-4"/>
                <w:sz w:val="21"/>
                <w:szCs w:val="21"/>
              </w:rPr>
            </w:pPr>
            <w:r>
              <w:rPr>
                <w:rFonts w:hint="eastAsia" w:ascii="宋体" w:hAnsi="宋体" w:eastAsia="宋体" w:cs="Times New Roman"/>
                <w:color w:val="000000"/>
                <w:spacing w:val="-4"/>
                <w:sz w:val="21"/>
                <w:szCs w:val="21"/>
              </w:rPr>
              <w:t>储气罐上装设</w:t>
            </w:r>
            <w:r>
              <w:rPr>
                <w:rFonts w:hint="eastAsia" w:ascii="宋体" w:hAnsi="宋体" w:eastAsia="宋体" w:cs="Times New Roman"/>
                <w:color w:val="000000"/>
                <w:spacing w:val="-4"/>
                <w:sz w:val="21"/>
                <w:szCs w:val="21"/>
                <w:lang w:val="en-US" w:eastAsia="zh-CN"/>
              </w:rPr>
              <w:t>有</w:t>
            </w:r>
            <w:r>
              <w:rPr>
                <w:rFonts w:hint="eastAsia" w:ascii="宋体" w:hAnsi="宋体" w:eastAsia="宋体" w:cs="Times New Roman"/>
                <w:color w:val="000000"/>
                <w:spacing w:val="-4"/>
                <w:sz w:val="21"/>
                <w:szCs w:val="21"/>
              </w:rPr>
              <w:t>安全阀</w:t>
            </w:r>
            <w:r>
              <w:rPr>
                <w:rFonts w:hint="eastAsia" w:ascii="宋体" w:hAnsi="宋体" w:eastAsia="宋体" w:cs="Times New Roman"/>
                <w:color w:val="000000"/>
                <w:spacing w:val="-4"/>
                <w:sz w:val="21"/>
                <w:szCs w:val="21"/>
                <w:lang w:eastAsia="zh-CN"/>
              </w:rPr>
              <w:t>，</w:t>
            </w:r>
            <w:r>
              <w:rPr>
                <w:rFonts w:hint="eastAsia" w:ascii="宋体" w:hAnsi="宋体" w:eastAsia="宋体" w:cs="Times New Roman"/>
                <w:color w:val="000000"/>
                <w:spacing w:val="-4"/>
                <w:sz w:val="21"/>
                <w:szCs w:val="21"/>
              </w:rPr>
              <w:t>储气罐与供气总管之间装设</w:t>
            </w:r>
            <w:r>
              <w:rPr>
                <w:rFonts w:hint="eastAsia" w:ascii="宋体" w:hAnsi="宋体" w:eastAsia="宋体" w:cs="Times New Roman"/>
                <w:color w:val="000000"/>
                <w:spacing w:val="-4"/>
                <w:sz w:val="21"/>
                <w:szCs w:val="21"/>
                <w:lang w:val="en-US" w:eastAsia="zh-CN"/>
              </w:rPr>
              <w:t>有</w:t>
            </w:r>
            <w:r>
              <w:rPr>
                <w:rFonts w:hint="eastAsia" w:ascii="宋体" w:hAnsi="宋体" w:eastAsia="宋体" w:cs="Times New Roman"/>
                <w:color w:val="000000"/>
                <w:spacing w:val="-4"/>
                <w:sz w:val="21"/>
                <w:szCs w:val="21"/>
              </w:rPr>
              <w:t>切断阀。</w:t>
            </w:r>
          </w:p>
        </w:tc>
        <w:tc>
          <w:tcPr>
            <w:tcW w:w="404" w:type="pct"/>
            <w:tcBorders>
              <w:tl2br w:val="nil"/>
              <w:tr2bl w:val="nil"/>
            </w:tcBorders>
            <w:noWrap w:val="0"/>
            <w:vAlign w:val="center"/>
          </w:tcPr>
          <w:p w14:paraId="55FF76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宋体" w:hAnsi="宋体"/>
                <w:color w:val="000000"/>
                <w:sz w:val="21"/>
                <w:szCs w:val="21"/>
              </w:rPr>
            </w:pPr>
            <w:r>
              <w:rPr>
                <w:rFonts w:hint="eastAsia" w:ascii="宋体" w:hAnsi="宋体"/>
                <w:color w:val="000000"/>
                <w:sz w:val="21"/>
                <w:szCs w:val="21"/>
              </w:rPr>
              <w:t>符合</w:t>
            </w:r>
          </w:p>
        </w:tc>
      </w:tr>
      <w:tr w14:paraId="699E83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64" w:type="pct"/>
            <w:tcBorders>
              <w:tl2br w:val="nil"/>
              <w:tr2bl w:val="nil"/>
            </w:tcBorders>
            <w:noWrap w:val="0"/>
            <w:vAlign w:val="center"/>
          </w:tcPr>
          <w:p w14:paraId="5D6354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olor w:val="000000"/>
                <w:sz w:val="21"/>
                <w:szCs w:val="21"/>
                <w:lang w:eastAsia="zh-CN"/>
              </w:rPr>
            </w:pPr>
            <w:r>
              <w:rPr>
                <w:rFonts w:hint="eastAsia" w:ascii="宋体" w:hAnsi="宋体"/>
                <w:color w:val="000000"/>
                <w:sz w:val="21"/>
                <w:szCs w:val="21"/>
                <w:lang w:val="en-US" w:eastAsia="zh-CN"/>
              </w:rPr>
              <w:t>4</w:t>
            </w:r>
          </w:p>
        </w:tc>
        <w:tc>
          <w:tcPr>
            <w:tcW w:w="2134" w:type="pct"/>
            <w:tcBorders>
              <w:tl2br w:val="nil"/>
              <w:tr2bl w:val="nil"/>
            </w:tcBorders>
            <w:noWrap w:val="0"/>
            <w:vAlign w:val="center"/>
          </w:tcPr>
          <w:p w14:paraId="51FBC2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9"/>
              <w:rPr>
                <w:rFonts w:hint="eastAsia" w:ascii="宋体" w:hAnsi="宋体" w:eastAsia="宋体" w:cs="Times New Roman"/>
                <w:color w:val="000000"/>
                <w:kern w:val="0"/>
                <w:sz w:val="21"/>
                <w:szCs w:val="21"/>
              </w:rPr>
            </w:pPr>
            <w:r>
              <w:rPr>
                <w:rFonts w:hint="eastAsia" w:ascii="宋体" w:hAnsi="宋体" w:eastAsia="宋体" w:cs="Times New Roman"/>
                <w:color w:val="000000"/>
                <w:kern w:val="0"/>
                <w:sz w:val="21"/>
                <w:szCs w:val="21"/>
              </w:rPr>
              <w:t>空气压缩机组的联轴器和皮带传动部分，必须装设安全防护设施。</w:t>
            </w:r>
          </w:p>
        </w:tc>
        <w:tc>
          <w:tcPr>
            <w:tcW w:w="1152" w:type="pct"/>
            <w:tcBorders>
              <w:tl2br w:val="nil"/>
              <w:tr2bl w:val="nil"/>
            </w:tcBorders>
            <w:noWrap w:val="0"/>
            <w:vAlign w:val="center"/>
          </w:tcPr>
          <w:p w14:paraId="6D6E80BB">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lang w:eastAsia="zh-CN"/>
              </w:rPr>
            </w:pPr>
            <w:r>
              <w:rPr>
                <w:rFonts w:hint="eastAsia" w:ascii="宋体" w:hAnsi="宋体"/>
                <w:color w:val="000000"/>
                <w:sz w:val="21"/>
                <w:szCs w:val="21"/>
                <w:lang w:eastAsia="zh-CN"/>
              </w:rPr>
              <w:t>《压缩空气站设计规范》</w:t>
            </w:r>
          </w:p>
          <w:p w14:paraId="7AAE3CED">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lang w:eastAsia="zh-CN"/>
              </w:rPr>
            </w:pPr>
            <w:r>
              <w:rPr>
                <w:rFonts w:hint="eastAsia" w:ascii="宋体" w:hAnsi="宋体"/>
                <w:color w:val="000000"/>
                <w:sz w:val="21"/>
                <w:szCs w:val="21"/>
                <w:lang w:eastAsia="zh-CN"/>
              </w:rPr>
              <w:t>（GB 50029-2014）</w:t>
            </w:r>
          </w:p>
          <w:p w14:paraId="20DACF83">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olor w:val="000000"/>
                <w:sz w:val="21"/>
                <w:szCs w:val="21"/>
                <w:lang w:eastAsia="zh-CN"/>
              </w:rPr>
            </w:pPr>
            <w:r>
              <w:rPr>
                <w:rFonts w:hint="eastAsia" w:ascii="宋体" w:hAnsi="宋体"/>
                <w:color w:val="000000"/>
                <w:sz w:val="21"/>
                <w:szCs w:val="21"/>
              </w:rPr>
              <w:t>4.0.1</w:t>
            </w:r>
            <w:r>
              <w:rPr>
                <w:rFonts w:hint="eastAsia" w:ascii="宋体" w:hAnsi="宋体"/>
                <w:color w:val="000000"/>
                <w:sz w:val="21"/>
                <w:szCs w:val="21"/>
                <w:lang w:val="en-US" w:eastAsia="zh-CN"/>
              </w:rPr>
              <w:t>4</w:t>
            </w:r>
          </w:p>
        </w:tc>
        <w:tc>
          <w:tcPr>
            <w:tcW w:w="1044" w:type="pct"/>
            <w:tcBorders>
              <w:tl2br w:val="nil"/>
              <w:tr2bl w:val="nil"/>
            </w:tcBorders>
            <w:noWrap w:val="0"/>
            <w:vAlign w:val="center"/>
          </w:tcPr>
          <w:p w14:paraId="5C1A94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Times New Roman"/>
                <w:color w:val="000000"/>
                <w:spacing w:val="-4"/>
                <w:sz w:val="21"/>
                <w:szCs w:val="21"/>
                <w:lang w:eastAsia="zh-CN"/>
              </w:rPr>
            </w:pPr>
            <w:r>
              <w:rPr>
                <w:rFonts w:hint="eastAsia" w:ascii="宋体" w:hAnsi="宋体" w:eastAsia="宋体" w:cs="Times New Roman"/>
                <w:color w:val="000000"/>
                <w:spacing w:val="-4"/>
                <w:sz w:val="21"/>
                <w:szCs w:val="21"/>
              </w:rPr>
              <w:t>选用正规厂家生产的合格产品</w:t>
            </w:r>
            <w:r>
              <w:rPr>
                <w:rFonts w:hint="eastAsia" w:ascii="宋体" w:hAnsi="宋体" w:eastAsia="宋体" w:cs="Times New Roman"/>
                <w:color w:val="000000"/>
                <w:spacing w:val="-4"/>
                <w:sz w:val="21"/>
                <w:szCs w:val="21"/>
                <w:lang w:eastAsia="zh-CN"/>
              </w:rPr>
              <w:t>。</w:t>
            </w:r>
          </w:p>
        </w:tc>
        <w:tc>
          <w:tcPr>
            <w:tcW w:w="404" w:type="pct"/>
            <w:tcBorders>
              <w:tl2br w:val="nil"/>
              <w:tr2bl w:val="nil"/>
            </w:tcBorders>
            <w:noWrap w:val="0"/>
            <w:vAlign w:val="center"/>
          </w:tcPr>
          <w:p w14:paraId="17BC50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宋体" w:hAnsi="宋体"/>
                <w:color w:val="000000"/>
                <w:sz w:val="21"/>
                <w:szCs w:val="21"/>
              </w:rPr>
            </w:pPr>
            <w:r>
              <w:rPr>
                <w:rFonts w:hint="eastAsia" w:ascii="宋体" w:hAnsi="宋体"/>
                <w:color w:val="000000"/>
                <w:sz w:val="21"/>
                <w:szCs w:val="21"/>
              </w:rPr>
              <w:t>符合</w:t>
            </w:r>
          </w:p>
        </w:tc>
      </w:tr>
      <w:tr w14:paraId="7D1724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64" w:type="pct"/>
            <w:tcBorders>
              <w:tl2br w:val="nil"/>
              <w:tr2bl w:val="nil"/>
            </w:tcBorders>
            <w:noWrap w:val="0"/>
            <w:vAlign w:val="center"/>
          </w:tcPr>
          <w:p w14:paraId="389F39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olor w:val="000000"/>
                <w:sz w:val="21"/>
                <w:szCs w:val="21"/>
                <w:lang w:eastAsia="zh-CN"/>
              </w:rPr>
            </w:pPr>
            <w:r>
              <w:rPr>
                <w:rFonts w:hint="eastAsia" w:ascii="宋体" w:hAnsi="宋体"/>
                <w:color w:val="000000"/>
                <w:sz w:val="21"/>
                <w:szCs w:val="21"/>
                <w:lang w:val="en-US" w:eastAsia="zh-CN"/>
              </w:rPr>
              <w:t>5</w:t>
            </w:r>
          </w:p>
        </w:tc>
        <w:tc>
          <w:tcPr>
            <w:tcW w:w="2134" w:type="pct"/>
            <w:tcBorders>
              <w:tl2br w:val="nil"/>
              <w:tr2bl w:val="nil"/>
            </w:tcBorders>
            <w:noWrap w:val="0"/>
            <w:vAlign w:val="center"/>
          </w:tcPr>
          <w:p w14:paraId="170864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9"/>
              <w:rPr>
                <w:rFonts w:hint="eastAsia" w:ascii="宋体" w:hAnsi="宋体" w:eastAsia="宋体" w:cs="Times New Roman"/>
                <w:color w:val="000000"/>
                <w:kern w:val="0"/>
                <w:sz w:val="21"/>
                <w:szCs w:val="21"/>
              </w:rPr>
            </w:pPr>
            <w:r>
              <w:rPr>
                <w:rFonts w:hint="eastAsia" w:ascii="宋体" w:hAnsi="宋体" w:eastAsia="宋体" w:cs="Times New Roman"/>
                <w:color w:val="000000"/>
                <w:kern w:val="0"/>
                <w:sz w:val="21"/>
                <w:szCs w:val="21"/>
              </w:rPr>
              <w:t>空气压缩机的基础应根据环境要求采取隔振或减振措施。</w:t>
            </w:r>
          </w:p>
        </w:tc>
        <w:tc>
          <w:tcPr>
            <w:tcW w:w="1152" w:type="pct"/>
            <w:tcBorders>
              <w:tl2br w:val="nil"/>
              <w:tr2bl w:val="nil"/>
            </w:tcBorders>
            <w:noWrap w:val="0"/>
            <w:vAlign w:val="center"/>
          </w:tcPr>
          <w:p w14:paraId="155DD290">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lang w:eastAsia="zh-CN"/>
              </w:rPr>
            </w:pPr>
            <w:r>
              <w:rPr>
                <w:rFonts w:hint="eastAsia" w:ascii="宋体" w:hAnsi="宋体"/>
                <w:color w:val="000000"/>
                <w:sz w:val="21"/>
                <w:szCs w:val="21"/>
                <w:lang w:eastAsia="zh-CN"/>
              </w:rPr>
              <w:t>《压缩空气站设计规范》</w:t>
            </w:r>
          </w:p>
          <w:p w14:paraId="78925093">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lang w:eastAsia="zh-CN"/>
              </w:rPr>
            </w:pPr>
            <w:r>
              <w:rPr>
                <w:rFonts w:hint="eastAsia" w:ascii="宋体" w:hAnsi="宋体"/>
                <w:color w:val="000000"/>
                <w:sz w:val="21"/>
                <w:szCs w:val="21"/>
                <w:lang w:eastAsia="zh-CN"/>
              </w:rPr>
              <w:t>（GB 50029-2014）</w:t>
            </w:r>
          </w:p>
          <w:p w14:paraId="73A021A4">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olor w:val="000000"/>
                <w:sz w:val="21"/>
                <w:szCs w:val="21"/>
                <w:lang w:eastAsia="zh-CN"/>
              </w:rPr>
            </w:pPr>
            <w:r>
              <w:rPr>
                <w:rFonts w:hint="eastAsia" w:ascii="宋体" w:hAnsi="宋体"/>
                <w:color w:val="000000"/>
                <w:sz w:val="21"/>
                <w:szCs w:val="21"/>
              </w:rPr>
              <w:t>5.0.</w:t>
            </w:r>
            <w:r>
              <w:rPr>
                <w:rFonts w:hint="eastAsia" w:ascii="宋体" w:hAnsi="宋体"/>
                <w:color w:val="000000"/>
                <w:sz w:val="21"/>
                <w:szCs w:val="21"/>
                <w:lang w:val="en-US" w:eastAsia="zh-CN"/>
              </w:rPr>
              <w:t>7</w:t>
            </w:r>
          </w:p>
        </w:tc>
        <w:tc>
          <w:tcPr>
            <w:tcW w:w="1044" w:type="pct"/>
            <w:tcBorders>
              <w:tl2br w:val="nil"/>
              <w:tr2bl w:val="nil"/>
            </w:tcBorders>
            <w:noWrap w:val="0"/>
            <w:vAlign w:val="center"/>
          </w:tcPr>
          <w:p w14:paraId="2C99C9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Times New Roman"/>
                <w:color w:val="000000"/>
                <w:spacing w:val="-4"/>
                <w:sz w:val="21"/>
                <w:szCs w:val="21"/>
              </w:rPr>
            </w:pPr>
            <w:r>
              <w:rPr>
                <w:rFonts w:hint="eastAsia" w:ascii="宋体" w:hAnsi="宋体" w:eastAsia="宋体" w:cs="Times New Roman"/>
                <w:color w:val="000000"/>
                <w:spacing w:val="-4"/>
                <w:sz w:val="21"/>
                <w:szCs w:val="21"/>
              </w:rPr>
              <w:t>空气压缩机的基础根据环境要求采取隔振或减振措施。</w:t>
            </w:r>
          </w:p>
        </w:tc>
        <w:tc>
          <w:tcPr>
            <w:tcW w:w="404" w:type="pct"/>
            <w:tcBorders>
              <w:tl2br w:val="nil"/>
              <w:tr2bl w:val="nil"/>
            </w:tcBorders>
            <w:noWrap w:val="0"/>
            <w:vAlign w:val="center"/>
          </w:tcPr>
          <w:p w14:paraId="2D3424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宋体" w:hAnsi="宋体"/>
                <w:color w:val="000000"/>
                <w:sz w:val="21"/>
                <w:szCs w:val="21"/>
              </w:rPr>
            </w:pPr>
            <w:r>
              <w:rPr>
                <w:rFonts w:hint="eastAsia" w:ascii="宋体" w:hAnsi="宋体"/>
                <w:color w:val="000000"/>
                <w:sz w:val="21"/>
                <w:szCs w:val="21"/>
              </w:rPr>
              <w:t>符合</w:t>
            </w:r>
          </w:p>
        </w:tc>
      </w:tr>
      <w:tr w14:paraId="662E9C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64" w:type="pct"/>
            <w:tcBorders>
              <w:tl2br w:val="nil"/>
              <w:tr2bl w:val="nil"/>
            </w:tcBorders>
            <w:noWrap w:val="0"/>
            <w:vAlign w:val="center"/>
          </w:tcPr>
          <w:p w14:paraId="37DECD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olor w:val="000000"/>
                <w:sz w:val="21"/>
                <w:szCs w:val="21"/>
                <w:lang w:eastAsia="zh-CN"/>
              </w:rPr>
            </w:pPr>
            <w:r>
              <w:rPr>
                <w:rFonts w:hint="eastAsia" w:ascii="宋体" w:hAnsi="宋体"/>
                <w:color w:val="000000"/>
                <w:sz w:val="21"/>
                <w:szCs w:val="21"/>
                <w:lang w:val="en-US" w:eastAsia="zh-CN"/>
              </w:rPr>
              <w:t>6</w:t>
            </w:r>
          </w:p>
        </w:tc>
        <w:tc>
          <w:tcPr>
            <w:tcW w:w="2134" w:type="pct"/>
            <w:tcBorders>
              <w:tl2br w:val="nil"/>
              <w:tr2bl w:val="nil"/>
            </w:tcBorders>
            <w:noWrap w:val="0"/>
            <w:vAlign w:val="center"/>
          </w:tcPr>
          <w:p w14:paraId="300E79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9"/>
              <w:rPr>
                <w:rFonts w:hint="eastAsia" w:ascii="宋体" w:hAnsi="宋体" w:eastAsia="宋体" w:cs="Times New Roman"/>
                <w:color w:val="000000"/>
                <w:kern w:val="0"/>
                <w:sz w:val="21"/>
                <w:szCs w:val="21"/>
              </w:rPr>
            </w:pPr>
            <w:r>
              <w:rPr>
                <w:rFonts w:hint="eastAsia" w:ascii="宋体" w:hAnsi="宋体" w:eastAsia="宋体" w:cs="Times New Roman"/>
                <w:color w:val="000000"/>
                <w:kern w:val="0"/>
                <w:sz w:val="21"/>
                <w:szCs w:val="21"/>
              </w:rPr>
              <w:t>压缩空气站的热工报警信号和自动保护控制装置应按规定装设。当设有集中控制室时，附录中应装设的热工报警信号应接入集中控制室。在控制室和机器旁均应设置空气压缩机紧急停车按钮</w:t>
            </w:r>
            <w:r>
              <w:rPr>
                <w:rFonts w:hint="eastAsia" w:ascii="宋体" w:hAnsi="宋体" w:eastAsia="宋体" w:cs="Times New Roman"/>
                <w:color w:val="000000"/>
                <w:kern w:val="0"/>
                <w:sz w:val="21"/>
                <w:szCs w:val="21"/>
                <w:lang w:eastAsia="zh-CN"/>
              </w:rPr>
              <w:t>。</w:t>
            </w:r>
          </w:p>
        </w:tc>
        <w:tc>
          <w:tcPr>
            <w:tcW w:w="1152" w:type="pct"/>
            <w:tcBorders>
              <w:tl2br w:val="nil"/>
              <w:tr2bl w:val="nil"/>
            </w:tcBorders>
            <w:noWrap w:val="0"/>
            <w:vAlign w:val="center"/>
          </w:tcPr>
          <w:p w14:paraId="42172EDC">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lang w:eastAsia="zh-CN"/>
              </w:rPr>
            </w:pPr>
            <w:r>
              <w:rPr>
                <w:rFonts w:hint="eastAsia" w:ascii="宋体" w:hAnsi="宋体"/>
                <w:color w:val="000000"/>
                <w:sz w:val="21"/>
                <w:szCs w:val="21"/>
                <w:lang w:eastAsia="zh-CN"/>
              </w:rPr>
              <w:t>《压缩空气站设计规范》</w:t>
            </w:r>
          </w:p>
          <w:p w14:paraId="2C0C32A0">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lang w:eastAsia="zh-CN"/>
              </w:rPr>
            </w:pPr>
            <w:r>
              <w:rPr>
                <w:rFonts w:hint="eastAsia" w:ascii="宋体" w:hAnsi="宋体"/>
                <w:color w:val="000000"/>
                <w:sz w:val="21"/>
                <w:szCs w:val="21"/>
                <w:lang w:eastAsia="zh-CN"/>
              </w:rPr>
              <w:t>（GB 50029-2014）</w:t>
            </w:r>
          </w:p>
          <w:p w14:paraId="60638BD2">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rPr>
            </w:pPr>
            <w:r>
              <w:rPr>
                <w:rFonts w:hint="eastAsia" w:ascii="宋体" w:hAnsi="宋体" w:eastAsia="宋体" w:cs="Times New Roman"/>
                <w:color w:val="000000"/>
                <w:kern w:val="0"/>
                <w:sz w:val="21"/>
                <w:szCs w:val="21"/>
              </w:rPr>
              <w:t>6.0.7  </w:t>
            </w:r>
          </w:p>
        </w:tc>
        <w:tc>
          <w:tcPr>
            <w:tcW w:w="1044" w:type="pct"/>
            <w:tcBorders>
              <w:tl2br w:val="nil"/>
              <w:tr2bl w:val="nil"/>
            </w:tcBorders>
            <w:noWrap w:val="0"/>
            <w:vAlign w:val="center"/>
          </w:tcPr>
          <w:p w14:paraId="4977F1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9"/>
              <w:rPr>
                <w:rFonts w:hint="eastAsia" w:ascii="宋体" w:hAnsi="宋体" w:eastAsia="宋体" w:cs="Times New Roman"/>
                <w:color w:val="000000"/>
                <w:kern w:val="0"/>
                <w:sz w:val="21"/>
                <w:szCs w:val="21"/>
                <w:lang w:eastAsia="zh-CN"/>
              </w:rPr>
            </w:pPr>
            <w:r>
              <w:rPr>
                <w:rFonts w:hint="eastAsia" w:ascii="宋体" w:hAnsi="宋体" w:eastAsia="宋体" w:cs="Times New Roman"/>
                <w:color w:val="000000"/>
                <w:kern w:val="0"/>
                <w:sz w:val="21"/>
                <w:szCs w:val="21"/>
              </w:rPr>
              <w:t>热工报警信号和自动保护控制装置按规定装设。在控制室和机器旁均设置空气压缩机紧急停车按钮</w:t>
            </w:r>
            <w:r>
              <w:rPr>
                <w:rFonts w:hint="eastAsia" w:ascii="宋体" w:hAnsi="宋体" w:eastAsia="宋体" w:cs="Times New Roman"/>
                <w:color w:val="000000"/>
                <w:kern w:val="0"/>
                <w:sz w:val="21"/>
                <w:szCs w:val="21"/>
                <w:lang w:eastAsia="zh-CN"/>
              </w:rPr>
              <w:t>。</w:t>
            </w:r>
          </w:p>
        </w:tc>
        <w:tc>
          <w:tcPr>
            <w:tcW w:w="404" w:type="pct"/>
            <w:tcBorders>
              <w:tl2br w:val="nil"/>
              <w:tr2bl w:val="nil"/>
            </w:tcBorders>
            <w:noWrap w:val="0"/>
            <w:vAlign w:val="center"/>
          </w:tcPr>
          <w:p w14:paraId="54A87A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color w:val="000000"/>
                <w:sz w:val="21"/>
                <w:szCs w:val="21"/>
              </w:rPr>
            </w:pPr>
            <w:r>
              <w:rPr>
                <w:rFonts w:hint="eastAsia" w:ascii="宋体" w:hAnsi="宋体"/>
                <w:color w:val="000000"/>
                <w:sz w:val="21"/>
                <w:szCs w:val="21"/>
              </w:rPr>
              <w:t>符合</w:t>
            </w:r>
          </w:p>
        </w:tc>
      </w:tr>
    </w:tbl>
    <w:p w14:paraId="1EADF001">
      <w:pPr>
        <w:bidi w:val="0"/>
        <w:rPr>
          <w:rFonts w:hint="eastAsia"/>
          <w:lang w:val="en-US" w:eastAsia="zh-CN"/>
        </w:rPr>
      </w:pPr>
      <w:r>
        <w:rPr>
          <w:rFonts w:hint="eastAsia"/>
        </w:rPr>
        <w:t>该项目空压机房符合《压缩空气站设计规范》</w:t>
      </w:r>
      <w:r>
        <w:rPr>
          <w:rFonts w:hint="eastAsia"/>
          <w:lang w:eastAsia="zh-CN"/>
        </w:rPr>
        <w:t>（GB 50029-2014）</w:t>
      </w:r>
      <w:r>
        <w:rPr>
          <w:rFonts w:hint="eastAsia"/>
        </w:rPr>
        <w:t>的要求</w:t>
      </w:r>
      <w:r>
        <w:rPr>
          <w:rFonts w:hint="eastAsia"/>
          <w:lang w:eastAsia="zh-CN"/>
        </w:rPr>
        <w:t>。</w:t>
      </w:r>
    </w:p>
    <w:bookmarkEnd w:id="1016"/>
    <w:bookmarkEnd w:id="1017"/>
    <w:bookmarkEnd w:id="1018"/>
    <w:bookmarkEnd w:id="1019"/>
    <w:bookmarkEnd w:id="1020"/>
    <w:bookmarkEnd w:id="1021"/>
    <w:bookmarkEnd w:id="1022"/>
    <w:p w14:paraId="5F89CB4D">
      <w:pPr>
        <w:pStyle w:val="5"/>
        <w:bidi w:val="0"/>
        <w:rPr>
          <w:lang w:val="en-US" w:eastAsia="zh-CN"/>
        </w:rPr>
      </w:pPr>
      <w:bookmarkStart w:id="1038" w:name="_Toc61013637"/>
      <w:bookmarkStart w:id="1039" w:name="_Toc21184"/>
      <w:bookmarkStart w:id="1040" w:name="_Toc13005"/>
      <w:r>
        <w:rPr>
          <w:rFonts w:hint="eastAsia"/>
        </w:rPr>
        <w:t>自动控制及通信设施</w:t>
      </w:r>
    </w:p>
    <w:p w14:paraId="6F2EFD40">
      <w:pPr>
        <w:bidi w:val="0"/>
        <w:rPr>
          <w:snapToGrid w:val="0"/>
          <w:kern w:val="0"/>
          <w:szCs w:val="28"/>
        </w:rPr>
      </w:pPr>
      <w:r>
        <w:t>依据</w:t>
      </w:r>
      <w:r>
        <w:rPr>
          <w:rFonts w:hint="eastAsia"/>
          <w:lang w:val="en-US" w:eastAsia="zh-CN"/>
        </w:rPr>
        <w:t>《</w:t>
      </w:r>
      <w:r>
        <w:rPr>
          <w:rFonts w:hint="default"/>
          <w:lang w:val="en-US" w:eastAsia="zh-CN"/>
        </w:rPr>
        <w:t>生产过程安全卫生要求总则</w:t>
      </w:r>
      <w:r>
        <w:rPr>
          <w:rFonts w:hint="eastAsia"/>
          <w:lang w:val="en-US" w:eastAsia="zh-CN"/>
        </w:rPr>
        <w:t>》（GB/T12801-2008）、</w:t>
      </w:r>
      <w:r>
        <w:t>《生产设备安全卫生设计总则》（GB5083-1999）等标准规范的规定，对该项目的自动控制及通信设施采用安全检查表法进行分析评价。</w:t>
      </w:r>
    </w:p>
    <w:p w14:paraId="71C1AD05">
      <w:pPr>
        <w:pStyle w:val="12"/>
        <w:keepNext w:val="0"/>
        <w:keepLines w:val="0"/>
        <w:pageBreakBefore w:val="0"/>
        <w:widowControl w:val="0"/>
        <w:kinsoku/>
        <w:wordWrap/>
        <w:bidi w:val="0"/>
        <w:rPr>
          <w:rFonts w:hint="eastAsia"/>
          <w:lang w:val="en-US" w:eastAsia="zh-CN"/>
        </w:rPr>
      </w:pPr>
      <w:r>
        <w:rPr>
          <w:rFonts w:hint="eastAsia"/>
          <w:lang w:val="en-US" w:eastAsia="zh-CN"/>
        </w:rPr>
        <w:t xml:space="preserve">表 </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10</w:t>
      </w:r>
      <w:r>
        <w:rPr>
          <w:rFonts w:hint="eastAsia"/>
          <w:lang w:val="en-US" w:eastAsia="zh-CN"/>
        </w:rPr>
        <w:fldChar w:fldCharType="end"/>
      </w:r>
      <w:r>
        <w:rPr>
          <w:rFonts w:hint="eastAsia"/>
          <w:lang w:val="en-US" w:eastAsia="zh-CN"/>
        </w:rPr>
        <w:t>自动控制及通信设施安全检查表</w:t>
      </w:r>
    </w:p>
    <w:tbl>
      <w:tblPr>
        <w:tblStyle w:val="32"/>
        <w:tblW w:w="509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3120"/>
        <w:gridCol w:w="2106"/>
        <w:gridCol w:w="2106"/>
        <w:gridCol w:w="665"/>
      </w:tblGrid>
      <w:tr w14:paraId="43A97C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97" w:type="pct"/>
            <w:tcBorders>
              <w:tl2br w:val="nil"/>
              <w:tr2bl w:val="nil"/>
            </w:tcBorders>
            <w:vAlign w:val="center"/>
          </w:tcPr>
          <w:p w14:paraId="282CCD24">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795" w:type="pct"/>
            <w:tcBorders>
              <w:tl2br w:val="nil"/>
              <w:tr2bl w:val="nil"/>
            </w:tcBorders>
            <w:vAlign w:val="center"/>
          </w:tcPr>
          <w:p w14:paraId="2CFF3A4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212" w:type="pct"/>
            <w:tcBorders>
              <w:tl2br w:val="nil"/>
              <w:tr2bl w:val="nil"/>
            </w:tcBorders>
            <w:vAlign w:val="center"/>
          </w:tcPr>
          <w:p w14:paraId="5CBB24E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依据标准</w:t>
            </w:r>
          </w:p>
        </w:tc>
        <w:tc>
          <w:tcPr>
            <w:tcW w:w="1212" w:type="pct"/>
            <w:tcBorders>
              <w:tl2br w:val="nil"/>
              <w:tr2bl w:val="nil"/>
            </w:tcBorders>
            <w:vAlign w:val="center"/>
          </w:tcPr>
          <w:p w14:paraId="23E687C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382" w:type="pct"/>
            <w:tcBorders>
              <w:tl2br w:val="nil"/>
              <w:tr2bl w:val="nil"/>
            </w:tcBorders>
            <w:vAlign w:val="center"/>
          </w:tcPr>
          <w:p w14:paraId="5FBD0D11">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sz w:val="21"/>
                <w:szCs w:val="21"/>
              </w:rPr>
            </w:pPr>
            <w:r>
              <w:rPr>
                <w:rFonts w:hint="eastAsia" w:ascii="宋体" w:hAnsi="宋体" w:eastAsia="宋体" w:cs="宋体"/>
                <w:b/>
                <w:bCs/>
                <w:sz w:val="21"/>
                <w:szCs w:val="21"/>
              </w:rPr>
              <w:t>结论</w:t>
            </w:r>
          </w:p>
        </w:tc>
      </w:tr>
      <w:tr w14:paraId="70DA9A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14:paraId="7F7B2E8C">
            <w:pPr>
              <w:keepNext w:val="0"/>
              <w:keepLines w:val="0"/>
              <w:pageBreakBefore w:val="0"/>
              <w:widowControl w:val="0"/>
              <w:numPr>
                <w:ilvl w:val="0"/>
                <w:numId w:val="122"/>
              </w:numPr>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sz w:val="21"/>
                <w:szCs w:val="21"/>
              </w:rPr>
            </w:pPr>
          </w:p>
        </w:tc>
        <w:tc>
          <w:tcPr>
            <w:tcW w:w="1795" w:type="pct"/>
            <w:tcBorders>
              <w:tl2br w:val="nil"/>
              <w:tr2bl w:val="nil"/>
            </w:tcBorders>
            <w:vAlign w:val="center"/>
          </w:tcPr>
          <w:p w14:paraId="7085F25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应尽量选用自动化程度高的设备。危险性较大的、重要的关键性生产设备，应由具备有效资质的单位进行设计、制造和检验。</w:t>
            </w:r>
          </w:p>
        </w:tc>
        <w:tc>
          <w:tcPr>
            <w:tcW w:w="1212" w:type="pct"/>
            <w:tcBorders>
              <w:tl2br w:val="nil"/>
              <w:tr2bl w:val="nil"/>
            </w:tcBorders>
            <w:vAlign w:val="center"/>
          </w:tcPr>
          <w:p w14:paraId="35E88C1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生产过程安全卫生要求总则</w:t>
            </w:r>
            <w:r>
              <w:rPr>
                <w:rFonts w:hint="eastAsia" w:ascii="宋体" w:hAnsi="宋体" w:eastAsia="宋体" w:cs="宋体"/>
                <w:sz w:val="21"/>
                <w:szCs w:val="21"/>
                <w:lang w:val="en-US" w:eastAsia="zh-CN"/>
              </w:rPr>
              <w:t>》（GB/T12801-2008）5.6.1</w:t>
            </w:r>
          </w:p>
        </w:tc>
        <w:tc>
          <w:tcPr>
            <w:tcW w:w="1212" w:type="pct"/>
            <w:tcBorders>
              <w:tl2br w:val="nil"/>
              <w:tr2bl w:val="nil"/>
            </w:tcBorders>
            <w:vAlign w:val="center"/>
          </w:tcPr>
          <w:p w14:paraId="3865135B">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项目选用了自动化程度高的设备。危险性较大的、重要的关键性生产设备，由具备有效资质的单位进行设计、制造和检验。</w:t>
            </w:r>
          </w:p>
        </w:tc>
        <w:tc>
          <w:tcPr>
            <w:tcW w:w="382" w:type="pct"/>
            <w:tcBorders>
              <w:tl2br w:val="nil"/>
              <w:tr2bl w:val="nil"/>
            </w:tcBorders>
            <w:vAlign w:val="center"/>
          </w:tcPr>
          <w:p w14:paraId="643402E4">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Times New Roman" w:hAnsi="Times New Roman" w:eastAsia="宋体" w:cs="Times New Roman"/>
                <w:sz w:val="20"/>
                <w:szCs w:val="20"/>
                <w:lang w:val="en-US" w:eastAsia="zh-CN"/>
              </w:rPr>
            </w:pPr>
            <w:r>
              <w:rPr>
                <w:rFonts w:hint="eastAsia" w:ascii="Times New Roman" w:hAnsi="Times New Roman" w:eastAsia="宋体" w:cs="Times New Roman"/>
                <w:sz w:val="20"/>
                <w:szCs w:val="20"/>
                <w:lang w:val="en-US" w:eastAsia="zh-CN"/>
              </w:rPr>
              <w:t>符合</w:t>
            </w:r>
          </w:p>
        </w:tc>
      </w:tr>
      <w:tr w14:paraId="20B940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14:paraId="4CA9A20F">
            <w:pPr>
              <w:keepNext w:val="0"/>
              <w:keepLines w:val="0"/>
              <w:pageBreakBefore w:val="0"/>
              <w:widowControl w:val="0"/>
              <w:numPr>
                <w:ilvl w:val="0"/>
                <w:numId w:val="122"/>
              </w:numPr>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sz w:val="21"/>
                <w:szCs w:val="21"/>
              </w:rPr>
            </w:pPr>
          </w:p>
        </w:tc>
        <w:tc>
          <w:tcPr>
            <w:tcW w:w="1795" w:type="pct"/>
            <w:tcBorders>
              <w:tl2br w:val="nil"/>
              <w:tr2bl w:val="nil"/>
            </w:tcBorders>
            <w:vAlign w:val="center"/>
          </w:tcPr>
          <w:p w14:paraId="19FBF2F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设备本身应具备必要的防护、净化、减振、消音、保险、联锁、信号、监测等可靠的安全、卫生装置。对有突然超压或瞬间爆炸危险的设备，还应设置符合标准要求的泄压、防爆等安全装置。</w:t>
            </w:r>
          </w:p>
        </w:tc>
        <w:tc>
          <w:tcPr>
            <w:tcW w:w="1212" w:type="pct"/>
            <w:tcBorders>
              <w:tl2br w:val="nil"/>
              <w:tr2bl w:val="nil"/>
            </w:tcBorders>
            <w:vAlign w:val="center"/>
          </w:tcPr>
          <w:p w14:paraId="4E0CA2F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w:t>
            </w:r>
            <w:r>
              <w:rPr>
                <w:rFonts w:hint="default" w:ascii="宋体" w:hAnsi="宋体" w:eastAsia="宋体" w:cs="宋体"/>
                <w:sz w:val="21"/>
                <w:szCs w:val="21"/>
                <w:lang w:val="en-US" w:eastAsia="zh-CN"/>
              </w:rPr>
              <w:t>生产过程安全卫生要求总则</w:t>
            </w:r>
            <w:r>
              <w:rPr>
                <w:rFonts w:hint="eastAsia" w:ascii="宋体" w:hAnsi="宋体" w:eastAsia="宋体" w:cs="宋体"/>
                <w:sz w:val="21"/>
                <w:szCs w:val="21"/>
                <w:lang w:val="en-US" w:eastAsia="zh-CN"/>
              </w:rPr>
              <w:t>》（GB/T12801-2008）5.6.5</w:t>
            </w:r>
          </w:p>
        </w:tc>
        <w:tc>
          <w:tcPr>
            <w:tcW w:w="1212" w:type="pct"/>
            <w:tcBorders>
              <w:tl2br w:val="nil"/>
              <w:tr2bl w:val="nil"/>
            </w:tcBorders>
            <w:vAlign w:val="center"/>
          </w:tcPr>
          <w:p w14:paraId="127E7A24">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项目选用的设备本身具备必要的防护、净化、减振、消音、保险、联锁、信号、监测等可靠的安全、卫生装置。</w:t>
            </w:r>
          </w:p>
        </w:tc>
        <w:tc>
          <w:tcPr>
            <w:tcW w:w="382" w:type="pct"/>
            <w:tcBorders>
              <w:tl2br w:val="nil"/>
              <w:tr2bl w:val="nil"/>
            </w:tcBorders>
            <w:vAlign w:val="center"/>
          </w:tcPr>
          <w:p w14:paraId="24DDEBE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sz w:val="21"/>
                <w:szCs w:val="21"/>
              </w:rPr>
            </w:pPr>
            <w:r>
              <w:rPr>
                <w:rFonts w:hint="eastAsia" w:ascii="Times New Roman" w:hAnsi="Times New Roman" w:eastAsia="宋体" w:cs="Times New Roman"/>
                <w:sz w:val="20"/>
                <w:szCs w:val="20"/>
                <w:lang w:val="en-US" w:eastAsia="zh-CN"/>
              </w:rPr>
              <w:t>符合</w:t>
            </w:r>
          </w:p>
        </w:tc>
      </w:tr>
      <w:tr w14:paraId="0FC91C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14:paraId="36EEFF14">
            <w:pPr>
              <w:keepNext w:val="0"/>
              <w:keepLines w:val="0"/>
              <w:pageBreakBefore w:val="0"/>
              <w:widowControl w:val="0"/>
              <w:numPr>
                <w:ilvl w:val="0"/>
                <w:numId w:val="122"/>
              </w:numPr>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sz w:val="21"/>
                <w:szCs w:val="21"/>
              </w:rPr>
            </w:pPr>
          </w:p>
        </w:tc>
        <w:tc>
          <w:tcPr>
            <w:tcW w:w="1795" w:type="pct"/>
            <w:tcBorders>
              <w:tl2br w:val="nil"/>
              <w:tr2bl w:val="nil"/>
            </w:tcBorders>
            <w:vAlign w:val="center"/>
          </w:tcPr>
          <w:p w14:paraId="14F8AE6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生产设备的各种受力零、部件及其</w:t>
            </w:r>
            <w:r>
              <w:rPr>
                <w:rFonts w:hint="eastAsia" w:ascii="宋体" w:hAnsi="宋体" w:eastAsia="宋体" w:cs="宋体"/>
                <w:sz w:val="21"/>
                <w:szCs w:val="21"/>
                <w:lang w:val="en-US" w:eastAsia="zh-CN"/>
              </w:rPr>
              <w:t>连接</w:t>
            </w:r>
            <w:r>
              <w:rPr>
                <w:rFonts w:hint="default" w:ascii="宋体" w:hAnsi="宋体" w:eastAsia="宋体" w:cs="宋体"/>
                <w:sz w:val="21"/>
                <w:szCs w:val="21"/>
                <w:lang w:val="en-US" w:eastAsia="zh-CN"/>
              </w:rPr>
              <w:t>，必须合理选择结构、材料、工艺和安全系数，在规定使用寿命内按规定使用时，不得产生断裂和破碎。</w:t>
            </w:r>
          </w:p>
        </w:tc>
        <w:tc>
          <w:tcPr>
            <w:tcW w:w="1212" w:type="pct"/>
            <w:tcBorders>
              <w:tl2br w:val="nil"/>
              <w:tr2bl w:val="nil"/>
            </w:tcBorders>
            <w:vAlign w:val="center"/>
          </w:tcPr>
          <w:p w14:paraId="3648C907">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《生产设备安全卫生设计总则》（GB5083-1999）</w:t>
            </w:r>
          </w:p>
          <w:p w14:paraId="267715CB">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Times New Roman" w:hAnsi="Times New Roman" w:eastAsia="宋体" w:cs="Times New Roman"/>
                <w:kern w:val="2"/>
                <w:sz w:val="20"/>
                <w:szCs w:val="20"/>
                <w:lang w:val="en-US" w:eastAsia="zh-CN" w:bidi="ar-SA"/>
              </w:rPr>
            </w:pPr>
            <w:r>
              <w:rPr>
                <w:rFonts w:hint="default" w:ascii="Times New Roman" w:hAnsi="Times New Roman" w:eastAsia="宋体" w:cs="Times New Roman"/>
                <w:sz w:val="20"/>
                <w:szCs w:val="20"/>
              </w:rPr>
              <w:t>2.2</w:t>
            </w:r>
          </w:p>
        </w:tc>
        <w:tc>
          <w:tcPr>
            <w:tcW w:w="1212" w:type="pct"/>
            <w:tcBorders>
              <w:tl2br w:val="nil"/>
              <w:tr2bl w:val="nil"/>
            </w:tcBorders>
            <w:vAlign w:val="center"/>
          </w:tcPr>
          <w:p w14:paraId="3BE065FE">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该项目内生产设备各种受力零、部件及其</w:t>
            </w:r>
            <w:r>
              <w:rPr>
                <w:rFonts w:hint="eastAsia" w:ascii="宋体" w:hAnsi="宋体" w:eastAsia="宋体" w:cs="宋体"/>
                <w:sz w:val="21"/>
                <w:szCs w:val="21"/>
                <w:lang w:val="en-US" w:eastAsia="zh-CN"/>
              </w:rPr>
              <w:t>连接</w:t>
            </w:r>
            <w:r>
              <w:rPr>
                <w:rFonts w:hint="default" w:ascii="宋体" w:hAnsi="宋体" w:eastAsia="宋体" w:cs="宋体"/>
                <w:sz w:val="21"/>
                <w:szCs w:val="21"/>
                <w:lang w:val="en-US" w:eastAsia="zh-CN"/>
              </w:rPr>
              <w:t>均在使用寿命内使用。</w:t>
            </w:r>
          </w:p>
        </w:tc>
        <w:tc>
          <w:tcPr>
            <w:tcW w:w="382" w:type="pct"/>
            <w:tcBorders>
              <w:tl2br w:val="nil"/>
              <w:tr2bl w:val="nil"/>
            </w:tcBorders>
            <w:vAlign w:val="center"/>
          </w:tcPr>
          <w:p w14:paraId="75A279BA">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Times New Roman" w:hAnsi="Times New Roman" w:eastAsia="宋体" w:cs="Times New Roman"/>
                <w:kern w:val="2"/>
                <w:sz w:val="20"/>
                <w:szCs w:val="20"/>
                <w:lang w:val="en-US" w:eastAsia="zh-CN" w:bidi="ar-SA"/>
              </w:rPr>
            </w:pPr>
            <w:r>
              <w:rPr>
                <w:rFonts w:hint="default" w:ascii="Times New Roman" w:hAnsi="Times New Roman" w:eastAsia="宋体" w:cs="Times New Roman"/>
                <w:sz w:val="20"/>
                <w:szCs w:val="20"/>
              </w:rPr>
              <w:t>符合</w:t>
            </w:r>
          </w:p>
        </w:tc>
      </w:tr>
      <w:tr w14:paraId="282E53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14:paraId="3491AE3B">
            <w:pPr>
              <w:keepNext w:val="0"/>
              <w:keepLines w:val="0"/>
              <w:pageBreakBefore w:val="0"/>
              <w:widowControl w:val="0"/>
              <w:numPr>
                <w:ilvl w:val="0"/>
                <w:numId w:val="122"/>
              </w:numPr>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sz w:val="21"/>
                <w:szCs w:val="21"/>
              </w:rPr>
            </w:pPr>
          </w:p>
        </w:tc>
        <w:tc>
          <w:tcPr>
            <w:tcW w:w="1795" w:type="pct"/>
            <w:tcBorders>
              <w:tl2br w:val="nil"/>
              <w:tr2bl w:val="nil"/>
            </w:tcBorders>
            <w:vAlign w:val="center"/>
          </w:tcPr>
          <w:p w14:paraId="33F14A6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控制装置应保证，当动力源发生异常（偶然或人为地切断或变化）时，也不会造成危险。必要</w:t>
            </w:r>
          </w:p>
          <w:p w14:paraId="2768693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时，控制装置应能自动切换到备用动力源和备用设备系统。</w:t>
            </w:r>
          </w:p>
        </w:tc>
        <w:tc>
          <w:tcPr>
            <w:tcW w:w="1212" w:type="pct"/>
            <w:tcBorders>
              <w:tl2br w:val="nil"/>
              <w:tr2bl w:val="nil"/>
            </w:tcBorders>
            <w:vAlign w:val="center"/>
          </w:tcPr>
          <w:p w14:paraId="2F7C4137">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《生产设备安全卫生设计总则》（GB5083-1999）</w:t>
            </w:r>
          </w:p>
          <w:p w14:paraId="0211965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kern w:val="2"/>
                <w:sz w:val="20"/>
                <w:szCs w:val="20"/>
                <w:lang w:val="en-US" w:eastAsia="zh-CN" w:bidi="ar-SA"/>
              </w:rPr>
            </w:pPr>
            <w:r>
              <w:rPr>
                <w:rFonts w:hint="eastAsia" w:ascii="Times New Roman" w:hAnsi="Times New Roman" w:eastAsia="宋体" w:cs="Times New Roman"/>
                <w:sz w:val="20"/>
                <w:szCs w:val="20"/>
                <w:lang w:val="en-US" w:eastAsia="zh-CN"/>
              </w:rPr>
              <w:t>5.6.1.1</w:t>
            </w:r>
          </w:p>
        </w:tc>
        <w:tc>
          <w:tcPr>
            <w:tcW w:w="1212" w:type="pct"/>
            <w:tcBorders>
              <w:tl2br w:val="nil"/>
              <w:tr2bl w:val="nil"/>
            </w:tcBorders>
            <w:vAlign w:val="center"/>
          </w:tcPr>
          <w:p w14:paraId="3BF824A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default" w:ascii="宋体" w:hAnsi="宋体" w:eastAsia="宋体" w:cs="宋体"/>
                <w:sz w:val="21"/>
                <w:szCs w:val="21"/>
                <w:lang w:val="en-US" w:eastAsia="zh-CN"/>
              </w:rPr>
            </w:pPr>
            <w:r>
              <w:rPr>
                <w:rFonts w:hint="default" w:ascii="宋体" w:hAnsi="宋体" w:eastAsia="宋体" w:cs="宋体"/>
                <w:sz w:val="21"/>
                <w:szCs w:val="21"/>
                <w:lang w:val="en-US" w:eastAsia="zh-CN"/>
              </w:rPr>
              <w:t>该项目</w:t>
            </w:r>
            <w:r>
              <w:rPr>
                <w:rFonts w:hint="eastAsia" w:ascii="宋体" w:hAnsi="宋体" w:eastAsia="宋体" w:cs="宋体"/>
                <w:sz w:val="21"/>
                <w:szCs w:val="21"/>
                <w:lang w:val="en-US" w:eastAsia="zh-CN"/>
              </w:rPr>
              <w:t>控制装置能自动切换到备用动力源和备用设备系统。</w:t>
            </w:r>
          </w:p>
        </w:tc>
        <w:tc>
          <w:tcPr>
            <w:tcW w:w="382" w:type="pct"/>
            <w:tcBorders>
              <w:tl2br w:val="nil"/>
              <w:tr2bl w:val="nil"/>
            </w:tcBorders>
            <w:vAlign w:val="center"/>
          </w:tcPr>
          <w:p w14:paraId="32BAEDD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Times New Roman" w:hAnsi="Times New Roman" w:eastAsia="宋体" w:cs="Times New Roman"/>
                <w:kern w:val="2"/>
                <w:sz w:val="20"/>
                <w:szCs w:val="20"/>
                <w:lang w:val="en-US" w:eastAsia="zh-CN" w:bidi="ar-SA"/>
              </w:rPr>
            </w:pPr>
            <w:r>
              <w:rPr>
                <w:rFonts w:hint="default" w:ascii="Times New Roman" w:hAnsi="Times New Roman" w:eastAsia="宋体" w:cs="Times New Roman"/>
                <w:sz w:val="20"/>
                <w:szCs w:val="20"/>
              </w:rPr>
              <w:t>符合</w:t>
            </w:r>
          </w:p>
        </w:tc>
      </w:tr>
      <w:tr w14:paraId="3F1118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14:paraId="5A7F206D">
            <w:pPr>
              <w:keepNext w:val="0"/>
              <w:keepLines w:val="0"/>
              <w:pageBreakBefore w:val="0"/>
              <w:widowControl w:val="0"/>
              <w:numPr>
                <w:ilvl w:val="0"/>
                <w:numId w:val="122"/>
              </w:numPr>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sz w:val="21"/>
                <w:szCs w:val="21"/>
              </w:rPr>
            </w:pPr>
          </w:p>
        </w:tc>
        <w:tc>
          <w:tcPr>
            <w:tcW w:w="1795" w:type="pct"/>
            <w:tcBorders>
              <w:tl2br w:val="nil"/>
              <w:tr2bl w:val="nil"/>
            </w:tcBorders>
            <w:vAlign w:val="center"/>
          </w:tcPr>
          <w:p w14:paraId="0CCF435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自动或半自动控制系统应设有必要的保护装置，以防止控制指令紊乱。同时，在每台设备上还</w:t>
            </w:r>
          </w:p>
          <w:p w14:paraId="668784C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应辅以能单独操纵的手动控制装置。</w:t>
            </w:r>
          </w:p>
        </w:tc>
        <w:tc>
          <w:tcPr>
            <w:tcW w:w="1212" w:type="pct"/>
            <w:tcBorders>
              <w:tl2br w:val="nil"/>
              <w:tr2bl w:val="nil"/>
            </w:tcBorders>
            <w:vAlign w:val="center"/>
          </w:tcPr>
          <w:p w14:paraId="22B0B2A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《生产设备安全卫生设计总则》</w:t>
            </w:r>
          </w:p>
          <w:p w14:paraId="308F07A1">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（GB5083-1999）</w:t>
            </w:r>
          </w:p>
          <w:p w14:paraId="772B760C">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kern w:val="2"/>
                <w:sz w:val="20"/>
                <w:szCs w:val="20"/>
                <w:lang w:val="en-US" w:eastAsia="zh-CN" w:bidi="ar-SA"/>
              </w:rPr>
            </w:pPr>
            <w:r>
              <w:rPr>
                <w:rFonts w:hint="eastAsia" w:ascii="Times New Roman" w:hAnsi="Times New Roman" w:eastAsia="宋体" w:cs="Times New Roman"/>
                <w:sz w:val="20"/>
                <w:szCs w:val="20"/>
                <w:lang w:val="en-US" w:eastAsia="zh-CN"/>
              </w:rPr>
              <w:t>5.6.1.2</w:t>
            </w:r>
          </w:p>
        </w:tc>
        <w:tc>
          <w:tcPr>
            <w:tcW w:w="1212" w:type="pct"/>
            <w:tcBorders>
              <w:tl2br w:val="nil"/>
              <w:tr2bl w:val="nil"/>
            </w:tcBorders>
            <w:vAlign w:val="center"/>
          </w:tcPr>
          <w:p w14:paraId="36BB432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该项目</w:t>
            </w:r>
            <w:r>
              <w:rPr>
                <w:rFonts w:hint="eastAsia" w:ascii="宋体" w:hAnsi="宋体" w:eastAsia="宋体" w:cs="宋体"/>
                <w:sz w:val="21"/>
                <w:szCs w:val="21"/>
                <w:lang w:val="en-US" w:eastAsia="zh-CN"/>
              </w:rPr>
              <w:t>自动或半自动控制系统设有必要的保护装置，以防止控制指令紊乱。同时，在每台设备上还</w:t>
            </w:r>
          </w:p>
          <w:p w14:paraId="1CF0EFB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辅以能单独操纵的手动控制装置。</w:t>
            </w:r>
          </w:p>
        </w:tc>
        <w:tc>
          <w:tcPr>
            <w:tcW w:w="382" w:type="pct"/>
            <w:tcBorders>
              <w:tl2br w:val="nil"/>
              <w:tr2bl w:val="nil"/>
            </w:tcBorders>
            <w:vAlign w:val="center"/>
          </w:tcPr>
          <w:p w14:paraId="33439C3D">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Times New Roman" w:hAnsi="Times New Roman" w:eastAsia="宋体" w:cs="Times New Roman"/>
                <w:kern w:val="2"/>
                <w:sz w:val="20"/>
                <w:szCs w:val="20"/>
                <w:lang w:val="en-US" w:eastAsia="zh-CN" w:bidi="ar-SA"/>
              </w:rPr>
            </w:pPr>
            <w:r>
              <w:rPr>
                <w:rFonts w:hint="default" w:ascii="Times New Roman" w:hAnsi="Times New Roman" w:eastAsia="宋体" w:cs="Times New Roman"/>
                <w:sz w:val="20"/>
                <w:szCs w:val="20"/>
              </w:rPr>
              <w:t>符合</w:t>
            </w:r>
          </w:p>
        </w:tc>
      </w:tr>
      <w:tr w14:paraId="593A6E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14:paraId="560B0B4A">
            <w:pPr>
              <w:keepNext w:val="0"/>
              <w:keepLines w:val="0"/>
              <w:pageBreakBefore w:val="0"/>
              <w:widowControl w:val="0"/>
              <w:numPr>
                <w:ilvl w:val="0"/>
                <w:numId w:val="122"/>
              </w:numPr>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sz w:val="21"/>
                <w:szCs w:val="21"/>
              </w:rPr>
            </w:pPr>
          </w:p>
        </w:tc>
        <w:tc>
          <w:tcPr>
            <w:tcW w:w="1795" w:type="pct"/>
            <w:tcBorders>
              <w:tl2br w:val="nil"/>
              <w:tr2bl w:val="nil"/>
            </w:tcBorders>
            <w:vAlign w:val="center"/>
          </w:tcPr>
          <w:p w14:paraId="66B05E6D">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对复杂的生产设备和重要的安全系统，应配置自动监控装置。</w:t>
            </w:r>
          </w:p>
        </w:tc>
        <w:tc>
          <w:tcPr>
            <w:tcW w:w="1212" w:type="pct"/>
            <w:tcBorders>
              <w:tl2br w:val="nil"/>
              <w:tr2bl w:val="nil"/>
            </w:tcBorders>
            <w:vAlign w:val="center"/>
          </w:tcPr>
          <w:p w14:paraId="189716AD">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《生产设备安全卫生设计总则》</w:t>
            </w:r>
          </w:p>
          <w:p w14:paraId="736BD8B5">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（GB5083-1999）</w:t>
            </w:r>
          </w:p>
          <w:p w14:paraId="6DC60C59">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kern w:val="2"/>
                <w:sz w:val="20"/>
                <w:szCs w:val="20"/>
                <w:lang w:val="en-US" w:eastAsia="zh-CN" w:bidi="ar-SA"/>
              </w:rPr>
            </w:pPr>
            <w:r>
              <w:rPr>
                <w:rFonts w:hint="eastAsia" w:ascii="Times New Roman" w:hAnsi="Times New Roman" w:eastAsia="宋体" w:cs="Times New Roman"/>
                <w:sz w:val="20"/>
                <w:szCs w:val="20"/>
                <w:lang w:val="en-US" w:eastAsia="zh-CN"/>
              </w:rPr>
              <w:t>5.6.1.3</w:t>
            </w:r>
          </w:p>
        </w:tc>
        <w:tc>
          <w:tcPr>
            <w:tcW w:w="1212" w:type="pct"/>
            <w:tcBorders>
              <w:tl2br w:val="nil"/>
              <w:tr2bl w:val="nil"/>
            </w:tcBorders>
            <w:vAlign w:val="center"/>
          </w:tcPr>
          <w:p w14:paraId="696E9C9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default" w:ascii="宋体" w:hAnsi="宋体" w:eastAsia="宋体" w:cs="宋体"/>
                <w:sz w:val="21"/>
                <w:szCs w:val="21"/>
                <w:lang w:val="en-US" w:eastAsia="zh-CN"/>
              </w:rPr>
            </w:pPr>
            <w:r>
              <w:rPr>
                <w:rFonts w:hint="eastAsia" w:ascii="宋体" w:hAnsi="宋体" w:eastAsia="宋体" w:cs="宋体"/>
                <w:color w:val="000000"/>
                <w:sz w:val="21"/>
                <w:szCs w:val="21"/>
                <w:u w:val="none"/>
                <w:lang w:val="en-US" w:eastAsia="zh-CN" w:bidi="ar"/>
              </w:rPr>
              <w:t>电弧炉</w:t>
            </w:r>
            <w:r>
              <w:rPr>
                <w:rFonts w:hint="eastAsia" w:ascii="宋体" w:hAnsi="宋体" w:eastAsia="宋体" w:cs="宋体"/>
                <w:sz w:val="21"/>
                <w:szCs w:val="21"/>
                <w:lang w:val="en-US" w:eastAsia="zh-CN"/>
              </w:rPr>
              <w:t>、配料系统、除尘设备、烟气处理等复杂的生产设备和重要的安全系统，配置自动监控装置。</w:t>
            </w:r>
          </w:p>
        </w:tc>
        <w:tc>
          <w:tcPr>
            <w:tcW w:w="382" w:type="pct"/>
            <w:tcBorders>
              <w:tl2br w:val="nil"/>
              <w:tr2bl w:val="nil"/>
            </w:tcBorders>
            <w:vAlign w:val="center"/>
          </w:tcPr>
          <w:p w14:paraId="7FEB8774">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Times New Roman" w:hAnsi="Times New Roman" w:eastAsia="宋体" w:cs="Times New Roman"/>
                <w:kern w:val="2"/>
                <w:sz w:val="20"/>
                <w:szCs w:val="20"/>
                <w:lang w:val="en-US" w:eastAsia="zh-CN" w:bidi="ar-SA"/>
              </w:rPr>
            </w:pPr>
            <w:r>
              <w:rPr>
                <w:rFonts w:hint="default" w:ascii="Times New Roman" w:hAnsi="Times New Roman" w:eastAsia="宋体" w:cs="Times New Roman"/>
                <w:sz w:val="20"/>
                <w:szCs w:val="20"/>
              </w:rPr>
              <w:t>符合</w:t>
            </w:r>
          </w:p>
        </w:tc>
      </w:tr>
      <w:tr w14:paraId="347D0A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14:paraId="265F10D5">
            <w:pPr>
              <w:keepNext w:val="0"/>
              <w:keepLines w:val="0"/>
              <w:pageBreakBefore w:val="0"/>
              <w:widowControl w:val="0"/>
              <w:numPr>
                <w:ilvl w:val="0"/>
                <w:numId w:val="122"/>
              </w:numPr>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sz w:val="21"/>
                <w:szCs w:val="21"/>
              </w:rPr>
            </w:pPr>
          </w:p>
        </w:tc>
        <w:tc>
          <w:tcPr>
            <w:tcW w:w="1795" w:type="pct"/>
            <w:tcBorders>
              <w:tl2br w:val="nil"/>
              <w:tr2bl w:val="nil"/>
            </w:tcBorders>
            <w:vAlign w:val="center"/>
          </w:tcPr>
          <w:p w14:paraId="7836B331">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重要生产设备的控制装置应安装在使操作人员能看到整个设备动作的位置上。对于某些在起</w:t>
            </w:r>
          </w:p>
          <w:p w14:paraId="131D0480">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动设备时看不见全貌的生产设备，应配置开车预警信号装置。预警信号装置应有足够的报警时间。</w:t>
            </w:r>
          </w:p>
        </w:tc>
        <w:tc>
          <w:tcPr>
            <w:tcW w:w="1212" w:type="pct"/>
            <w:tcBorders>
              <w:tl2br w:val="nil"/>
              <w:tr2bl w:val="nil"/>
            </w:tcBorders>
            <w:vAlign w:val="center"/>
          </w:tcPr>
          <w:p w14:paraId="28348425">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《生产设备安全卫生设计总则》</w:t>
            </w:r>
          </w:p>
          <w:p w14:paraId="74083281">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（GB5083-1999）</w:t>
            </w:r>
          </w:p>
          <w:p w14:paraId="68A4C20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Times New Roman" w:hAnsi="Times New Roman" w:eastAsia="宋体" w:cs="Times New Roman"/>
                <w:sz w:val="20"/>
                <w:szCs w:val="20"/>
                <w:lang w:val="en-US" w:eastAsia="zh-CN"/>
              </w:rPr>
            </w:pPr>
            <w:r>
              <w:rPr>
                <w:rFonts w:hint="eastAsia" w:ascii="Times New Roman" w:hAnsi="Times New Roman" w:eastAsia="宋体" w:cs="Times New Roman"/>
                <w:sz w:val="20"/>
                <w:szCs w:val="20"/>
                <w:lang w:val="en-US" w:eastAsia="zh-CN"/>
              </w:rPr>
              <w:t>5.6.1.4</w:t>
            </w:r>
          </w:p>
        </w:tc>
        <w:tc>
          <w:tcPr>
            <w:tcW w:w="1212" w:type="pct"/>
            <w:tcBorders>
              <w:tl2br w:val="nil"/>
              <w:tr2bl w:val="nil"/>
            </w:tcBorders>
            <w:vAlign w:val="center"/>
          </w:tcPr>
          <w:p w14:paraId="14C6E30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default" w:ascii="Times New Roman" w:hAnsi="Times New Roman" w:eastAsia="宋体" w:cs="Times New Roman"/>
                <w:sz w:val="20"/>
                <w:szCs w:val="20"/>
              </w:rPr>
              <w:t>该项目内的设备控制装置按要求进行了设置。</w:t>
            </w:r>
          </w:p>
        </w:tc>
        <w:tc>
          <w:tcPr>
            <w:tcW w:w="382" w:type="pct"/>
            <w:tcBorders>
              <w:tl2br w:val="nil"/>
              <w:tr2bl w:val="nil"/>
            </w:tcBorders>
            <w:vAlign w:val="center"/>
          </w:tcPr>
          <w:p w14:paraId="7955E5D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符合</w:t>
            </w:r>
          </w:p>
        </w:tc>
      </w:tr>
      <w:tr w14:paraId="6290C0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14:paraId="705892D9">
            <w:pPr>
              <w:keepNext w:val="0"/>
              <w:keepLines w:val="0"/>
              <w:pageBreakBefore w:val="0"/>
              <w:widowControl w:val="0"/>
              <w:numPr>
                <w:ilvl w:val="0"/>
                <w:numId w:val="122"/>
              </w:numPr>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sz w:val="21"/>
                <w:szCs w:val="21"/>
              </w:rPr>
            </w:pPr>
          </w:p>
        </w:tc>
        <w:tc>
          <w:tcPr>
            <w:tcW w:w="1795" w:type="pct"/>
            <w:tcBorders>
              <w:tl2br w:val="nil"/>
              <w:tr2bl w:val="nil"/>
            </w:tcBorders>
            <w:vAlign w:val="center"/>
          </w:tcPr>
          <w:p w14:paraId="35517B2C">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控制系统应保证，即使系统发生故障或损坏时也不致造成危害。系统内关键的元器件、控制阀</w:t>
            </w:r>
          </w:p>
          <w:p w14:paraId="0B512DC2">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等均应符合可靠性指标要求。</w:t>
            </w:r>
          </w:p>
        </w:tc>
        <w:tc>
          <w:tcPr>
            <w:tcW w:w="1212" w:type="pct"/>
            <w:tcBorders>
              <w:tl2br w:val="nil"/>
              <w:tr2bl w:val="nil"/>
            </w:tcBorders>
            <w:vAlign w:val="center"/>
          </w:tcPr>
          <w:p w14:paraId="2B16687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《生产设备安全卫生设计总则》</w:t>
            </w:r>
          </w:p>
          <w:p w14:paraId="17874875">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（GB5083-1999）</w:t>
            </w:r>
          </w:p>
          <w:p w14:paraId="5B7831E0">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lang w:val="en-US" w:eastAsia="zh-CN"/>
              </w:rPr>
            </w:pPr>
            <w:r>
              <w:rPr>
                <w:rFonts w:hint="eastAsia" w:ascii="Times New Roman" w:hAnsi="Times New Roman" w:eastAsia="宋体" w:cs="Times New Roman"/>
                <w:sz w:val="20"/>
                <w:szCs w:val="20"/>
                <w:lang w:val="en-US" w:eastAsia="zh-CN"/>
              </w:rPr>
              <w:t>5.6.1.5</w:t>
            </w:r>
          </w:p>
        </w:tc>
        <w:tc>
          <w:tcPr>
            <w:tcW w:w="1212" w:type="pct"/>
            <w:tcBorders>
              <w:tl2br w:val="nil"/>
              <w:tr2bl w:val="nil"/>
            </w:tcBorders>
            <w:vAlign w:val="center"/>
          </w:tcPr>
          <w:p w14:paraId="2116DFF5">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系统内关键的元器件、控制阀等均符合可靠性指标要求。</w:t>
            </w:r>
          </w:p>
        </w:tc>
        <w:tc>
          <w:tcPr>
            <w:tcW w:w="382" w:type="pct"/>
            <w:tcBorders>
              <w:tl2br w:val="nil"/>
              <w:tr2bl w:val="nil"/>
            </w:tcBorders>
            <w:vAlign w:val="center"/>
          </w:tcPr>
          <w:p w14:paraId="44D5BFFB">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符合</w:t>
            </w:r>
          </w:p>
        </w:tc>
      </w:tr>
      <w:tr w14:paraId="72A53A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14:paraId="5CFBD735">
            <w:pPr>
              <w:keepNext w:val="0"/>
              <w:keepLines w:val="0"/>
              <w:pageBreakBefore w:val="0"/>
              <w:widowControl w:val="0"/>
              <w:numPr>
                <w:ilvl w:val="0"/>
                <w:numId w:val="122"/>
              </w:numPr>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sz w:val="21"/>
                <w:szCs w:val="21"/>
              </w:rPr>
            </w:pPr>
          </w:p>
        </w:tc>
        <w:tc>
          <w:tcPr>
            <w:tcW w:w="1795" w:type="pct"/>
            <w:tcBorders>
              <w:tl2br w:val="nil"/>
              <w:tr2bl w:val="nil"/>
            </w:tcBorders>
            <w:vAlign w:val="center"/>
          </w:tcPr>
          <w:p w14:paraId="5E7FE95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控制装置和作为安全技术措施的离合器、制动装置和联锁装置，应具有良好的可靠性并符合</w:t>
            </w:r>
          </w:p>
          <w:p w14:paraId="45EACCEF">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其产品标准规定的可靠性指标要求。</w:t>
            </w:r>
          </w:p>
        </w:tc>
        <w:tc>
          <w:tcPr>
            <w:tcW w:w="1212" w:type="pct"/>
            <w:tcBorders>
              <w:tl2br w:val="nil"/>
              <w:tr2bl w:val="nil"/>
            </w:tcBorders>
            <w:vAlign w:val="center"/>
          </w:tcPr>
          <w:p w14:paraId="7931BE8F">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《生产设备安全卫生设计总则》</w:t>
            </w:r>
          </w:p>
          <w:p w14:paraId="74592693">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（GB5083-1999）</w:t>
            </w:r>
          </w:p>
          <w:p w14:paraId="0D4BEFF7">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lang w:val="en-US" w:eastAsia="zh-CN"/>
              </w:rPr>
            </w:pPr>
            <w:r>
              <w:rPr>
                <w:rFonts w:hint="eastAsia" w:ascii="Times New Roman" w:hAnsi="Times New Roman" w:eastAsia="宋体" w:cs="Times New Roman"/>
                <w:sz w:val="20"/>
                <w:szCs w:val="20"/>
                <w:lang w:val="en-US" w:eastAsia="zh-CN"/>
              </w:rPr>
              <w:t>5.6.1.6</w:t>
            </w:r>
          </w:p>
        </w:tc>
        <w:tc>
          <w:tcPr>
            <w:tcW w:w="1212" w:type="pct"/>
            <w:tcBorders>
              <w:tl2br w:val="nil"/>
              <w:tr2bl w:val="nil"/>
            </w:tcBorders>
            <w:vAlign w:val="center"/>
          </w:tcPr>
          <w:p w14:paraId="0DBC4FC6">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控制装置和作为安全技术措施的离合器、制动装置和联锁装置，具有良好的可靠性并符合产品标准规定的可靠性指标要求。</w:t>
            </w:r>
          </w:p>
        </w:tc>
        <w:tc>
          <w:tcPr>
            <w:tcW w:w="382" w:type="pct"/>
            <w:tcBorders>
              <w:tl2br w:val="nil"/>
              <w:tr2bl w:val="nil"/>
            </w:tcBorders>
            <w:vAlign w:val="center"/>
          </w:tcPr>
          <w:p w14:paraId="366A7CAA">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符合</w:t>
            </w:r>
          </w:p>
        </w:tc>
      </w:tr>
      <w:tr w14:paraId="36160E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vAlign w:val="center"/>
          </w:tcPr>
          <w:p w14:paraId="6BECB11A">
            <w:pPr>
              <w:keepNext w:val="0"/>
              <w:keepLines w:val="0"/>
              <w:pageBreakBefore w:val="0"/>
              <w:widowControl w:val="0"/>
              <w:numPr>
                <w:ilvl w:val="0"/>
                <w:numId w:val="122"/>
              </w:numPr>
              <w:suppressLineNumbers w:val="0"/>
              <w:kinsoku/>
              <w:wordWrap/>
              <w:topLinePunct w:val="0"/>
              <w:bidi w:val="0"/>
              <w:adjustRightInd/>
              <w:snapToGrid/>
              <w:spacing w:before="0" w:beforeAutospacing="0" w:after="0" w:afterAutospacing="0" w:line="240" w:lineRule="auto"/>
              <w:ind w:left="0" w:leftChars="0" w:right="0" w:rightChars="0" w:firstLine="0" w:firstLineChars="0"/>
              <w:jc w:val="center"/>
              <w:rPr>
                <w:rFonts w:hint="eastAsia" w:ascii="宋体" w:hAnsi="宋体" w:eastAsia="宋体" w:cs="宋体"/>
                <w:b/>
                <w:bCs/>
                <w:sz w:val="21"/>
                <w:szCs w:val="21"/>
              </w:rPr>
            </w:pPr>
          </w:p>
        </w:tc>
        <w:tc>
          <w:tcPr>
            <w:tcW w:w="1795" w:type="pct"/>
            <w:tcBorders>
              <w:tl2br w:val="nil"/>
              <w:tr2bl w:val="nil"/>
            </w:tcBorders>
            <w:vAlign w:val="center"/>
          </w:tcPr>
          <w:p w14:paraId="108BDA8A">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调节装置应采用自动联锁装置，以防止误操作和自动调节、自动操纵线〈管）路等的误通断。</w:t>
            </w:r>
          </w:p>
        </w:tc>
        <w:tc>
          <w:tcPr>
            <w:tcW w:w="1212" w:type="pct"/>
            <w:tcBorders>
              <w:tl2br w:val="nil"/>
              <w:tr2bl w:val="nil"/>
            </w:tcBorders>
            <w:vAlign w:val="center"/>
          </w:tcPr>
          <w:p w14:paraId="3AC34029">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《生产设备安全卫生设计总则》</w:t>
            </w:r>
          </w:p>
          <w:p w14:paraId="06411515">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（GB5083-1999）</w:t>
            </w:r>
          </w:p>
          <w:p w14:paraId="65A642D2">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default" w:ascii="Times New Roman" w:hAnsi="Times New Roman" w:eastAsia="宋体" w:cs="Times New Roman"/>
                <w:sz w:val="20"/>
                <w:szCs w:val="20"/>
                <w:lang w:val="en-US" w:eastAsia="zh-CN"/>
              </w:rPr>
            </w:pPr>
            <w:r>
              <w:rPr>
                <w:rFonts w:hint="eastAsia" w:ascii="Times New Roman" w:hAnsi="Times New Roman" w:eastAsia="宋体" w:cs="Times New Roman"/>
                <w:sz w:val="20"/>
                <w:szCs w:val="20"/>
                <w:lang w:val="en-US" w:eastAsia="zh-CN"/>
              </w:rPr>
              <w:t>5.6.1.7</w:t>
            </w:r>
          </w:p>
        </w:tc>
        <w:tc>
          <w:tcPr>
            <w:tcW w:w="1212" w:type="pct"/>
            <w:tcBorders>
              <w:tl2br w:val="nil"/>
              <w:tr2bl w:val="nil"/>
            </w:tcBorders>
            <w:vAlign w:val="center"/>
          </w:tcPr>
          <w:p w14:paraId="6535FB23">
            <w:pPr>
              <w:keepNext w:val="0"/>
              <w:keepLines w:val="0"/>
              <w:pageBreakBefore w:val="0"/>
              <w:widowControl w:val="0"/>
              <w:suppressLineNumbers w:val="0"/>
              <w:kinsoku/>
              <w:wordWrap/>
              <w:topLinePunct w:val="0"/>
              <w:bidi w:val="0"/>
              <w:adjustRightInd/>
              <w:snapToGrid/>
              <w:spacing w:before="0" w:beforeAutospacing="0" w:after="0" w:afterAutospacing="0" w:line="240" w:lineRule="auto"/>
              <w:ind w:left="0" w:right="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调节装置采用自动联锁装置，以防止误操作和自动调节、自动操纵线〈管）路等的误通断。</w:t>
            </w:r>
          </w:p>
        </w:tc>
        <w:tc>
          <w:tcPr>
            <w:tcW w:w="382" w:type="pct"/>
            <w:tcBorders>
              <w:tl2br w:val="nil"/>
              <w:tr2bl w:val="nil"/>
            </w:tcBorders>
            <w:vAlign w:val="center"/>
          </w:tcPr>
          <w:p w14:paraId="29059A6E">
            <w:pPr>
              <w:keepNext w:val="0"/>
              <w:keepLines w:val="0"/>
              <w:pageBreakBefore w:val="0"/>
              <w:widowControl w:val="0"/>
              <w:suppressLineNumbers w:val="0"/>
              <w:kinsoku/>
              <w:wordWrap/>
              <w:topLinePunct w:val="0"/>
              <w:bidi w:val="0"/>
              <w:adjustRightInd/>
              <w:snapToGrid/>
              <w:spacing w:before="0" w:beforeAutospacing="0" w:after="0" w:afterAutospacing="0" w:line="300" w:lineRule="exact"/>
              <w:ind w:left="0" w:leftChars="0" w:right="0" w:rightChars="0" w:firstLine="0" w:firstLineChars="0"/>
              <w:jc w:val="center"/>
              <w:rPr>
                <w:rFonts w:hint="eastAsia" w:ascii="Times New Roman" w:hAnsi="Times New Roman" w:eastAsia="宋体" w:cs="Times New Roman"/>
                <w:kern w:val="2"/>
                <w:sz w:val="20"/>
                <w:szCs w:val="20"/>
                <w:lang w:val="en-US" w:eastAsia="zh-CN" w:bidi="ar-SA"/>
              </w:rPr>
            </w:pPr>
            <w:r>
              <w:rPr>
                <w:rFonts w:hint="default" w:ascii="Times New Roman" w:hAnsi="Times New Roman" w:eastAsia="宋体" w:cs="Times New Roman"/>
                <w:sz w:val="20"/>
                <w:szCs w:val="20"/>
              </w:rPr>
              <w:t>符合</w:t>
            </w:r>
          </w:p>
        </w:tc>
      </w:tr>
    </w:tbl>
    <w:p w14:paraId="58E5DA4A">
      <w:pPr>
        <w:bidi w:val="0"/>
        <w:rPr>
          <w:lang w:val="en-US" w:eastAsia="zh-CN"/>
        </w:rPr>
      </w:pPr>
      <w:r>
        <w:rPr>
          <w:rFonts w:hint="eastAsia"/>
        </w:rPr>
        <w:t>依据检查结果可知，该项目自动控制及通信设施安全措施符合</w:t>
      </w:r>
      <w:r>
        <w:rPr>
          <w:rFonts w:hint="eastAsia"/>
          <w:lang w:val="en-US" w:eastAsia="zh-CN"/>
        </w:rPr>
        <w:t>《生产过程安全卫生要求总则》（GB/T12801-2008）、</w:t>
      </w:r>
      <w:r>
        <w:rPr>
          <w:rFonts w:hint="eastAsia"/>
        </w:rPr>
        <w:t>《生产设备安全卫生设计总则》（GB5083-1999）等标准规范的要求。</w:t>
      </w:r>
    </w:p>
    <w:p w14:paraId="7E54051E">
      <w:pPr>
        <w:pStyle w:val="4"/>
        <w:keepNext w:val="0"/>
        <w:keepLines w:val="0"/>
        <w:pageBreakBefore w:val="0"/>
        <w:widowControl w:val="0"/>
        <w:kinsoku/>
        <w:bidi w:val="0"/>
        <w:rPr>
          <w:lang w:val="en-US" w:eastAsia="zh-CN"/>
        </w:rPr>
      </w:pPr>
      <w:bookmarkStart w:id="1041" w:name="_Toc14542"/>
      <w:r>
        <w:rPr>
          <w:rFonts w:hint="eastAsia"/>
        </w:rPr>
        <w:t>公用和辅助设备设施</w:t>
      </w:r>
      <w:r>
        <w:rPr>
          <w:rFonts w:hint="eastAsia"/>
          <w:lang w:val="en-US" w:eastAsia="zh-CN"/>
        </w:rPr>
        <w:t>单元符合性检查结果</w:t>
      </w:r>
      <w:bookmarkEnd w:id="1041"/>
    </w:p>
    <w:p w14:paraId="031C9850">
      <w:pPr>
        <w:bidi w:val="0"/>
        <w:rPr>
          <w:rFonts w:hint="default"/>
          <w:lang w:val="en-US" w:eastAsia="zh-CN"/>
        </w:rPr>
      </w:pPr>
      <w:r>
        <w:rPr>
          <w:rFonts w:hint="eastAsia"/>
          <w:lang w:val="en-US" w:eastAsia="zh-CN"/>
        </w:rPr>
        <w:t>该</w:t>
      </w:r>
      <w:r>
        <w:rPr>
          <w:rFonts w:hint="eastAsia"/>
        </w:rPr>
        <w:t>项目</w:t>
      </w:r>
      <w:r>
        <w:rPr>
          <w:rFonts w:hint="eastAsia"/>
          <w:lang w:val="en-US" w:eastAsia="zh-CN"/>
        </w:rPr>
        <w:t>给排水、供配电、防雷接地、消防系统、采暖通风、供气、自动控制及通信设施等</w:t>
      </w:r>
      <w:r>
        <w:rPr>
          <w:rFonts w:hint="eastAsia"/>
        </w:rPr>
        <w:t>公用和辅助设备设施</w:t>
      </w:r>
      <w:r>
        <w:rPr>
          <w:rFonts w:hint="eastAsia"/>
          <w:lang w:val="en-US" w:eastAsia="zh-CN"/>
        </w:rPr>
        <w:t>单元</w:t>
      </w:r>
      <w:r>
        <w:rPr>
          <w:rFonts w:hint="eastAsia"/>
        </w:rPr>
        <w:t>符合</w:t>
      </w:r>
      <w:r>
        <w:rPr>
          <w:rFonts w:hint="eastAsia"/>
          <w:lang w:val="en-US" w:eastAsia="zh-CN"/>
        </w:rPr>
        <w:t>国家相关法律法规、</w:t>
      </w:r>
      <w:r>
        <w:rPr>
          <w:rFonts w:hint="eastAsia"/>
        </w:rPr>
        <w:t>标准规范</w:t>
      </w:r>
      <w:r>
        <w:rPr>
          <w:rFonts w:hint="eastAsia"/>
          <w:lang w:val="en-US" w:eastAsia="zh-CN"/>
        </w:rPr>
        <w:t>的要求。</w:t>
      </w:r>
    </w:p>
    <w:p w14:paraId="4B85D125">
      <w:pPr>
        <w:pStyle w:val="3"/>
        <w:keepNext w:val="0"/>
        <w:keepLines w:val="0"/>
        <w:pageBreakBefore w:val="0"/>
        <w:widowControl w:val="0"/>
        <w:kinsoku/>
        <w:bidi w:val="0"/>
        <w:ind w:left="575" w:leftChars="0" w:hanging="575" w:firstLineChars="0"/>
      </w:pPr>
      <w:bookmarkStart w:id="1042" w:name="_Toc14485"/>
      <w:r>
        <w:t>特种设备设施及强制检验设备设施单元</w:t>
      </w:r>
      <w:bookmarkEnd w:id="1038"/>
      <w:bookmarkEnd w:id="1039"/>
      <w:bookmarkEnd w:id="1040"/>
      <w:bookmarkEnd w:id="1042"/>
    </w:p>
    <w:p w14:paraId="58037327">
      <w:pPr>
        <w:pStyle w:val="4"/>
        <w:keepNext w:val="0"/>
        <w:keepLines w:val="0"/>
        <w:pageBreakBefore w:val="0"/>
        <w:widowControl w:val="0"/>
        <w:kinsoku/>
        <w:bidi w:val="0"/>
        <w:ind w:left="720" w:leftChars="0" w:hanging="720" w:firstLineChars="0"/>
      </w:pPr>
      <w:bookmarkStart w:id="1043" w:name="_Toc313453607"/>
      <w:bookmarkStart w:id="1044" w:name="_Toc830"/>
      <w:bookmarkStart w:id="1045" w:name="_Toc367707495"/>
      <w:bookmarkStart w:id="1046" w:name="_Toc61013638"/>
      <w:bookmarkStart w:id="1047" w:name="_Toc331963413"/>
      <w:bookmarkStart w:id="1048" w:name="_Toc404786428"/>
      <w:bookmarkStart w:id="1049" w:name="_Toc367715512"/>
      <w:bookmarkStart w:id="1050" w:name="_Toc384913511"/>
      <w:bookmarkStart w:id="1051" w:name="_Toc367717436"/>
      <w:bookmarkStart w:id="1052" w:name="_Toc6658"/>
      <w:bookmarkStart w:id="1053" w:name="_Toc21420"/>
      <w:bookmarkStart w:id="1054" w:name="_Toc61013639"/>
      <w:r>
        <w:t>特种设备安全检查</w:t>
      </w:r>
      <w:bookmarkEnd w:id="1043"/>
      <w:bookmarkEnd w:id="1044"/>
      <w:bookmarkEnd w:id="1045"/>
      <w:bookmarkEnd w:id="1046"/>
      <w:bookmarkEnd w:id="1047"/>
      <w:bookmarkEnd w:id="1048"/>
      <w:bookmarkEnd w:id="1049"/>
      <w:bookmarkEnd w:id="1050"/>
      <w:bookmarkEnd w:id="1051"/>
      <w:r>
        <w:rPr>
          <w:rFonts w:hint="eastAsia"/>
          <w:lang w:val="en-US" w:eastAsia="zh-CN"/>
        </w:rPr>
        <w:t>单元</w:t>
      </w:r>
      <w:bookmarkEnd w:id="1052"/>
      <w:bookmarkEnd w:id="1053"/>
    </w:p>
    <w:p w14:paraId="41EF59C6">
      <w:pPr>
        <w:bidi w:val="0"/>
        <w:rPr>
          <w:rFonts w:hint="eastAsia" w:ascii="宋体" w:hAnsi="宋体" w:eastAsia="宋体" w:cs="宋体"/>
          <w:snapToGrid w:val="0"/>
          <w:kern w:val="0"/>
          <w:szCs w:val="28"/>
        </w:rPr>
      </w:pPr>
      <w:r>
        <w:rPr>
          <w:rFonts w:hint="eastAsia"/>
        </w:rPr>
        <w:t>本项目</w:t>
      </w:r>
      <w:r>
        <w:rPr>
          <w:rFonts w:hint="eastAsia"/>
          <w:lang w:eastAsia="zh-CN"/>
        </w:rPr>
        <w:t>涉及的</w:t>
      </w:r>
      <w:r>
        <w:rPr>
          <w:rFonts w:hint="eastAsia"/>
        </w:rPr>
        <w:t>特种设备有：</w:t>
      </w:r>
      <w:r>
        <w:rPr>
          <w:rFonts w:hint="eastAsia"/>
          <w:lang w:val="en-US" w:eastAsia="zh-CN"/>
        </w:rPr>
        <w:t>起重机、压力容器</w:t>
      </w:r>
      <w:r>
        <w:rPr>
          <w:rFonts w:hint="eastAsia"/>
        </w:rPr>
        <w:t>、压力管道、叉车，现根据《中华人民共和国特种设备安全法》（中华人民共和国主席令第4号）、《特种设备安全监察条例</w:t>
      </w:r>
      <w:r>
        <w:rPr>
          <w:rFonts w:hint="eastAsia"/>
          <w:lang w:eastAsia="zh-CN"/>
        </w:rPr>
        <w:t>》《</w:t>
      </w:r>
      <w:r>
        <w:rPr>
          <w:rFonts w:hint="eastAsia"/>
        </w:rPr>
        <w:t>固定式压力容器安全技术监察规程》行业标准第1号修改单（TSG21-2016/XG1-2020）、《</w:t>
      </w:r>
      <w:r>
        <w:rPr>
          <w:rFonts w:hint="eastAsia"/>
          <w:lang w:eastAsia="zh-CN"/>
        </w:rPr>
        <w:t>场（厂）内专用机动车辆安全技术规程</w:t>
      </w:r>
      <w:r>
        <w:rPr>
          <w:rFonts w:hint="eastAsia"/>
        </w:rPr>
        <w:t>》（</w:t>
      </w:r>
      <w:r>
        <w:rPr>
          <w:rFonts w:hint="eastAsia"/>
          <w:lang w:eastAsia="zh-CN"/>
        </w:rPr>
        <w:t>TSG81-2022</w:t>
      </w:r>
      <w:r>
        <w:rPr>
          <w:rFonts w:hint="eastAsia"/>
        </w:rPr>
        <w:t>）等法律法规、标准规范的相关要求对本项目特种设备的情况进行检查。检查结果见下表。</w:t>
      </w:r>
    </w:p>
    <w:p w14:paraId="6348CDA5">
      <w:pPr>
        <w:pStyle w:val="12"/>
        <w:keepNext w:val="0"/>
        <w:keepLines w:val="0"/>
        <w:pageBreakBefore w:val="0"/>
        <w:widowControl w:val="0"/>
        <w:kinsoku/>
        <w:wordWrap/>
        <w:bidi w:val="0"/>
        <w:rPr>
          <w:rFonts w:hint="eastAsia"/>
          <w:lang w:val="en-US" w:eastAsia="zh-CN"/>
        </w:rPr>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11</w:t>
      </w:r>
      <w:r>
        <w:rPr>
          <w:rFonts w:hint="eastAsia"/>
          <w:lang w:val="en-US" w:eastAsia="zh-CN"/>
        </w:rPr>
        <w:fldChar w:fldCharType="end"/>
      </w:r>
      <w:r>
        <w:rPr>
          <w:rFonts w:hint="eastAsia"/>
          <w:lang w:val="en-US" w:eastAsia="zh-CN"/>
        </w:rPr>
        <w:t>特种设备检查表</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98"/>
        <w:gridCol w:w="2931"/>
        <w:gridCol w:w="2858"/>
        <w:gridCol w:w="1755"/>
        <w:gridCol w:w="481"/>
      </w:tblGrid>
      <w:tr w14:paraId="4BDB32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tblHeader/>
          <w:jc w:val="center"/>
        </w:trPr>
        <w:tc>
          <w:tcPr>
            <w:tcW w:w="292" w:type="pct"/>
            <w:tcBorders>
              <w:tl2br w:val="nil"/>
              <w:tr2bl w:val="nil"/>
            </w:tcBorders>
            <w:noWrap w:val="0"/>
            <w:vAlign w:val="center"/>
          </w:tcPr>
          <w:p w14:paraId="252A2F9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both"/>
              <w:textAlignment w:val="auto"/>
              <w:rPr>
                <w:rFonts w:hint="eastAsia" w:ascii="宋体" w:hAnsi="宋体" w:eastAsia="宋体" w:cs="宋体"/>
                <w:b/>
                <w:sz w:val="21"/>
                <w:szCs w:val="21"/>
              </w:rPr>
            </w:pPr>
            <w:r>
              <w:rPr>
                <w:rFonts w:hint="eastAsia" w:ascii="宋体" w:hAnsi="宋体" w:eastAsia="宋体" w:cs="宋体"/>
                <w:b/>
                <w:sz w:val="21"/>
                <w:szCs w:val="21"/>
              </w:rPr>
              <w:t>序号</w:t>
            </w:r>
          </w:p>
        </w:tc>
        <w:tc>
          <w:tcPr>
            <w:tcW w:w="1719" w:type="pct"/>
            <w:tcBorders>
              <w:tl2br w:val="nil"/>
              <w:tr2bl w:val="nil"/>
            </w:tcBorders>
            <w:noWrap w:val="0"/>
            <w:vAlign w:val="center"/>
          </w:tcPr>
          <w:p w14:paraId="518F4F7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检查内容</w:t>
            </w:r>
          </w:p>
        </w:tc>
        <w:tc>
          <w:tcPr>
            <w:tcW w:w="1676" w:type="pct"/>
            <w:tcBorders>
              <w:tl2br w:val="nil"/>
              <w:tr2bl w:val="nil"/>
            </w:tcBorders>
            <w:noWrap w:val="0"/>
            <w:vAlign w:val="center"/>
          </w:tcPr>
          <w:p w14:paraId="54BB093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依据标准</w:t>
            </w:r>
          </w:p>
        </w:tc>
        <w:tc>
          <w:tcPr>
            <w:tcW w:w="1029" w:type="pct"/>
            <w:tcBorders>
              <w:tl2br w:val="nil"/>
              <w:tr2bl w:val="nil"/>
            </w:tcBorders>
            <w:noWrap w:val="0"/>
            <w:vAlign w:val="center"/>
          </w:tcPr>
          <w:p w14:paraId="443CB23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检查情况</w:t>
            </w:r>
          </w:p>
        </w:tc>
        <w:tc>
          <w:tcPr>
            <w:tcW w:w="282" w:type="pct"/>
            <w:tcBorders>
              <w:tl2br w:val="nil"/>
              <w:tr2bl w:val="nil"/>
            </w:tcBorders>
            <w:noWrap w:val="0"/>
            <w:vAlign w:val="center"/>
          </w:tcPr>
          <w:p w14:paraId="72B24C9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结论</w:t>
            </w:r>
          </w:p>
        </w:tc>
      </w:tr>
      <w:tr w14:paraId="7FD752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7227081F">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center"/>
          </w:tcPr>
          <w:p w14:paraId="4E38D83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特种设备使用单位应当使用取得许可生产并经检验合格的特种设备。禁止使用国家明令淘汰和已经报废的特种设备。</w:t>
            </w:r>
          </w:p>
        </w:tc>
        <w:tc>
          <w:tcPr>
            <w:tcW w:w="1676" w:type="pct"/>
            <w:tcBorders>
              <w:tl2br w:val="nil"/>
              <w:tr2bl w:val="nil"/>
            </w:tcBorders>
            <w:noWrap w:val="0"/>
            <w:vAlign w:val="center"/>
          </w:tcPr>
          <w:p w14:paraId="381FC87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《中华人民共和国特种设备安全法》</w:t>
            </w:r>
          </w:p>
          <w:p w14:paraId="538B708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（中华人民共和国主席令第4号）第三十二条</w:t>
            </w:r>
          </w:p>
        </w:tc>
        <w:tc>
          <w:tcPr>
            <w:tcW w:w="1029" w:type="pct"/>
            <w:tcBorders>
              <w:tl2br w:val="nil"/>
              <w:tr2bl w:val="nil"/>
            </w:tcBorders>
            <w:noWrap w:val="0"/>
            <w:vAlign w:val="center"/>
          </w:tcPr>
          <w:p w14:paraId="3FE9C3E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企业未使用国家明令淘汰和已经报废的特种设备。</w:t>
            </w:r>
          </w:p>
        </w:tc>
        <w:tc>
          <w:tcPr>
            <w:tcW w:w="282" w:type="pct"/>
            <w:tcBorders>
              <w:tl2br w:val="nil"/>
              <w:tr2bl w:val="nil"/>
            </w:tcBorders>
            <w:noWrap w:val="0"/>
            <w:vAlign w:val="center"/>
          </w:tcPr>
          <w:p w14:paraId="37C7D42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6121EA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73491B79">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center"/>
          </w:tcPr>
          <w:p w14:paraId="425179D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1676" w:type="pct"/>
            <w:tcBorders>
              <w:tl2br w:val="nil"/>
              <w:tr2bl w:val="nil"/>
            </w:tcBorders>
            <w:noWrap w:val="0"/>
            <w:vAlign w:val="center"/>
          </w:tcPr>
          <w:p w14:paraId="5A2E196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《中华人民共和国特种设备安全法》</w:t>
            </w:r>
          </w:p>
          <w:p w14:paraId="159B1E0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（中华人民共和国主席令第4号）第三十三条</w:t>
            </w:r>
          </w:p>
        </w:tc>
        <w:tc>
          <w:tcPr>
            <w:tcW w:w="1029" w:type="pct"/>
            <w:tcBorders>
              <w:tl2br w:val="nil"/>
              <w:tr2bl w:val="nil"/>
            </w:tcBorders>
            <w:noWrap w:val="0"/>
            <w:vAlign w:val="center"/>
          </w:tcPr>
          <w:p w14:paraId="4705F42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本项目起重设备、压力容器、叉车按要求登记，取得了注册登记使用证。</w:t>
            </w:r>
          </w:p>
        </w:tc>
        <w:tc>
          <w:tcPr>
            <w:tcW w:w="282" w:type="pct"/>
            <w:tcBorders>
              <w:tl2br w:val="nil"/>
              <w:tr2bl w:val="nil"/>
            </w:tcBorders>
            <w:noWrap w:val="0"/>
            <w:vAlign w:val="center"/>
          </w:tcPr>
          <w:p w14:paraId="584EDC6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11E65D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73B8908E">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center"/>
          </w:tcPr>
          <w:p w14:paraId="7BF9F46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特种设备使用单位应当建立岗位责任、隐患治理、应急救援等安全管理制度，制定操作规程，保证特种设备安全运行。</w:t>
            </w:r>
          </w:p>
        </w:tc>
        <w:tc>
          <w:tcPr>
            <w:tcW w:w="1676" w:type="pct"/>
            <w:tcBorders>
              <w:tl2br w:val="nil"/>
              <w:tr2bl w:val="nil"/>
            </w:tcBorders>
            <w:noWrap w:val="0"/>
            <w:vAlign w:val="center"/>
          </w:tcPr>
          <w:p w14:paraId="4F1D2D2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《中华人民共和国特种设备安全法》</w:t>
            </w:r>
          </w:p>
          <w:p w14:paraId="2DCCE24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（中华人民共和国主席令第4号）第三十四条</w:t>
            </w:r>
          </w:p>
        </w:tc>
        <w:tc>
          <w:tcPr>
            <w:tcW w:w="1029" w:type="pct"/>
            <w:tcBorders>
              <w:tl2br w:val="nil"/>
              <w:tr2bl w:val="nil"/>
            </w:tcBorders>
            <w:noWrap w:val="0"/>
            <w:vAlign w:val="center"/>
          </w:tcPr>
          <w:p w14:paraId="0D1A927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企业已制定相应的规章制度和安全规程。</w:t>
            </w:r>
          </w:p>
        </w:tc>
        <w:tc>
          <w:tcPr>
            <w:tcW w:w="282" w:type="pct"/>
            <w:tcBorders>
              <w:tl2br w:val="nil"/>
              <w:tr2bl w:val="nil"/>
            </w:tcBorders>
            <w:noWrap w:val="0"/>
            <w:vAlign w:val="center"/>
          </w:tcPr>
          <w:p w14:paraId="735F301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59365C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2E799FC7">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center"/>
          </w:tcPr>
          <w:p w14:paraId="6C255B1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特种设备使用单位应当建立特种设备安全技术档案。安全技术档案应当包括以下内容：（一）特种设备的设计文件、产品质量合格证明、安装及使用维护保养说明、监督检验证明等相关技术资料和文件；（二）特种设备的定期检验和定期自行检查记录；（三）特种设备的日常使用状况记录；（四）特种设备及其附属仪器仪表的维护保养记录；（五）特种设备的运行故障和事故记录。</w:t>
            </w:r>
          </w:p>
        </w:tc>
        <w:tc>
          <w:tcPr>
            <w:tcW w:w="1676" w:type="pct"/>
            <w:tcBorders>
              <w:tl2br w:val="nil"/>
              <w:tr2bl w:val="nil"/>
            </w:tcBorders>
            <w:noWrap w:val="0"/>
            <w:vAlign w:val="center"/>
          </w:tcPr>
          <w:p w14:paraId="15C572C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《中华人民共和国特种设备安全法》</w:t>
            </w:r>
          </w:p>
          <w:p w14:paraId="14F0060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（中华人民共和国主席令第4号）第三十五条</w:t>
            </w:r>
          </w:p>
        </w:tc>
        <w:tc>
          <w:tcPr>
            <w:tcW w:w="1029" w:type="pct"/>
            <w:tcBorders>
              <w:tl2br w:val="nil"/>
              <w:tr2bl w:val="nil"/>
            </w:tcBorders>
            <w:noWrap w:val="0"/>
            <w:vAlign w:val="center"/>
          </w:tcPr>
          <w:p w14:paraId="6820E05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企业已建立特种设备技术档案。</w:t>
            </w:r>
          </w:p>
        </w:tc>
        <w:tc>
          <w:tcPr>
            <w:tcW w:w="282" w:type="pct"/>
            <w:tcBorders>
              <w:tl2br w:val="nil"/>
              <w:tr2bl w:val="nil"/>
            </w:tcBorders>
            <w:noWrap w:val="0"/>
            <w:vAlign w:val="center"/>
          </w:tcPr>
          <w:p w14:paraId="6101ACB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490D00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24C9E533">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center"/>
          </w:tcPr>
          <w:p w14:paraId="1B5806F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特种设备的使用应当具有规定的安全距离、安全防护措施。与特种设备安全相关的建筑物、附属设施，应当符合有关法律、行政法规的规定。</w:t>
            </w:r>
          </w:p>
        </w:tc>
        <w:tc>
          <w:tcPr>
            <w:tcW w:w="1676" w:type="pct"/>
            <w:tcBorders>
              <w:tl2br w:val="nil"/>
              <w:tr2bl w:val="nil"/>
            </w:tcBorders>
            <w:noWrap w:val="0"/>
            <w:vAlign w:val="center"/>
          </w:tcPr>
          <w:p w14:paraId="1DB23F0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《中华人民共和国特种设备安全法》</w:t>
            </w:r>
          </w:p>
          <w:p w14:paraId="5DCBB6F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（中华人民共和国主席令第4号</w:t>
            </w:r>
            <w:r>
              <w:rPr>
                <w:rFonts w:hint="eastAsia" w:cs="宋体"/>
                <w:sz w:val="21"/>
                <w:szCs w:val="21"/>
                <w:lang w:eastAsia="zh-CN"/>
              </w:rPr>
              <w:t>）第</w:t>
            </w:r>
            <w:r>
              <w:rPr>
                <w:rFonts w:hint="eastAsia" w:ascii="宋体" w:hAnsi="宋体" w:eastAsia="宋体" w:cs="宋体"/>
                <w:sz w:val="21"/>
                <w:szCs w:val="21"/>
              </w:rPr>
              <w:t>三十七条</w:t>
            </w:r>
          </w:p>
        </w:tc>
        <w:tc>
          <w:tcPr>
            <w:tcW w:w="1029" w:type="pct"/>
            <w:tcBorders>
              <w:tl2br w:val="nil"/>
              <w:tr2bl w:val="nil"/>
            </w:tcBorders>
            <w:noWrap w:val="0"/>
            <w:vAlign w:val="center"/>
          </w:tcPr>
          <w:p w14:paraId="53F2210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特种设备的安全距离、安全防护措施符合要求。</w:t>
            </w:r>
          </w:p>
        </w:tc>
        <w:tc>
          <w:tcPr>
            <w:tcW w:w="282" w:type="pct"/>
            <w:tcBorders>
              <w:tl2br w:val="nil"/>
              <w:tr2bl w:val="nil"/>
            </w:tcBorders>
            <w:noWrap w:val="0"/>
            <w:vAlign w:val="center"/>
          </w:tcPr>
          <w:p w14:paraId="17CCD7E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5CA88D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6CC8EB45">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center"/>
          </w:tcPr>
          <w:p w14:paraId="183CE3A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特种设备使用单位应当对其使用的特种设备进行经常性维护保养和定期自行检查，并作出记录。特种设备使用单位应当对其使用的特种设备的安全附件、安全保护装置进行定期校验、检修，并作出记录。</w:t>
            </w:r>
          </w:p>
        </w:tc>
        <w:tc>
          <w:tcPr>
            <w:tcW w:w="1676" w:type="pct"/>
            <w:tcBorders>
              <w:tl2br w:val="nil"/>
              <w:tr2bl w:val="nil"/>
            </w:tcBorders>
            <w:noWrap w:val="0"/>
            <w:vAlign w:val="center"/>
          </w:tcPr>
          <w:p w14:paraId="6EB3252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《中华人民共和国特种设备安全法》</w:t>
            </w:r>
          </w:p>
          <w:p w14:paraId="2F11AA5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（中华人民共和国主席令第4号）第三十九条</w:t>
            </w:r>
          </w:p>
        </w:tc>
        <w:tc>
          <w:tcPr>
            <w:tcW w:w="1029" w:type="pct"/>
            <w:tcBorders>
              <w:tl2br w:val="nil"/>
              <w:tr2bl w:val="nil"/>
            </w:tcBorders>
            <w:noWrap w:val="0"/>
            <w:vAlign w:val="center"/>
          </w:tcPr>
          <w:p w14:paraId="519D06E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企业针对特种设备有相应的记录。</w:t>
            </w:r>
          </w:p>
        </w:tc>
        <w:tc>
          <w:tcPr>
            <w:tcW w:w="282" w:type="pct"/>
            <w:tcBorders>
              <w:tl2br w:val="nil"/>
              <w:tr2bl w:val="nil"/>
            </w:tcBorders>
            <w:noWrap w:val="0"/>
            <w:vAlign w:val="center"/>
          </w:tcPr>
          <w:p w14:paraId="055F016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2800A0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329F0DF0">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center"/>
          </w:tcPr>
          <w:p w14:paraId="3C6B0B0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特种设备使用单位应当建立健全特种设备安全管理制度和岗位安全责任制度。</w:t>
            </w:r>
          </w:p>
        </w:tc>
        <w:tc>
          <w:tcPr>
            <w:tcW w:w="1676" w:type="pct"/>
            <w:tcBorders>
              <w:tl2br w:val="nil"/>
              <w:tr2bl w:val="nil"/>
            </w:tcBorders>
            <w:noWrap w:val="0"/>
            <w:vAlign w:val="center"/>
          </w:tcPr>
          <w:p w14:paraId="204F74C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《特种设备安全监察条例》</w:t>
            </w:r>
          </w:p>
          <w:p w14:paraId="21EE2F3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（中华人民共和国国务院令第373号公布，国务院令第549号修订）</w:t>
            </w:r>
          </w:p>
          <w:p w14:paraId="496AAE7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第五条</w:t>
            </w:r>
          </w:p>
        </w:tc>
        <w:tc>
          <w:tcPr>
            <w:tcW w:w="1029" w:type="pct"/>
            <w:tcBorders>
              <w:tl2br w:val="nil"/>
              <w:tr2bl w:val="nil"/>
            </w:tcBorders>
            <w:noWrap w:val="0"/>
            <w:vAlign w:val="center"/>
          </w:tcPr>
          <w:p w14:paraId="320046B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公司制定了相应的岗位职责和安全管理制度。</w:t>
            </w:r>
          </w:p>
        </w:tc>
        <w:tc>
          <w:tcPr>
            <w:tcW w:w="282" w:type="pct"/>
            <w:tcBorders>
              <w:tl2br w:val="nil"/>
              <w:tr2bl w:val="nil"/>
            </w:tcBorders>
            <w:noWrap w:val="0"/>
            <w:vAlign w:val="center"/>
          </w:tcPr>
          <w:p w14:paraId="63F4313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1A8A31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0BADD569">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center"/>
          </w:tcPr>
          <w:p w14:paraId="30FE7A6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锅炉、压力容器、起重机械、客运索道、大型游乐设施的安装、改造、维修，必须由依照本条例取得许可的单位进行。</w:t>
            </w:r>
          </w:p>
        </w:tc>
        <w:tc>
          <w:tcPr>
            <w:tcW w:w="1676" w:type="pct"/>
            <w:tcBorders>
              <w:tl2br w:val="nil"/>
              <w:tr2bl w:val="nil"/>
            </w:tcBorders>
            <w:noWrap w:val="0"/>
            <w:vAlign w:val="center"/>
          </w:tcPr>
          <w:p w14:paraId="772A1BB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《特种设备安全监察条例》</w:t>
            </w:r>
          </w:p>
          <w:p w14:paraId="5A300BF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（中华人民共和国国务院令第373号公布，国务院令第549号修订）</w:t>
            </w:r>
          </w:p>
          <w:p w14:paraId="7098AEE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第十七条</w:t>
            </w:r>
          </w:p>
        </w:tc>
        <w:tc>
          <w:tcPr>
            <w:tcW w:w="1029" w:type="pct"/>
            <w:tcBorders>
              <w:tl2br w:val="nil"/>
              <w:tr2bl w:val="nil"/>
            </w:tcBorders>
            <w:noWrap w:val="0"/>
            <w:vAlign w:val="center"/>
          </w:tcPr>
          <w:p w14:paraId="53877F7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本项目特种设备安装单位具有相应的资质。</w:t>
            </w:r>
          </w:p>
        </w:tc>
        <w:tc>
          <w:tcPr>
            <w:tcW w:w="282" w:type="pct"/>
            <w:tcBorders>
              <w:tl2br w:val="nil"/>
              <w:tr2bl w:val="nil"/>
            </w:tcBorders>
            <w:noWrap w:val="0"/>
            <w:vAlign w:val="center"/>
          </w:tcPr>
          <w:p w14:paraId="260F88E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1AD262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0F7D4C82">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top"/>
          </w:tcPr>
          <w:p w14:paraId="3431084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特种设备使用单位应当使用符合安全技术规范要求的特种设备。特种设备投入使用前，使用单位应当核对其是否附有本条例第十五条规定的相关文件。</w:t>
            </w:r>
          </w:p>
        </w:tc>
        <w:tc>
          <w:tcPr>
            <w:tcW w:w="1676" w:type="pct"/>
            <w:tcBorders>
              <w:tl2br w:val="nil"/>
              <w:tr2bl w:val="nil"/>
            </w:tcBorders>
            <w:noWrap w:val="0"/>
            <w:vAlign w:val="center"/>
          </w:tcPr>
          <w:p w14:paraId="2836719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《特种设备安全监察条例》</w:t>
            </w:r>
          </w:p>
          <w:p w14:paraId="5B4A33F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（中华人民共和国国务院令第373号公布，国务院令第549号修订）</w:t>
            </w:r>
          </w:p>
          <w:p w14:paraId="3C674D8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第二十四条</w:t>
            </w:r>
          </w:p>
        </w:tc>
        <w:tc>
          <w:tcPr>
            <w:tcW w:w="1029" w:type="pct"/>
            <w:tcBorders>
              <w:tl2br w:val="nil"/>
              <w:tr2bl w:val="nil"/>
            </w:tcBorders>
            <w:noWrap w:val="0"/>
            <w:vAlign w:val="center"/>
          </w:tcPr>
          <w:p w14:paraId="709DEAD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本项目特种设备按要求投入使用。</w:t>
            </w:r>
          </w:p>
        </w:tc>
        <w:tc>
          <w:tcPr>
            <w:tcW w:w="282" w:type="pct"/>
            <w:tcBorders>
              <w:tl2br w:val="nil"/>
              <w:tr2bl w:val="nil"/>
            </w:tcBorders>
            <w:noWrap w:val="0"/>
            <w:vAlign w:val="center"/>
          </w:tcPr>
          <w:p w14:paraId="4EA7ECC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781AE3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36BA1564">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center"/>
          </w:tcPr>
          <w:p w14:paraId="5EAEE27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特种设备在投入使用前或者投入使用后30日内，特种设备使用单位应当向直辖市或者设区的市的特种设备安全监督管理部门登记。登记标志应当置于或者附着于该特种设备的显著位置。</w:t>
            </w:r>
          </w:p>
        </w:tc>
        <w:tc>
          <w:tcPr>
            <w:tcW w:w="1676" w:type="pct"/>
            <w:tcBorders>
              <w:tl2br w:val="nil"/>
              <w:tr2bl w:val="nil"/>
            </w:tcBorders>
            <w:noWrap w:val="0"/>
            <w:vAlign w:val="center"/>
          </w:tcPr>
          <w:p w14:paraId="4FA8B08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《特种设备安全监察条例》</w:t>
            </w:r>
          </w:p>
          <w:p w14:paraId="594002B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（中华人民共和国国务院令第373号公布，国务院令第549号修订）</w:t>
            </w:r>
          </w:p>
          <w:p w14:paraId="7F21BD9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第二十五条</w:t>
            </w:r>
          </w:p>
        </w:tc>
        <w:tc>
          <w:tcPr>
            <w:tcW w:w="1029" w:type="pct"/>
            <w:tcBorders>
              <w:tl2br w:val="nil"/>
              <w:tr2bl w:val="nil"/>
            </w:tcBorders>
            <w:noWrap w:val="0"/>
            <w:vAlign w:val="center"/>
          </w:tcPr>
          <w:p w14:paraId="75753CB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本项目</w:t>
            </w:r>
            <w:r>
              <w:rPr>
                <w:rFonts w:hint="eastAsia" w:ascii="宋体" w:hAnsi="宋体" w:eastAsia="宋体" w:cs="宋体"/>
                <w:sz w:val="21"/>
                <w:szCs w:val="21"/>
                <w:lang w:val="en-US" w:eastAsia="zh-CN"/>
              </w:rPr>
              <w:t>特种设备</w:t>
            </w:r>
            <w:r>
              <w:rPr>
                <w:rFonts w:hint="eastAsia" w:ascii="宋体" w:hAnsi="宋体" w:eastAsia="宋体" w:cs="宋体"/>
                <w:sz w:val="21"/>
                <w:szCs w:val="21"/>
              </w:rPr>
              <w:t>叉车</w:t>
            </w:r>
            <w:r>
              <w:rPr>
                <w:rFonts w:hint="eastAsia" w:cs="宋体"/>
                <w:sz w:val="21"/>
                <w:szCs w:val="21"/>
                <w:lang w:eastAsia="zh-CN"/>
              </w:rPr>
              <w:t>、</w:t>
            </w:r>
            <w:r>
              <w:rPr>
                <w:rFonts w:hint="eastAsia" w:cs="宋体"/>
                <w:sz w:val="21"/>
                <w:szCs w:val="21"/>
                <w:lang w:val="en-US" w:eastAsia="zh-CN"/>
              </w:rPr>
              <w:t>起重机、储气罐</w:t>
            </w:r>
            <w:r>
              <w:rPr>
                <w:rFonts w:hint="eastAsia" w:ascii="宋体" w:hAnsi="宋体" w:eastAsia="宋体" w:cs="宋体"/>
                <w:sz w:val="21"/>
                <w:szCs w:val="21"/>
              </w:rPr>
              <w:t>按要求登记，取得了注册登记使用证。</w:t>
            </w:r>
          </w:p>
        </w:tc>
        <w:tc>
          <w:tcPr>
            <w:tcW w:w="282" w:type="pct"/>
            <w:tcBorders>
              <w:tl2br w:val="nil"/>
              <w:tr2bl w:val="nil"/>
            </w:tcBorders>
            <w:noWrap w:val="0"/>
            <w:vAlign w:val="center"/>
          </w:tcPr>
          <w:p w14:paraId="72F4743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7F5B08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58A0A7B3">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center"/>
          </w:tcPr>
          <w:p w14:paraId="736E0D0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特种设备使用单位应当制定特种设备的事故应急措施和救援预案。</w:t>
            </w:r>
          </w:p>
        </w:tc>
        <w:tc>
          <w:tcPr>
            <w:tcW w:w="1676" w:type="pct"/>
            <w:tcBorders>
              <w:tl2br w:val="nil"/>
              <w:tr2bl w:val="nil"/>
            </w:tcBorders>
            <w:noWrap w:val="0"/>
            <w:vAlign w:val="center"/>
          </w:tcPr>
          <w:p w14:paraId="64A808B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《特种设备安全监察条例》</w:t>
            </w:r>
          </w:p>
          <w:p w14:paraId="3991AF5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（中华人民共和国国务院令第373号公布，国务院令第549号修订）</w:t>
            </w:r>
          </w:p>
          <w:p w14:paraId="42F1BF3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第三十一条</w:t>
            </w:r>
          </w:p>
        </w:tc>
        <w:tc>
          <w:tcPr>
            <w:tcW w:w="1029" w:type="pct"/>
            <w:tcBorders>
              <w:tl2br w:val="nil"/>
              <w:tr2bl w:val="nil"/>
            </w:tcBorders>
            <w:noWrap w:val="0"/>
            <w:vAlign w:val="center"/>
          </w:tcPr>
          <w:p w14:paraId="455E28C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lang w:eastAsia="zh-CN"/>
              </w:rPr>
            </w:pPr>
            <w:r>
              <w:rPr>
                <w:rFonts w:hint="eastAsia" w:ascii="宋体" w:hAnsi="宋体" w:eastAsia="宋体" w:cs="宋体"/>
                <w:sz w:val="21"/>
                <w:szCs w:val="21"/>
              </w:rPr>
              <w:t>企业提供的应急预案包括有特种设备应急救援预案</w:t>
            </w:r>
            <w:r>
              <w:rPr>
                <w:rFonts w:hint="eastAsia" w:cs="宋体"/>
                <w:sz w:val="21"/>
                <w:szCs w:val="21"/>
                <w:lang w:eastAsia="zh-CN"/>
              </w:rPr>
              <w:t>。</w:t>
            </w:r>
          </w:p>
        </w:tc>
        <w:tc>
          <w:tcPr>
            <w:tcW w:w="282" w:type="pct"/>
            <w:tcBorders>
              <w:tl2br w:val="nil"/>
              <w:tr2bl w:val="nil"/>
            </w:tcBorders>
            <w:noWrap w:val="0"/>
            <w:vAlign w:val="center"/>
          </w:tcPr>
          <w:p w14:paraId="5257F41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0864D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75FFEB5C">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center"/>
          </w:tcPr>
          <w:p w14:paraId="1EC72BD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锅炉、压力容器、电梯、起重机械、客运索道、大型游乐设施的作业人员及其相关管理人员（以下统称特种设备作业人员），应当按照国家有关规定经特种设备安全监督管理部门考核合格，取得国家统一格式的特种作业人员证书，方可从事相应的作业或者管理工作。</w:t>
            </w:r>
          </w:p>
        </w:tc>
        <w:tc>
          <w:tcPr>
            <w:tcW w:w="1676" w:type="pct"/>
            <w:tcBorders>
              <w:tl2br w:val="nil"/>
              <w:tr2bl w:val="nil"/>
            </w:tcBorders>
            <w:noWrap w:val="0"/>
            <w:vAlign w:val="center"/>
          </w:tcPr>
          <w:p w14:paraId="621127B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《特种设备安全监察条例》</w:t>
            </w:r>
          </w:p>
          <w:p w14:paraId="58F1331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（中华人民共和国国务院令第373号公布，国务院令第549号修订）</w:t>
            </w:r>
          </w:p>
          <w:p w14:paraId="52014DD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第三十九条</w:t>
            </w:r>
          </w:p>
        </w:tc>
        <w:tc>
          <w:tcPr>
            <w:tcW w:w="1029" w:type="pct"/>
            <w:tcBorders>
              <w:tl2br w:val="nil"/>
              <w:tr2bl w:val="nil"/>
            </w:tcBorders>
            <w:noWrap w:val="0"/>
            <w:vAlign w:val="center"/>
          </w:tcPr>
          <w:p w14:paraId="69D8CAD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本项目涉及的特种</w:t>
            </w:r>
            <w:r>
              <w:rPr>
                <w:rFonts w:hint="eastAsia" w:ascii="宋体" w:hAnsi="宋体" w:eastAsia="宋体" w:cs="宋体"/>
                <w:sz w:val="21"/>
                <w:szCs w:val="21"/>
                <w:lang w:val="en-US" w:eastAsia="zh-CN"/>
              </w:rPr>
              <w:t>设备</w:t>
            </w:r>
            <w:r>
              <w:rPr>
                <w:rFonts w:hint="eastAsia" w:ascii="宋体" w:hAnsi="宋体" w:eastAsia="宋体" w:cs="宋体"/>
                <w:sz w:val="21"/>
                <w:szCs w:val="21"/>
              </w:rPr>
              <w:t>作业人员经相关部门培训合格，持证上岗。</w:t>
            </w:r>
          </w:p>
        </w:tc>
        <w:tc>
          <w:tcPr>
            <w:tcW w:w="282" w:type="pct"/>
            <w:tcBorders>
              <w:tl2br w:val="nil"/>
              <w:tr2bl w:val="nil"/>
            </w:tcBorders>
            <w:noWrap w:val="0"/>
            <w:vAlign w:val="center"/>
          </w:tcPr>
          <w:p w14:paraId="74C10BB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055FDE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55B091E9">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center"/>
          </w:tcPr>
          <w:p w14:paraId="3A06E52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压力表的校验和维护应当符合国家计量部门的有关规定，压力表安装前应当进行校验，在刻度盘上应当划出指示工作压力的红线，注明下次校验日期。压力表校验后应当加铅封。</w:t>
            </w:r>
          </w:p>
        </w:tc>
        <w:tc>
          <w:tcPr>
            <w:tcW w:w="1676" w:type="pct"/>
            <w:tcBorders>
              <w:tl2br w:val="nil"/>
              <w:tr2bl w:val="nil"/>
            </w:tcBorders>
            <w:noWrap w:val="0"/>
            <w:vAlign w:val="center"/>
          </w:tcPr>
          <w:p w14:paraId="669FD90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《固定式压力容器安全技术监察规程》行业标准第1号修改单（TSG21-2016/XG1-2020）</w:t>
            </w:r>
          </w:p>
          <w:p w14:paraId="0C0C63F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第8.4.2条</w:t>
            </w:r>
          </w:p>
        </w:tc>
        <w:tc>
          <w:tcPr>
            <w:tcW w:w="1029" w:type="pct"/>
            <w:tcBorders>
              <w:tl2br w:val="nil"/>
              <w:tr2bl w:val="nil"/>
            </w:tcBorders>
            <w:noWrap w:val="0"/>
            <w:vAlign w:val="center"/>
          </w:tcPr>
          <w:p w14:paraId="75806AB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本项目压力表按要求进行检验。</w:t>
            </w:r>
          </w:p>
        </w:tc>
        <w:tc>
          <w:tcPr>
            <w:tcW w:w="282" w:type="pct"/>
            <w:tcBorders>
              <w:tl2br w:val="nil"/>
              <w:tr2bl w:val="nil"/>
            </w:tcBorders>
            <w:noWrap w:val="0"/>
            <w:vAlign w:val="center"/>
          </w:tcPr>
          <w:p w14:paraId="5C79224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44BDB4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776EF806">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center"/>
          </w:tcPr>
          <w:p w14:paraId="2156508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金属压力容器检验周期：</w:t>
            </w:r>
          </w:p>
          <w:p w14:paraId="328D134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金属压力容器一般投入使用后3年内进行首次定期检验。以后的检验周期由检验机构根据压力容器的安全状况等级，按照以下要求确定：</w:t>
            </w:r>
          </w:p>
          <w:p w14:paraId="45E9BCC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（1）安全状况等级为1、2级的，一般每6年检验一次；</w:t>
            </w:r>
          </w:p>
          <w:p w14:paraId="501E846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（2）安全状况等级为3级的，一般每3年至6年检验一次；</w:t>
            </w:r>
          </w:p>
          <w:p w14:paraId="4155C20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（3）安全状况等级为4级的，监控使用，其检验周期由检验机构确定，累计监控使用时间不得超过3年，在监控使用期间，使用单位应该采取有效的监控措施；</w:t>
            </w:r>
          </w:p>
          <w:p w14:paraId="1EB66C6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（4）安全状况等级为5级的，应当对缺陷进行处理，否则不得继续使用。</w:t>
            </w:r>
          </w:p>
        </w:tc>
        <w:tc>
          <w:tcPr>
            <w:tcW w:w="1676" w:type="pct"/>
            <w:tcBorders>
              <w:tl2br w:val="nil"/>
              <w:tr2bl w:val="nil"/>
            </w:tcBorders>
            <w:noWrap w:val="0"/>
            <w:vAlign w:val="center"/>
          </w:tcPr>
          <w:p w14:paraId="2F68161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《固定式压力容器安全技术监察规程》行业标准第1号修改单（TSG21-2016/XG1-2020）</w:t>
            </w:r>
          </w:p>
          <w:p w14:paraId="640BBBB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第8.1.6.1条</w:t>
            </w:r>
          </w:p>
        </w:tc>
        <w:tc>
          <w:tcPr>
            <w:tcW w:w="1029" w:type="pct"/>
            <w:tcBorders>
              <w:tl2br w:val="nil"/>
              <w:tr2bl w:val="nil"/>
            </w:tcBorders>
            <w:noWrap w:val="0"/>
            <w:vAlign w:val="center"/>
          </w:tcPr>
          <w:p w14:paraId="7EA17A1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本项目压力容器已按要求进行检验。</w:t>
            </w:r>
          </w:p>
        </w:tc>
        <w:tc>
          <w:tcPr>
            <w:tcW w:w="282" w:type="pct"/>
            <w:tcBorders>
              <w:tl2br w:val="nil"/>
              <w:tr2bl w:val="nil"/>
            </w:tcBorders>
            <w:noWrap w:val="0"/>
            <w:vAlign w:val="center"/>
          </w:tcPr>
          <w:p w14:paraId="7073C59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396E9F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tcBorders>
              <w:tl2br w:val="nil"/>
              <w:tr2bl w:val="nil"/>
            </w:tcBorders>
            <w:noWrap w:val="0"/>
            <w:vAlign w:val="center"/>
          </w:tcPr>
          <w:p w14:paraId="6E8633DB">
            <w:pPr>
              <w:keepNext w:val="0"/>
              <w:keepLines w:val="0"/>
              <w:pageBreakBefore w:val="0"/>
              <w:widowControl w:val="0"/>
              <w:numPr>
                <w:ilvl w:val="0"/>
                <w:numId w:val="123"/>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719" w:type="pct"/>
            <w:tcBorders>
              <w:tl2br w:val="nil"/>
              <w:tr2bl w:val="nil"/>
            </w:tcBorders>
            <w:noWrap w:val="0"/>
            <w:vAlign w:val="center"/>
          </w:tcPr>
          <w:p w14:paraId="515C435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锅炉、压力容器（含气瓶）、压力管道、电梯、起重机械、客运索道、大型游乐设施、场（厂）内专用机动车辆等特种设备的作业人员及其相关管理人员统称特种设备作业人员。特种设备作业人员作业种类与项目目录由国家质量监督检验检疫总局统一发布。</w:t>
            </w:r>
          </w:p>
          <w:p w14:paraId="67D8ED3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 从事特种设备作业的人员应当按照本办法的规定，经考核合格取得《特种设备作业人员证》，方可从事相应的作业或者管理工作。</w:t>
            </w:r>
          </w:p>
        </w:tc>
        <w:tc>
          <w:tcPr>
            <w:tcW w:w="1676" w:type="pct"/>
            <w:tcBorders>
              <w:tl2br w:val="nil"/>
              <w:tr2bl w:val="nil"/>
            </w:tcBorders>
            <w:noWrap w:val="0"/>
            <w:vAlign w:val="center"/>
          </w:tcPr>
          <w:p w14:paraId="339F94C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特种设备作业人员监督管理办法</w:t>
            </w:r>
            <w:r>
              <w:rPr>
                <w:rFonts w:hint="eastAsia" w:ascii="宋体" w:hAnsi="宋体" w:eastAsia="宋体" w:cs="宋体"/>
                <w:sz w:val="21"/>
                <w:szCs w:val="21"/>
                <w:lang w:eastAsia="zh-CN"/>
              </w:rPr>
              <w:t>》</w:t>
            </w:r>
            <w:r>
              <w:rPr>
                <w:rFonts w:hint="eastAsia" w:cs="宋体"/>
                <w:sz w:val="21"/>
                <w:szCs w:val="21"/>
                <w:lang w:eastAsia="zh-CN"/>
              </w:rPr>
              <w:t>（</w:t>
            </w:r>
            <w:r>
              <w:rPr>
                <w:rFonts w:hint="eastAsia" w:ascii="宋体" w:hAnsi="宋体" w:eastAsia="宋体" w:cs="宋体"/>
                <w:sz w:val="21"/>
                <w:szCs w:val="21"/>
                <w:lang w:eastAsia="zh-CN"/>
              </w:rPr>
              <w:t>国家质监检总局令第140号</w:t>
            </w:r>
            <w:r>
              <w:rPr>
                <w:rFonts w:hint="eastAsia" w:cs="宋体"/>
                <w:sz w:val="21"/>
                <w:szCs w:val="21"/>
                <w:lang w:eastAsia="zh-CN"/>
              </w:rPr>
              <w:t>）</w:t>
            </w:r>
            <w:r>
              <w:rPr>
                <w:rFonts w:hint="eastAsia" w:ascii="宋体" w:hAnsi="宋体" w:eastAsia="宋体" w:cs="宋体"/>
                <w:sz w:val="21"/>
                <w:szCs w:val="21"/>
              </w:rPr>
              <w:t>第二条</w:t>
            </w:r>
          </w:p>
        </w:tc>
        <w:tc>
          <w:tcPr>
            <w:tcW w:w="1029" w:type="pct"/>
            <w:tcBorders>
              <w:tl2br w:val="nil"/>
              <w:tr2bl w:val="nil"/>
            </w:tcBorders>
            <w:noWrap w:val="0"/>
            <w:vAlign w:val="center"/>
          </w:tcPr>
          <w:p w14:paraId="1A70F74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rPr>
              <w:t>本项目涉及的特种</w:t>
            </w:r>
            <w:r>
              <w:rPr>
                <w:rFonts w:hint="eastAsia" w:ascii="宋体" w:hAnsi="宋体" w:eastAsia="宋体" w:cs="宋体"/>
                <w:sz w:val="21"/>
                <w:szCs w:val="21"/>
                <w:lang w:val="en-US" w:eastAsia="zh-CN"/>
              </w:rPr>
              <w:t>设备</w:t>
            </w:r>
            <w:r>
              <w:rPr>
                <w:rFonts w:hint="eastAsia" w:ascii="宋体" w:hAnsi="宋体" w:eastAsia="宋体" w:cs="宋体"/>
                <w:sz w:val="21"/>
                <w:szCs w:val="21"/>
              </w:rPr>
              <w:t>作业人员经相关部门培训合格，持证上岗。</w:t>
            </w:r>
          </w:p>
        </w:tc>
        <w:tc>
          <w:tcPr>
            <w:tcW w:w="282" w:type="pct"/>
            <w:tcBorders>
              <w:tl2br w:val="nil"/>
              <w:tr2bl w:val="nil"/>
            </w:tcBorders>
            <w:noWrap w:val="0"/>
            <w:vAlign w:val="center"/>
          </w:tcPr>
          <w:p w14:paraId="4540C4C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default" w:ascii="宋体" w:hAnsi="宋体" w:eastAsia="宋体" w:cs="宋体"/>
                <w:sz w:val="21"/>
                <w:szCs w:val="21"/>
                <w:lang w:val="en-US" w:eastAsia="zh-CN"/>
              </w:rPr>
            </w:pPr>
            <w:r>
              <w:rPr>
                <w:rFonts w:hint="eastAsia" w:cs="宋体"/>
                <w:sz w:val="21"/>
                <w:szCs w:val="21"/>
                <w:lang w:val="en-US" w:eastAsia="zh-CN"/>
              </w:rPr>
              <w:t>符合</w:t>
            </w:r>
          </w:p>
        </w:tc>
      </w:tr>
    </w:tbl>
    <w:p w14:paraId="1ADF3087">
      <w:pPr>
        <w:bidi w:val="0"/>
        <w:rPr>
          <w:rFonts w:hint="eastAsia" w:ascii="宋体" w:hAnsi="宋体" w:eastAsia="宋体" w:cs="宋体"/>
        </w:rPr>
      </w:pPr>
      <w:r>
        <w:rPr>
          <w:rFonts w:hint="eastAsia"/>
        </w:rPr>
        <w:t>本项目的特种设备的安装、使用符合《中华人民共和国特种设备安全法》（中华人民共和国主席令第4号）、《特种设备安全监察条例》《固定式压力容器安全技术监察规程》行业标准第1号修改单（TSG21-2016/XG1-2020）、《</w:t>
      </w:r>
      <w:r>
        <w:rPr>
          <w:rFonts w:hint="eastAsia"/>
          <w:lang w:eastAsia="zh-CN"/>
        </w:rPr>
        <w:t>场（厂）内专用机动车辆安全技术规程</w:t>
      </w:r>
      <w:r>
        <w:rPr>
          <w:rFonts w:hint="eastAsia"/>
        </w:rPr>
        <w:t>》（</w:t>
      </w:r>
      <w:r>
        <w:rPr>
          <w:rFonts w:hint="eastAsia"/>
          <w:lang w:eastAsia="zh-CN"/>
        </w:rPr>
        <w:t>TSG81-2022</w:t>
      </w:r>
      <w:r>
        <w:rPr>
          <w:rFonts w:hint="eastAsia"/>
        </w:rPr>
        <w:t>）等国家相关的规定要求。</w:t>
      </w:r>
    </w:p>
    <w:p w14:paraId="734D51D4">
      <w:pPr>
        <w:pStyle w:val="4"/>
        <w:keepNext w:val="0"/>
        <w:keepLines w:val="0"/>
        <w:pageBreakBefore w:val="0"/>
        <w:widowControl w:val="0"/>
        <w:kinsoku/>
        <w:bidi w:val="0"/>
        <w:ind w:left="720" w:leftChars="0" w:hanging="720" w:firstLineChars="0"/>
      </w:pPr>
      <w:bookmarkStart w:id="1055" w:name="_Toc2971"/>
      <w:bookmarkStart w:id="1056" w:name="_Toc12683"/>
      <w:bookmarkStart w:id="1057" w:name="_Toc32725"/>
      <w:r>
        <w:t>强制检验设备安全检查</w:t>
      </w:r>
      <w:bookmarkEnd w:id="1054"/>
      <w:bookmarkEnd w:id="1055"/>
      <w:r>
        <w:rPr>
          <w:rFonts w:hint="eastAsia"/>
          <w:lang w:val="en-US" w:eastAsia="zh-CN"/>
        </w:rPr>
        <w:t>单元</w:t>
      </w:r>
      <w:bookmarkEnd w:id="1056"/>
      <w:bookmarkEnd w:id="1057"/>
    </w:p>
    <w:p w14:paraId="68D2BF10">
      <w:pPr>
        <w:bidi w:val="0"/>
        <w:rPr>
          <w:rFonts w:hint="eastAsia"/>
        </w:rPr>
      </w:pPr>
      <w:r>
        <w:rPr>
          <w:rFonts w:hint="eastAsia"/>
        </w:rPr>
        <w:t>本项目</w:t>
      </w:r>
      <w:r>
        <w:rPr>
          <w:rFonts w:hint="eastAsia"/>
          <w:lang w:eastAsia="zh-CN"/>
        </w:rPr>
        <w:t>涉及的</w:t>
      </w:r>
      <w:r>
        <w:rPr>
          <w:rFonts w:hint="eastAsia"/>
        </w:rPr>
        <w:t>强制检验设备主要为压力表、安全阀、防雷装置。现根据《特种设备安全监察条例</w:t>
      </w:r>
      <w:r>
        <w:rPr>
          <w:rFonts w:hint="eastAsia"/>
          <w:lang w:eastAsia="zh-CN"/>
        </w:rPr>
        <w:t>》《</w:t>
      </w:r>
      <w:r>
        <w:rPr>
          <w:rFonts w:hint="eastAsia"/>
        </w:rPr>
        <w:t>弹性元件式一般压力表、压力真空表和真空表检定规程</w:t>
      </w:r>
      <w:r>
        <w:rPr>
          <w:rFonts w:hint="eastAsia"/>
          <w:lang w:eastAsia="zh-CN"/>
        </w:rPr>
        <w:t>》《</w:t>
      </w:r>
      <w:r>
        <w:rPr>
          <w:rFonts w:hint="eastAsia"/>
        </w:rPr>
        <w:t>固定式压力容器安全技术监察规程》行业标准第1号修改单（TSG21-2016/XG1-2020）等法律法规、标准规范的相关要求对本项目强制性检测设备、设施的情况进行检查。检查结果见下表。</w:t>
      </w:r>
    </w:p>
    <w:p w14:paraId="3D4FC67D">
      <w:pPr>
        <w:pStyle w:val="12"/>
        <w:keepNext w:val="0"/>
        <w:keepLines w:val="0"/>
        <w:pageBreakBefore w:val="0"/>
        <w:widowControl w:val="0"/>
        <w:kinsoku/>
        <w:wordWrap/>
        <w:bidi w:val="0"/>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12</w:t>
      </w:r>
      <w:r>
        <w:rPr>
          <w:rFonts w:hint="eastAsia"/>
          <w:lang w:val="en-US" w:eastAsia="zh-CN"/>
        </w:rPr>
        <w:fldChar w:fldCharType="end"/>
      </w:r>
      <w:r>
        <w:rPr>
          <w:rFonts w:hint="eastAsia"/>
          <w:lang w:val="en-US" w:eastAsia="zh-CN"/>
        </w:rPr>
        <w:t>强</w:t>
      </w:r>
      <w:r>
        <w:t>制检验设备安全检查表</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2556"/>
        <w:gridCol w:w="2856"/>
        <w:gridCol w:w="2196"/>
        <w:gridCol w:w="459"/>
      </w:tblGrid>
      <w:tr w14:paraId="0D0D98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68" w:type="pct"/>
            <w:tcBorders>
              <w:tl2br w:val="nil"/>
              <w:tr2bl w:val="nil"/>
            </w:tcBorders>
            <w:noWrap w:val="0"/>
            <w:vAlign w:val="center"/>
          </w:tcPr>
          <w:p w14:paraId="151BAE5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499" w:type="pct"/>
            <w:tcBorders>
              <w:tl2br w:val="nil"/>
              <w:tr2bl w:val="nil"/>
            </w:tcBorders>
            <w:noWrap w:val="0"/>
            <w:vAlign w:val="center"/>
          </w:tcPr>
          <w:p w14:paraId="6F12B1A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1675" w:type="pct"/>
            <w:tcBorders>
              <w:tl2br w:val="nil"/>
              <w:tr2bl w:val="nil"/>
            </w:tcBorders>
            <w:noWrap w:val="0"/>
            <w:vAlign w:val="center"/>
          </w:tcPr>
          <w:p w14:paraId="59F6A26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依据标准</w:t>
            </w:r>
          </w:p>
        </w:tc>
        <w:tc>
          <w:tcPr>
            <w:tcW w:w="1288" w:type="pct"/>
            <w:tcBorders>
              <w:tl2br w:val="nil"/>
              <w:tr2bl w:val="nil"/>
            </w:tcBorders>
            <w:noWrap w:val="0"/>
            <w:vAlign w:val="center"/>
          </w:tcPr>
          <w:p w14:paraId="5E111F6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268" w:type="pct"/>
            <w:tcBorders>
              <w:tl2br w:val="nil"/>
              <w:tr2bl w:val="nil"/>
            </w:tcBorders>
            <w:noWrap w:val="0"/>
            <w:vAlign w:val="center"/>
          </w:tcPr>
          <w:p w14:paraId="2D67F41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结论</w:t>
            </w:r>
          </w:p>
        </w:tc>
      </w:tr>
      <w:tr w14:paraId="64340D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tcBorders>
              <w:tl2br w:val="nil"/>
              <w:tr2bl w:val="nil"/>
            </w:tcBorders>
            <w:noWrap w:val="0"/>
            <w:vAlign w:val="center"/>
          </w:tcPr>
          <w:p w14:paraId="2F605CF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一</w:t>
            </w:r>
          </w:p>
        </w:tc>
        <w:tc>
          <w:tcPr>
            <w:tcW w:w="4731" w:type="pct"/>
            <w:gridSpan w:val="4"/>
            <w:tcBorders>
              <w:tl2br w:val="nil"/>
              <w:tr2bl w:val="nil"/>
            </w:tcBorders>
            <w:noWrap w:val="0"/>
            <w:vAlign w:val="center"/>
          </w:tcPr>
          <w:p w14:paraId="2B6F13F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压力表</w:t>
            </w:r>
          </w:p>
        </w:tc>
      </w:tr>
      <w:tr w14:paraId="016870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tcBorders>
              <w:tl2br w:val="nil"/>
              <w:tr2bl w:val="nil"/>
            </w:tcBorders>
            <w:noWrap w:val="0"/>
            <w:vAlign w:val="center"/>
          </w:tcPr>
          <w:p w14:paraId="73E7D97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1499" w:type="pct"/>
            <w:tcBorders>
              <w:tl2br w:val="nil"/>
              <w:tr2bl w:val="nil"/>
            </w:tcBorders>
            <w:noWrap w:val="0"/>
            <w:vAlign w:val="center"/>
          </w:tcPr>
          <w:p w14:paraId="3F8B413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压力表的检定周期可根据使用环境和使用频繁程度确定，一般不超过6个月。</w:t>
            </w:r>
          </w:p>
        </w:tc>
        <w:tc>
          <w:tcPr>
            <w:tcW w:w="1675" w:type="pct"/>
            <w:tcBorders>
              <w:tl2br w:val="nil"/>
              <w:tr2bl w:val="nil"/>
            </w:tcBorders>
            <w:noWrap w:val="0"/>
            <w:vAlign w:val="center"/>
          </w:tcPr>
          <w:p w14:paraId="76E679D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《弹性元件式一般压力表、压力真空表和真空表检定规程》（JJG52-2013）</w:t>
            </w:r>
          </w:p>
          <w:p w14:paraId="04E033D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7.5</w:t>
            </w:r>
          </w:p>
        </w:tc>
        <w:tc>
          <w:tcPr>
            <w:tcW w:w="1288" w:type="pct"/>
            <w:tcBorders>
              <w:tl2br w:val="nil"/>
              <w:tr2bl w:val="nil"/>
            </w:tcBorders>
            <w:noWrap w:val="0"/>
            <w:vAlign w:val="center"/>
          </w:tcPr>
          <w:p w14:paraId="1F38501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压力表经检定，并出具了《检定证书》。</w:t>
            </w:r>
          </w:p>
        </w:tc>
        <w:tc>
          <w:tcPr>
            <w:tcW w:w="268" w:type="pct"/>
            <w:tcBorders>
              <w:tl2br w:val="nil"/>
              <w:tr2bl w:val="nil"/>
            </w:tcBorders>
            <w:noWrap w:val="0"/>
            <w:vAlign w:val="center"/>
          </w:tcPr>
          <w:p w14:paraId="7E9913F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3BDEDE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tcBorders>
              <w:tl2br w:val="nil"/>
              <w:tr2bl w:val="nil"/>
            </w:tcBorders>
            <w:noWrap w:val="0"/>
            <w:vAlign w:val="center"/>
          </w:tcPr>
          <w:p w14:paraId="77C517B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1499" w:type="pct"/>
            <w:tcBorders>
              <w:tl2br w:val="nil"/>
              <w:tr2bl w:val="nil"/>
            </w:tcBorders>
            <w:noWrap w:val="0"/>
            <w:vAlign w:val="center"/>
          </w:tcPr>
          <w:p w14:paraId="0572744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压力表的检定和维护应当符合国家计量部门有关规定，压力表安装前应当进行检定，在刻度盘上应当划出指示工作压力的红线，注明下次检定日期。压力表检定后应当加铅封。</w:t>
            </w:r>
          </w:p>
        </w:tc>
        <w:tc>
          <w:tcPr>
            <w:tcW w:w="1675" w:type="pct"/>
            <w:tcBorders>
              <w:tl2br w:val="nil"/>
              <w:tr2bl w:val="nil"/>
            </w:tcBorders>
            <w:noWrap w:val="0"/>
            <w:vAlign w:val="center"/>
          </w:tcPr>
          <w:p w14:paraId="0788AF9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《固定式压力容器安全技术监察规程》行业标准第1号修改单（TSG21-2016/XG1-2020）</w:t>
            </w:r>
          </w:p>
          <w:p w14:paraId="0F40AE3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第9.2.1.2条</w:t>
            </w:r>
          </w:p>
        </w:tc>
        <w:tc>
          <w:tcPr>
            <w:tcW w:w="1288" w:type="pct"/>
            <w:tcBorders>
              <w:tl2br w:val="nil"/>
              <w:tr2bl w:val="nil"/>
            </w:tcBorders>
            <w:noWrap w:val="0"/>
            <w:vAlign w:val="center"/>
          </w:tcPr>
          <w:p w14:paraId="53931CE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压力表已定期进行校验，按要求注明检定时间、并加铅封。</w:t>
            </w:r>
          </w:p>
        </w:tc>
        <w:tc>
          <w:tcPr>
            <w:tcW w:w="268" w:type="pct"/>
            <w:tcBorders>
              <w:tl2br w:val="nil"/>
              <w:tr2bl w:val="nil"/>
            </w:tcBorders>
            <w:noWrap w:val="0"/>
            <w:vAlign w:val="center"/>
          </w:tcPr>
          <w:p w14:paraId="6388E70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290D73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tcBorders>
              <w:tl2br w:val="nil"/>
              <w:tr2bl w:val="nil"/>
            </w:tcBorders>
            <w:noWrap w:val="0"/>
            <w:vAlign w:val="center"/>
          </w:tcPr>
          <w:p w14:paraId="6873D14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二</w:t>
            </w:r>
          </w:p>
        </w:tc>
        <w:tc>
          <w:tcPr>
            <w:tcW w:w="4731" w:type="pct"/>
            <w:gridSpan w:val="4"/>
            <w:tcBorders>
              <w:tl2br w:val="nil"/>
              <w:tr2bl w:val="nil"/>
            </w:tcBorders>
            <w:noWrap w:val="0"/>
            <w:vAlign w:val="center"/>
          </w:tcPr>
          <w:p w14:paraId="414B016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安全阀</w:t>
            </w:r>
          </w:p>
        </w:tc>
      </w:tr>
      <w:tr w14:paraId="31CC31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tcBorders>
              <w:tl2br w:val="nil"/>
              <w:tr2bl w:val="nil"/>
            </w:tcBorders>
            <w:noWrap w:val="0"/>
            <w:vAlign w:val="center"/>
          </w:tcPr>
          <w:p w14:paraId="5A0F68F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1</w:t>
            </w:r>
          </w:p>
        </w:tc>
        <w:tc>
          <w:tcPr>
            <w:tcW w:w="1499" w:type="pct"/>
            <w:tcBorders>
              <w:tl2br w:val="nil"/>
              <w:tr2bl w:val="nil"/>
            </w:tcBorders>
            <w:noWrap w:val="0"/>
            <w:vAlign w:val="center"/>
          </w:tcPr>
          <w:p w14:paraId="3238D79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特种设备使用单位应当对在用特种设备的安全附件、安全保护装置、测量调控装置及有关附属仪器仪表进行定期校验、检修，并作出记录。</w:t>
            </w:r>
          </w:p>
        </w:tc>
        <w:tc>
          <w:tcPr>
            <w:tcW w:w="1675" w:type="pct"/>
            <w:tcBorders>
              <w:tl2br w:val="nil"/>
              <w:tr2bl w:val="nil"/>
            </w:tcBorders>
            <w:noWrap w:val="0"/>
            <w:vAlign w:val="center"/>
          </w:tcPr>
          <w:p w14:paraId="7D03413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《特种设备安全监察条例》</w:t>
            </w:r>
          </w:p>
          <w:p w14:paraId="6EDCE88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（中华人民共和国国务院令第373号公布，国务院令第549号修订）</w:t>
            </w:r>
          </w:p>
          <w:p w14:paraId="7D6899C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第二十七条</w:t>
            </w:r>
          </w:p>
        </w:tc>
        <w:tc>
          <w:tcPr>
            <w:tcW w:w="1288" w:type="pct"/>
            <w:tcBorders>
              <w:tl2br w:val="nil"/>
              <w:tr2bl w:val="nil"/>
            </w:tcBorders>
            <w:noWrap w:val="0"/>
            <w:vAlign w:val="center"/>
          </w:tcPr>
          <w:p w14:paraId="5503261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本项目涉及的安全阀经定期校验</w:t>
            </w:r>
            <w:r>
              <w:rPr>
                <w:rFonts w:hint="eastAsia" w:cs="宋体"/>
                <w:sz w:val="21"/>
                <w:szCs w:val="21"/>
                <w:lang w:eastAsia="zh-CN"/>
              </w:rPr>
              <w:t>，</w:t>
            </w:r>
            <w:r>
              <w:rPr>
                <w:rFonts w:hint="eastAsia" w:ascii="宋体" w:hAnsi="宋体" w:eastAsia="宋体" w:cs="宋体"/>
                <w:sz w:val="21"/>
                <w:szCs w:val="21"/>
              </w:rPr>
              <w:t>并出具了《</w:t>
            </w:r>
            <w:r>
              <w:rPr>
                <w:rFonts w:hint="eastAsia" w:cs="宋体"/>
                <w:sz w:val="21"/>
                <w:szCs w:val="21"/>
                <w:lang w:val="en-US" w:eastAsia="zh-CN"/>
              </w:rPr>
              <w:t>检验报告</w:t>
            </w:r>
            <w:r>
              <w:rPr>
                <w:rFonts w:hint="eastAsia" w:ascii="宋体" w:hAnsi="宋体" w:eastAsia="宋体" w:cs="宋体"/>
                <w:sz w:val="21"/>
                <w:szCs w:val="21"/>
              </w:rPr>
              <w:t>》。</w:t>
            </w:r>
          </w:p>
        </w:tc>
        <w:tc>
          <w:tcPr>
            <w:tcW w:w="268" w:type="pct"/>
            <w:tcBorders>
              <w:tl2br w:val="nil"/>
              <w:tr2bl w:val="nil"/>
            </w:tcBorders>
            <w:noWrap w:val="0"/>
            <w:vAlign w:val="center"/>
          </w:tcPr>
          <w:p w14:paraId="086F52B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2DD7E6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tcBorders>
              <w:tl2br w:val="nil"/>
              <w:tr2bl w:val="nil"/>
            </w:tcBorders>
            <w:noWrap w:val="0"/>
            <w:vAlign w:val="center"/>
          </w:tcPr>
          <w:p w14:paraId="323A1C3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2</w:t>
            </w:r>
          </w:p>
        </w:tc>
        <w:tc>
          <w:tcPr>
            <w:tcW w:w="1499" w:type="pct"/>
            <w:tcBorders>
              <w:tl2br w:val="nil"/>
              <w:tr2bl w:val="nil"/>
            </w:tcBorders>
            <w:noWrap w:val="0"/>
            <w:vAlign w:val="top"/>
          </w:tcPr>
          <w:p w14:paraId="7ADC7F1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安全阀一般每年至少检验一次，符合本规程7.2.3.1.3.2、7.2.3.1.3.3校验周期延长的特殊要求，经过使用单位安全管理负责人批准可以按照其要求适当延长校验周期。</w:t>
            </w:r>
          </w:p>
        </w:tc>
        <w:tc>
          <w:tcPr>
            <w:tcW w:w="1675" w:type="pct"/>
            <w:tcBorders>
              <w:tl2br w:val="nil"/>
              <w:tr2bl w:val="nil"/>
            </w:tcBorders>
            <w:noWrap w:val="0"/>
            <w:vAlign w:val="center"/>
          </w:tcPr>
          <w:p w14:paraId="31CA1B4A">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《固定式压力容器安全技术监察规程》行业标准第1号修改单（TSG21-2016/XG1-2020）</w:t>
            </w:r>
          </w:p>
          <w:p w14:paraId="6C239BE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第7.2.3.1.3.1条</w:t>
            </w:r>
          </w:p>
        </w:tc>
        <w:tc>
          <w:tcPr>
            <w:tcW w:w="1288" w:type="pct"/>
            <w:tcBorders>
              <w:tl2br w:val="nil"/>
              <w:tr2bl w:val="nil"/>
            </w:tcBorders>
            <w:noWrap w:val="0"/>
            <w:vAlign w:val="center"/>
          </w:tcPr>
          <w:p w14:paraId="556B309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安全阀已定期检测，并有效投用。</w:t>
            </w:r>
          </w:p>
        </w:tc>
        <w:tc>
          <w:tcPr>
            <w:tcW w:w="268" w:type="pct"/>
            <w:tcBorders>
              <w:tl2br w:val="nil"/>
              <w:tr2bl w:val="nil"/>
            </w:tcBorders>
            <w:noWrap w:val="0"/>
            <w:vAlign w:val="center"/>
          </w:tcPr>
          <w:p w14:paraId="4961660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6EDD72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tcBorders>
              <w:tl2br w:val="nil"/>
              <w:tr2bl w:val="nil"/>
            </w:tcBorders>
            <w:noWrap w:val="0"/>
            <w:vAlign w:val="center"/>
          </w:tcPr>
          <w:p w14:paraId="2BB6619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eastAsia="zh-CN"/>
              </w:rPr>
            </w:pPr>
            <w:r>
              <w:rPr>
                <w:rFonts w:hint="eastAsia" w:ascii="宋体" w:hAnsi="宋体" w:cs="宋体"/>
                <w:sz w:val="21"/>
                <w:szCs w:val="21"/>
                <w:lang w:val="en-US" w:eastAsia="zh-CN"/>
              </w:rPr>
              <w:t>3</w:t>
            </w:r>
          </w:p>
        </w:tc>
        <w:tc>
          <w:tcPr>
            <w:tcW w:w="1499" w:type="pct"/>
            <w:tcBorders>
              <w:tl2br w:val="nil"/>
              <w:tr2bl w:val="nil"/>
            </w:tcBorders>
            <w:noWrap w:val="0"/>
            <w:vAlign w:val="center"/>
          </w:tcPr>
          <w:p w14:paraId="77D4C8A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安全附件实行定期检验制 安全附件的定期检验按照本规程与相关安全技术规范的规定进行。</w:t>
            </w:r>
          </w:p>
        </w:tc>
        <w:tc>
          <w:tcPr>
            <w:tcW w:w="1675" w:type="pct"/>
            <w:tcBorders>
              <w:tl2br w:val="nil"/>
              <w:tr2bl w:val="nil"/>
            </w:tcBorders>
            <w:noWrap w:val="0"/>
            <w:vAlign w:val="center"/>
          </w:tcPr>
          <w:p w14:paraId="5D6E445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《固定式压力容器安全技术监察规程》行业标准第1号修改单（TSG21-2016/XG1-2020）</w:t>
            </w:r>
          </w:p>
          <w:p w14:paraId="5F58D35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第9.1.1条</w:t>
            </w:r>
          </w:p>
        </w:tc>
        <w:tc>
          <w:tcPr>
            <w:tcW w:w="1288" w:type="pct"/>
            <w:tcBorders>
              <w:tl2br w:val="nil"/>
              <w:tr2bl w:val="nil"/>
            </w:tcBorders>
            <w:noWrap w:val="0"/>
            <w:vAlign w:val="center"/>
          </w:tcPr>
          <w:p w14:paraId="2022143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安全阀、压力表等附件已经定期检测。</w:t>
            </w:r>
          </w:p>
        </w:tc>
        <w:tc>
          <w:tcPr>
            <w:tcW w:w="268" w:type="pct"/>
            <w:tcBorders>
              <w:tl2br w:val="nil"/>
              <w:tr2bl w:val="nil"/>
            </w:tcBorders>
            <w:noWrap w:val="0"/>
            <w:vAlign w:val="center"/>
          </w:tcPr>
          <w:p w14:paraId="5CA86D5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bl>
    <w:p w14:paraId="181F6519">
      <w:pPr>
        <w:keepNext w:val="0"/>
        <w:keepLines w:val="0"/>
        <w:pageBreakBefore w:val="0"/>
        <w:widowControl w:val="0"/>
        <w:kinsoku/>
        <w:wordWrap/>
        <w:bidi w:val="0"/>
      </w:pPr>
      <w:r>
        <w:t>由上述检查表可知，本项目</w:t>
      </w:r>
      <w:r>
        <w:rPr>
          <w:rFonts w:hint="eastAsia"/>
          <w:lang w:eastAsia="zh-CN"/>
        </w:rPr>
        <w:t>涉及的</w:t>
      </w:r>
      <w:r>
        <w:t>压力表、安全阀</w:t>
      </w:r>
      <w:r>
        <w:rPr>
          <w:rFonts w:hint="eastAsia"/>
        </w:rPr>
        <w:t>等</w:t>
      </w:r>
      <w:r>
        <w:t>强制检验设备</w:t>
      </w:r>
      <w:r>
        <w:rPr>
          <w:rFonts w:hint="eastAsia"/>
        </w:rPr>
        <w:t>设施按要求进行了检验</w:t>
      </w:r>
      <w:r>
        <w:t>。</w:t>
      </w:r>
    </w:p>
    <w:p w14:paraId="6D4EEDD2">
      <w:pPr>
        <w:pStyle w:val="3"/>
        <w:keepNext w:val="0"/>
        <w:keepLines w:val="0"/>
        <w:pageBreakBefore w:val="0"/>
        <w:widowControl w:val="0"/>
        <w:kinsoku/>
        <w:bidi w:val="0"/>
        <w:ind w:left="575" w:leftChars="0" w:hanging="575" w:firstLineChars="0"/>
      </w:pPr>
      <w:bookmarkStart w:id="1058" w:name="_Toc60925432"/>
      <w:bookmarkStart w:id="1059" w:name="_Toc46697260"/>
      <w:bookmarkStart w:id="1060" w:name="_Toc28659"/>
      <w:bookmarkStart w:id="1061" w:name="_Toc55945323"/>
      <w:bookmarkStart w:id="1062" w:name="_Toc23807"/>
      <w:r>
        <w:rPr>
          <w:rFonts w:hint="eastAsia"/>
        </w:rPr>
        <w:t>周边环境适宜性评价</w:t>
      </w:r>
      <w:bookmarkEnd w:id="1058"/>
      <w:bookmarkEnd w:id="1059"/>
      <w:bookmarkEnd w:id="1060"/>
      <w:bookmarkEnd w:id="1061"/>
      <w:bookmarkEnd w:id="1062"/>
    </w:p>
    <w:p w14:paraId="582D5637">
      <w:pPr>
        <w:pStyle w:val="4"/>
        <w:keepNext w:val="0"/>
        <w:keepLines w:val="0"/>
        <w:pageBreakBefore w:val="0"/>
        <w:widowControl w:val="0"/>
        <w:kinsoku/>
        <w:bidi w:val="0"/>
        <w:ind w:left="720" w:leftChars="0" w:hanging="720" w:firstLineChars="0"/>
      </w:pPr>
      <w:bookmarkStart w:id="1063" w:name="_Toc498519851"/>
      <w:bookmarkStart w:id="1064" w:name="_Toc46697261"/>
      <w:bookmarkStart w:id="1065" w:name="_Toc498299381"/>
      <w:bookmarkStart w:id="1066" w:name="_Toc32478"/>
      <w:bookmarkStart w:id="1067" w:name="_Toc55945324"/>
      <w:bookmarkStart w:id="1068" w:name="_Toc500007188"/>
      <w:bookmarkStart w:id="1069" w:name="_Toc60925433"/>
      <w:bookmarkStart w:id="1070" w:name="_Toc21182"/>
      <w:r>
        <w:rPr>
          <w:rFonts w:hint="eastAsia"/>
        </w:rPr>
        <w:t>对周边的影响</w:t>
      </w:r>
      <w:bookmarkEnd w:id="1063"/>
      <w:bookmarkEnd w:id="1064"/>
      <w:bookmarkEnd w:id="1065"/>
      <w:bookmarkEnd w:id="1066"/>
      <w:bookmarkEnd w:id="1067"/>
      <w:bookmarkEnd w:id="1068"/>
      <w:bookmarkEnd w:id="1069"/>
      <w:bookmarkEnd w:id="1070"/>
    </w:p>
    <w:p w14:paraId="45AFBAE3">
      <w:pPr>
        <w:keepNext w:val="0"/>
        <w:keepLines w:val="0"/>
        <w:pageBreakBefore w:val="0"/>
        <w:widowControl w:val="0"/>
        <w:kinsoku/>
        <w:wordWrap/>
        <w:bidi w:val="0"/>
        <w:rPr>
          <w:rFonts w:hint="default" w:eastAsia="宋体"/>
          <w:lang w:val="en-US" w:eastAsia="zh-CN"/>
        </w:rPr>
      </w:pPr>
      <w:bookmarkStart w:id="1071" w:name="_Toc498299382"/>
      <w:bookmarkStart w:id="1072" w:name="_Toc500007189"/>
      <w:bookmarkStart w:id="1073" w:name="_Toc46697262"/>
      <w:bookmarkStart w:id="1074" w:name="_Toc498519852"/>
      <w:r>
        <w:rPr>
          <w:rFonts w:hint="eastAsia" w:cs="Times New Roman"/>
          <w:lang w:val="en-US" w:eastAsia="zh-CN"/>
        </w:rPr>
        <w:t>本</w:t>
      </w:r>
      <w:r>
        <w:rPr>
          <w:rFonts w:hint="eastAsia" w:cs="Times New Roman"/>
        </w:rPr>
        <w:t>项目距离周边村庄较远，</w:t>
      </w:r>
      <w:r>
        <w:rPr>
          <w:rFonts w:hint="eastAsia" w:cs="Times New Roman"/>
          <w:lang w:val="en-US" w:eastAsia="zh-CN"/>
        </w:rPr>
        <w:t>周围</w:t>
      </w:r>
      <w:r>
        <w:rPr>
          <w:rFonts w:hint="eastAsia" w:cs="Times New Roman"/>
        </w:rPr>
        <w:t>无其他重要建（构）筑物，厂区外围主要是园区待开发空地，</w:t>
      </w:r>
      <w:r>
        <w:rPr>
          <w:rFonts w:hint="eastAsia"/>
          <w:lang w:val="en-US" w:eastAsia="zh-CN"/>
        </w:rPr>
        <w:t>企业发生安全事故能限制在企业内部，</w:t>
      </w:r>
      <w:r>
        <w:rPr>
          <w:rFonts w:hint="eastAsia"/>
        </w:rPr>
        <w:t>对周边影响较小。</w:t>
      </w:r>
    </w:p>
    <w:p w14:paraId="31E3FFF2">
      <w:pPr>
        <w:pStyle w:val="4"/>
        <w:keepNext w:val="0"/>
        <w:keepLines w:val="0"/>
        <w:pageBreakBefore w:val="0"/>
        <w:widowControl w:val="0"/>
        <w:kinsoku/>
        <w:bidi w:val="0"/>
        <w:ind w:left="720" w:leftChars="0" w:hanging="720" w:firstLineChars="0"/>
      </w:pPr>
      <w:bookmarkStart w:id="1075" w:name="_Toc55945325"/>
      <w:bookmarkStart w:id="1076" w:name="_Toc10280"/>
      <w:bookmarkStart w:id="1077" w:name="_Toc60925434"/>
      <w:bookmarkStart w:id="1078" w:name="_Toc29502"/>
      <w:r>
        <w:rPr>
          <w:rFonts w:hint="eastAsia"/>
        </w:rPr>
        <w:t>周边单位对建设项目的影响</w:t>
      </w:r>
      <w:bookmarkEnd w:id="1071"/>
      <w:bookmarkEnd w:id="1072"/>
      <w:bookmarkEnd w:id="1073"/>
      <w:bookmarkEnd w:id="1074"/>
      <w:bookmarkEnd w:id="1075"/>
      <w:bookmarkEnd w:id="1076"/>
      <w:bookmarkEnd w:id="1077"/>
      <w:bookmarkEnd w:id="1078"/>
    </w:p>
    <w:p w14:paraId="79A8E69F">
      <w:pPr>
        <w:keepNext w:val="0"/>
        <w:keepLines w:val="0"/>
        <w:pageBreakBefore w:val="0"/>
        <w:widowControl w:val="0"/>
        <w:kinsoku/>
        <w:wordWrap/>
        <w:topLinePunct/>
        <w:bidi w:val="0"/>
        <w:adjustRightInd w:val="0"/>
        <w:snapToGrid w:val="0"/>
        <w:ind w:firstLine="560"/>
        <w:rPr>
          <w:rFonts w:hint="eastAsia"/>
          <w:bCs/>
        </w:rPr>
      </w:pPr>
      <w:bookmarkStart w:id="1079" w:name="_Toc500007190"/>
      <w:bookmarkStart w:id="1080" w:name="_Toc498519853"/>
      <w:bookmarkStart w:id="1081" w:name="_Toc46697263"/>
      <w:bookmarkStart w:id="1082" w:name="_Toc498299383"/>
      <w:r>
        <w:rPr>
          <w:rFonts w:hint="eastAsia" w:cs="Times New Roman"/>
        </w:rPr>
        <w:t>企业周围均为工业园区待开发空地</w:t>
      </w:r>
      <w:r>
        <w:rPr>
          <w:rFonts w:hint="eastAsia"/>
          <w:bCs/>
        </w:rPr>
        <w:t>，</w:t>
      </w:r>
      <w:r>
        <w:rPr>
          <w:rFonts w:hint="eastAsia"/>
          <w:bCs/>
          <w:lang w:val="en-US" w:eastAsia="zh-CN"/>
        </w:rPr>
        <w:t>周边单位距离</w:t>
      </w:r>
      <w:r>
        <w:rPr>
          <w:rFonts w:hint="eastAsia"/>
          <w:bCs/>
        </w:rPr>
        <w:t>本项目</w:t>
      </w:r>
      <w:r>
        <w:rPr>
          <w:rFonts w:hint="eastAsia"/>
          <w:bCs/>
          <w:lang w:val="en-US" w:eastAsia="zh-CN"/>
        </w:rPr>
        <w:t>较远，</w:t>
      </w:r>
      <w:r>
        <w:rPr>
          <w:rFonts w:hint="eastAsia"/>
          <w:bCs/>
        </w:rPr>
        <w:t>对本项目影响较小。</w:t>
      </w:r>
    </w:p>
    <w:p w14:paraId="08B6A388">
      <w:pPr>
        <w:pStyle w:val="4"/>
        <w:keepNext w:val="0"/>
        <w:keepLines w:val="0"/>
        <w:pageBreakBefore w:val="0"/>
        <w:widowControl w:val="0"/>
        <w:kinsoku/>
        <w:bidi w:val="0"/>
        <w:ind w:left="720" w:leftChars="0" w:hanging="720" w:firstLineChars="0"/>
      </w:pPr>
      <w:bookmarkStart w:id="1083" w:name="_Toc60925435"/>
      <w:bookmarkStart w:id="1084" w:name="_Toc19678"/>
      <w:bookmarkStart w:id="1085" w:name="_Toc55945326"/>
      <w:bookmarkStart w:id="1086" w:name="_Toc20535"/>
      <w:r>
        <w:rPr>
          <w:rFonts w:hint="eastAsia"/>
        </w:rPr>
        <w:t>建设项目所在地自然条件对本项目的影响</w:t>
      </w:r>
      <w:bookmarkEnd w:id="1079"/>
      <w:bookmarkEnd w:id="1080"/>
      <w:bookmarkEnd w:id="1081"/>
      <w:bookmarkEnd w:id="1082"/>
      <w:bookmarkEnd w:id="1083"/>
      <w:bookmarkEnd w:id="1084"/>
      <w:bookmarkEnd w:id="1085"/>
      <w:bookmarkEnd w:id="1086"/>
    </w:p>
    <w:p w14:paraId="1205FA59">
      <w:pPr>
        <w:pStyle w:val="5"/>
        <w:keepNext w:val="0"/>
        <w:keepLines w:val="0"/>
        <w:pageBreakBefore w:val="0"/>
        <w:widowControl w:val="0"/>
        <w:kinsoku/>
        <w:bidi w:val="0"/>
        <w:ind w:left="864" w:leftChars="0" w:hanging="864" w:firstLineChars="0"/>
      </w:pPr>
      <w:r>
        <w:rPr>
          <w:rFonts w:hint="eastAsia"/>
        </w:rPr>
        <w:t>地质条件</w:t>
      </w:r>
    </w:p>
    <w:p w14:paraId="2CCE2E77">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lang w:val="en-US" w:eastAsia="zh-CN"/>
        </w:rPr>
      </w:pPr>
      <w:r>
        <w:rPr>
          <w:rFonts w:hint="eastAsia" w:ascii="宋体" w:hAnsi="宋体" w:eastAsia="宋体" w:cs="宋体"/>
          <w:lang w:val="en-US" w:eastAsia="zh-CN"/>
        </w:rPr>
        <w:t>根据《中国地震动参数区划图》（GB18306-2015），</w:t>
      </w:r>
      <w:r>
        <w:rPr>
          <w:rFonts w:hint="eastAsia" w:ascii="宋体" w:hAnsi="宋体" w:eastAsia="宋体" w:cs="宋体"/>
        </w:rPr>
        <w:t>云南省禄丰</w:t>
      </w:r>
      <w:r>
        <w:rPr>
          <w:rFonts w:hint="eastAsia" w:ascii="宋体" w:hAnsi="宋体" w:eastAsia="宋体" w:cs="宋体"/>
          <w:lang w:val="en-US" w:eastAsia="zh-CN"/>
        </w:rPr>
        <w:t>市</w:t>
      </w:r>
      <w:r>
        <w:rPr>
          <w:rFonts w:hint="eastAsia" w:ascii="宋体" w:hAnsi="宋体" w:eastAsia="宋体" w:cs="宋体"/>
        </w:rPr>
        <w:t>勤丰镇羊街村</w:t>
      </w:r>
      <w:r>
        <w:rPr>
          <w:rFonts w:hint="eastAsia" w:ascii="宋体" w:hAnsi="宋体" w:eastAsia="宋体" w:cs="宋体"/>
          <w:lang w:val="en-US" w:eastAsia="zh-CN"/>
        </w:rPr>
        <w:t>涉及基本地震加速度值为0.15g，特征周期值为0.45s，地震烈度为7度。当地震发生时，可能使建筑物倒塌，设备被破坏，严重时造成人员伤亡。本项目在地震中可能造成的最大危险是建（构）筑物倒塌、电气火灾和人员伤亡事故。</w:t>
      </w:r>
    </w:p>
    <w:p w14:paraId="3A280181">
      <w:pPr>
        <w:keepNext w:val="0"/>
        <w:keepLines w:val="0"/>
        <w:pageBreakBefore w:val="0"/>
        <w:widowControl w:val="0"/>
        <w:kinsoku/>
        <w:wordWrap/>
        <w:overflowPunct/>
        <w:topLinePunct/>
        <w:autoSpaceDE/>
        <w:autoSpaceDN/>
        <w:bidi w:val="0"/>
        <w:adjustRightInd/>
        <w:snapToGrid/>
        <w:ind w:firstLine="560"/>
        <w:textAlignment w:val="auto"/>
        <w:rPr>
          <w:rFonts w:hint="default" w:eastAsia="宋体"/>
          <w:lang w:val="en-US" w:eastAsia="zh-CN"/>
        </w:rPr>
      </w:pPr>
      <w:r>
        <w:rPr>
          <w:rFonts w:hint="eastAsia" w:ascii="宋体" w:hAnsi="宋体" w:eastAsia="宋体" w:cs="宋体"/>
          <w:lang w:val="en-US" w:eastAsia="zh-CN"/>
        </w:rPr>
        <w:t>项目已按要求核实建设场地的工程地质条件，并按照地质勘察报告的数据进行建构筑物基础设计，按照抗震设防等级进行抗震设计等，除地震等不可抗因素外，地质条件对项目安全的影响不大。</w:t>
      </w:r>
    </w:p>
    <w:p w14:paraId="769D2A5F">
      <w:pPr>
        <w:pStyle w:val="5"/>
        <w:keepNext w:val="0"/>
        <w:keepLines w:val="0"/>
        <w:pageBreakBefore w:val="0"/>
        <w:widowControl w:val="0"/>
        <w:kinsoku/>
        <w:bidi w:val="0"/>
        <w:ind w:left="864" w:leftChars="0" w:hanging="864" w:firstLineChars="0"/>
      </w:pPr>
      <w:r>
        <w:rPr>
          <w:rFonts w:hint="eastAsia"/>
        </w:rPr>
        <w:t>气象条件</w:t>
      </w:r>
    </w:p>
    <w:p w14:paraId="0EDBBE61">
      <w:pPr>
        <w:keepNext w:val="0"/>
        <w:keepLines w:val="0"/>
        <w:pageBreakBefore w:val="0"/>
        <w:widowControl w:val="0"/>
        <w:kinsoku/>
        <w:wordWrap/>
        <w:topLinePunct/>
        <w:bidi w:val="0"/>
        <w:ind w:firstLine="560"/>
        <w:rPr>
          <w:rFonts w:hint="eastAsia" w:ascii="宋体" w:hAnsi="宋体" w:eastAsia="宋体" w:cs="宋体"/>
          <w:szCs w:val="28"/>
        </w:rPr>
      </w:pPr>
      <w:r>
        <w:rPr>
          <w:rFonts w:hint="eastAsia" w:ascii="宋体" w:hAnsi="宋体" w:eastAsia="宋体" w:cs="宋体"/>
          <w:szCs w:val="28"/>
        </w:rPr>
        <w:t>根据建设项目地区的气象资料，气象条件对建设项目的影响主要表现在大风、高温、暴雨、雷电等方面。</w:t>
      </w:r>
    </w:p>
    <w:p w14:paraId="1A4AB044">
      <w:pPr>
        <w:keepNext w:val="0"/>
        <w:keepLines w:val="0"/>
        <w:pageBreakBefore w:val="0"/>
        <w:widowControl w:val="0"/>
        <w:numPr>
          <w:ilvl w:val="0"/>
          <w:numId w:val="124"/>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高温</w:t>
      </w:r>
    </w:p>
    <w:p w14:paraId="456551D6">
      <w:pPr>
        <w:keepNext w:val="0"/>
        <w:keepLines w:val="0"/>
        <w:pageBreakBefore w:val="0"/>
        <w:widowControl w:val="0"/>
        <w:kinsoku/>
        <w:wordWrap/>
        <w:topLinePunct/>
        <w:bidi w:val="0"/>
        <w:ind w:firstLine="560"/>
        <w:rPr>
          <w:rFonts w:hint="eastAsia" w:ascii="宋体" w:hAnsi="宋体" w:eastAsia="宋体" w:cs="宋体"/>
          <w:szCs w:val="28"/>
          <w:lang w:val="en-US" w:eastAsia="zh-CN"/>
        </w:rPr>
      </w:pPr>
      <w:r>
        <w:rPr>
          <w:rFonts w:hint="eastAsia" w:ascii="宋体" w:hAnsi="宋体" w:eastAsia="宋体" w:cs="宋体"/>
          <w:szCs w:val="28"/>
        </w:rPr>
        <w:t>高温天气对人体健康的主要影响是产生中暑以及诱发心、脑血管疾病导致死亡。本</w:t>
      </w:r>
      <w:r>
        <w:rPr>
          <w:rFonts w:hint="eastAsia" w:ascii="宋体" w:hAnsi="宋体" w:eastAsia="宋体" w:cs="宋体"/>
          <w:szCs w:val="28"/>
          <w:lang w:val="en-US" w:eastAsia="zh-CN"/>
        </w:rPr>
        <w:t>项目作业多在室内，且项目不需要重体力劳动，高温对项目影响不大。</w:t>
      </w:r>
    </w:p>
    <w:p w14:paraId="21973FF2">
      <w:pPr>
        <w:keepNext w:val="0"/>
        <w:keepLines w:val="0"/>
        <w:pageBreakBefore w:val="0"/>
        <w:widowControl w:val="0"/>
        <w:numPr>
          <w:ilvl w:val="0"/>
          <w:numId w:val="124"/>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大风</w:t>
      </w:r>
    </w:p>
    <w:p w14:paraId="68A97F6E">
      <w:pPr>
        <w:keepNext w:val="0"/>
        <w:keepLines w:val="0"/>
        <w:pageBreakBefore w:val="0"/>
        <w:widowControl w:val="0"/>
        <w:kinsoku/>
        <w:wordWrap/>
        <w:topLinePunct/>
        <w:bidi w:val="0"/>
        <w:ind w:firstLine="560"/>
        <w:rPr>
          <w:rFonts w:hint="eastAsia" w:ascii="宋体" w:hAnsi="宋体" w:eastAsia="宋体" w:cs="宋体"/>
          <w:szCs w:val="28"/>
          <w:lang w:eastAsia="zh-CN"/>
        </w:rPr>
      </w:pPr>
      <w:r>
        <w:rPr>
          <w:rFonts w:hint="eastAsia" w:ascii="宋体" w:hAnsi="宋体" w:eastAsia="宋体" w:cs="宋体"/>
          <w:szCs w:val="28"/>
        </w:rPr>
        <w:t>建设项目所在地常年盛行西南风，平均风速为</w:t>
      </w:r>
      <w:r>
        <w:rPr>
          <w:rFonts w:hint="eastAsia" w:ascii="宋体" w:hAnsi="宋体" w:eastAsia="宋体" w:cs="宋体"/>
          <w:szCs w:val="28"/>
          <w:lang w:val="en-US" w:eastAsia="zh-CN"/>
        </w:rPr>
        <w:t>1.6</w:t>
      </w:r>
      <w:r>
        <w:rPr>
          <w:rFonts w:hint="eastAsia" w:ascii="宋体" w:hAnsi="宋体" w:eastAsia="宋体" w:cs="宋体"/>
          <w:szCs w:val="28"/>
        </w:rPr>
        <w:t>m/s，大风可能导致高处堆放的零散物件坠落，对地面的人员造成物体打击伤害</w:t>
      </w:r>
      <w:r>
        <w:rPr>
          <w:rFonts w:hint="eastAsia" w:ascii="宋体" w:hAnsi="宋体" w:eastAsia="宋体" w:cs="宋体"/>
          <w:szCs w:val="28"/>
          <w:lang w:eastAsia="zh-CN"/>
        </w:rPr>
        <w:t>。</w:t>
      </w:r>
    </w:p>
    <w:p w14:paraId="67F8EFEB">
      <w:pPr>
        <w:keepNext w:val="0"/>
        <w:keepLines w:val="0"/>
        <w:pageBreakBefore w:val="0"/>
        <w:widowControl w:val="0"/>
        <w:numPr>
          <w:ilvl w:val="0"/>
          <w:numId w:val="124"/>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降雨</w:t>
      </w:r>
    </w:p>
    <w:p w14:paraId="0A3FD220">
      <w:pPr>
        <w:keepNext w:val="0"/>
        <w:keepLines w:val="0"/>
        <w:pageBreakBefore w:val="0"/>
        <w:widowControl w:val="0"/>
        <w:kinsoku/>
        <w:wordWrap/>
        <w:topLinePunct/>
        <w:bidi w:val="0"/>
        <w:ind w:firstLine="560"/>
        <w:rPr>
          <w:rFonts w:hint="eastAsia" w:ascii="宋体" w:hAnsi="宋体" w:eastAsia="宋体" w:cs="宋体"/>
          <w:szCs w:val="28"/>
        </w:rPr>
      </w:pPr>
      <w:r>
        <w:rPr>
          <w:rFonts w:hint="eastAsia" w:ascii="宋体" w:hAnsi="宋体" w:eastAsia="宋体" w:cs="宋体"/>
          <w:szCs w:val="28"/>
        </w:rPr>
        <w:t>建设项目所在地多年平均降水量</w:t>
      </w:r>
      <w:r>
        <w:rPr>
          <w:rFonts w:hint="eastAsia" w:ascii="宋体" w:hAnsi="宋体" w:eastAsia="宋体" w:cs="宋体"/>
          <w:szCs w:val="28"/>
          <w:lang w:val="en-US" w:eastAsia="zh-CN"/>
        </w:rPr>
        <w:t>896.8</w:t>
      </w:r>
      <w:r>
        <w:rPr>
          <w:rFonts w:hint="eastAsia" w:ascii="宋体" w:hAnsi="宋体" w:eastAsia="宋体" w:cs="宋体"/>
          <w:szCs w:val="28"/>
        </w:rPr>
        <w:t>mm，</w:t>
      </w:r>
      <w:r>
        <w:rPr>
          <w:rFonts w:hint="eastAsia" w:ascii="宋体" w:hAnsi="宋体" w:eastAsia="宋体" w:cs="宋体"/>
          <w:szCs w:val="28"/>
          <w:lang w:val="en-US" w:eastAsia="zh-CN"/>
        </w:rPr>
        <w:t>短时间的大暴</w:t>
      </w:r>
      <w:r>
        <w:rPr>
          <w:rFonts w:hint="eastAsia" w:ascii="宋体" w:hAnsi="宋体" w:eastAsia="宋体" w:cs="宋体"/>
          <w:szCs w:val="28"/>
        </w:rPr>
        <w:t>雨</w:t>
      </w:r>
      <w:r>
        <w:rPr>
          <w:rFonts w:hint="eastAsia" w:ascii="宋体" w:hAnsi="宋体" w:eastAsia="宋体" w:cs="宋体"/>
          <w:szCs w:val="28"/>
          <w:lang w:val="en-US" w:eastAsia="zh-CN"/>
        </w:rPr>
        <w:t>会导致排水不畅</w:t>
      </w:r>
      <w:r>
        <w:rPr>
          <w:rFonts w:hint="eastAsia" w:ascii="宋体" w:hAnsi="宋体" w:eastAsia="宋体" w:cs="宋体"/>
          <w:szCs w:val="28"/>
        </w:rPr>
        <w:t>影响</w:t>
      </w:r>
      <w:r>
        <w:rPr>
          <w:rFonts w:hint="eastAsia" w:ascii="宋体" w:hAnsi="宋体" w:eastAsia="宋体" w:cs="宋体"/>
          <w:szCs w:val="28"/>
          <w:lang w:val="en-US" w:eastAsia="zh-CN"/>
        </w:rPr>
        <w:t>道路通行，还可能因为降水</w:t>
      </w:r>
      <w:r>
        <w:rPr>
          <w:rFonts w:hint="eastAsia" w:ascii="宋体" w:hAnsi="宋体" w:eastAsia="宋体" w:cs="宋体"/>
          <w:szCs w:val="28"/>
        </w:rPr>
        <w:t>造成</w:t>
      </w:r>
      <w:r>
        <w:rPr>
          <w:rFonts w:hint="eastAsia" w:ascii="宋体" w:hAnsi="宋体" w:eastAsia="宋体" w:cs="宋体"/>
          <w:szCs w:val="28"/>
          <w:lang w:val="en-US" w:eastAsia="zh-CN"/>
        </w:rPr>
        <w:t>污水池水位超限，不能及时处理</w:t>
      </w:r>
      <w:r>
        <w:rPr>
          <w:rFonts w:hint="eastAsia" w:ascii="宋体" w:hAnsi="宋体" w:eastAsia="宋体" w:cs="宋体"/>
          <w:szCs w:val="28"/>
        </w:rPr>
        <w:t>。</w:t>
      </w:r>
    </w:p>
    <w:p w14:paraId="25023525">
      <w:pPr>
        <w:keepNext w:val="0"/>
        <w:keepLines w:val="0"/>
        <w:pageBreakBefore w:val="0"/>
        <w:widowControl w:val="0"/>
        <w:numPr>
          <w:ilvl w:val="0"/>
          <w:numId w:val="124"/>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lang w:val="en-US" w:eastAsia="zh-CN"/>
        </w:rPr>
      </w:pPr>
      <w:r>
        <w:rPr>
          <w:rFonts w:hint="eastAsia" w:ascii="宋体" w:hAnsi="宋体" w:eastAsia="宋体" w:cs="宋体"/>
          <w:szCs w:val="28"/>
        </w:rPr>
        <w:t>雷</w:t>
      </w:r>
      <w:r>
        <w:rPr>
          <w:rFonts w:hint="eastAsia" w:ascii="宋体" w:hAnsi="宋体" w:eastAsia="宋体" w:cs="宋体"/>
          <w:szCs w:val="28"/>
          <w:lang w:val="en-US" w:eastAsia="zh-CN"/>
        </w:rPr>
        <w:t>电</w:t>
      </w:r>
    </w:p>
    <w:p w14:paraId="155081C7">
      <w:pPr>
        <w:keepNext w:val="0"/>
        <w:keepLines w:val="0"/>
        <w:pageBreakBefore w:val="0"/>
        <w:widowControl w:val="0"/>
        <w:kinsoku/>
        <w:wordWrap/>
        <w:topLinePunct/>
        <w:bidi w:val="0"/>
        <w:ind w:firstLine="560"/>
        <w:rPr>
          <w:rFonts w:hint="default" w:eastAsia="宋体"/>
          <w:szCs w:val="28"/>
          <w:lang w:val="en-US" w:eastAsia="zh-CN"/>
        </w:rPr>
      </w:pPr>
      <w:r>
        <w:rPr>
          <w:rFonts w:hint="eastAsia" w:ascii="宋体" w:hAnsi="宋体" w:eastAsia="宋体" w:cs="宋体"/>
          <w:szCs w:val="28"/>
        </w:rPr>
        <w:t>雷电事故有可能造成对高耸的建筑物和电气设备造成破坏。雷电造成的自然危害因素是客观存在的，其产生不可抗拒。</w:t>
      </w:r>
      <w:r>
        <w:rPr>
          <w:rFonts w:hint="eastAsia" w:ascii="宋体" w:hAnsi="宋体" w:eastAsia="宋体" w:cs="宋体"/>
          <w:szCs w:val="28"/>
          <w:lang w:val="en-US" w:eastAsia="zh-CN"/>
        </w:rPr>
        <w:t>项目厂区按规范设置了防雷接地设施，并按要求进行了检测。</w:t>
      </w:r>
    </w:p>
    <w:p w14:paraId="1DF2C2D2">
      <w:pPr>
        <w:pStyle w:val="3"/>
        <w:keepNext w:val="0"/>
        <w:keepLines w:val="0"/>
        <w:pageBreakBefore w:val="0"/>
        <w:widowControl w:val="0"/>
        <w:kinsoku/>
        <w:bidi w:val="0"/>
        <w:ind w:left="575" w:leftChars="0" w:hanging="575" w:firstLineChars="0"/>
      </w:pPr>
      <w:bookmarkStart w:id="1087" w:name="_Toc498299388"/>
      <w:bookmarkStart w:id="1088" w:name="_Toc498519858"/>
      <w:bookmarkStart w:id="1089" w:name="_Toc55945327"/>
      <w:bookmarkStart w:id="1090" w:name="_Toc21739"/>
      <w:bookmarkStart w:id="1091" w:name="_Toc500007194"/>
      <w:bookmarkStart w:id="1092" w:name="_Toc60925436"/>
      <w:bookmarkStart w:id="1093" w:name="_Toc46697264"/>
      <w:bookmarkStart w:id="1094" w:name="_Toc29395"/>
      <w:r>
        <w:rPr>
          <w:rFonts w:hint="eastAsia"/>
        </w:rPr>
        <w:t>安全管理及应急救援单元</w:t>
      </w:r>
      <w:bookmarkEnd w:id="1087"/>
      <w:bookmarkEnd w:id="1088"/>
      <w:bookmarkEnd w:id="1089"/>
      <w:bookmarkEnd w:id="1090"/>
      <w:bookmarkEnd w:id="1091"/>
      <w:bookmarkEnd w:id="1092"/>
      <w:bookmarkEnd w:id="1093"/>
      <w:bookmarkEnd w:id="1094"/>
    </w:p>
    <w:p w14:paraId="3E84597B">
      <w:pPr>
        <w:keepNext w:val="0"/>
        <w:keepLines w:val="0"/>
        <w:pageBreakBefore w:val="0"/>
        <w:widowControl w:val="0"/>
        <w:kinsoku/>
        <w:wordWrap/>
        <w:topLinePunct/>
        <w:bidi w:val="0"/>
        <w:ind w:firstLine="560"/>
        <w:rPr>
          <w:szCs w:val="28"/>
        </w:rPr>
      </w:pPr>
      <w:r>
        <w:rPr>
          <w:rFonts w:hint="eastAsia"/>
          <w:bCs/>
          <w:szCs w:val="28"/>
        </w:rPr>
        <w:t>根据</w:t>
      </w:r>
      <w:r>
        <w:rPr>
          <w:rFonts w:hint="eastAsia"/>
          <w:szCs w:val="28"/>
        </w:rPr>
        <w:t>《中华人民共和国安全生产法</w:t>
      </w:r>
      <w:r>
        <w:rPr>
          <w:rFonts w:hint="eastAsia"/>
          <w:szCs w:val="28"/>
          <w:lang w:eastAsia="zh-CN"/>
        </w:rPr>
        <w:t>》《</w:t>
      </w:r>
      <w:r>
        <w:rPr>
          <w:rFonts w:hint="eastAsia"/>
          <w:szCs w:val="28"/>
        </w:rPr>
        <w:t>生产经营单位生产安全事故应急预案编制导则》（</w:t>
      </w:r>
      <w:r>
        <w:rPr>
          <w:szCs w:val="28"/>
        </w:rPr>
        <w:t>GB/T29639-2020</w:t>
      </w:r>
      <w:r>
        <w:rPr>
          <w:rFonts w:hint="eastAsia"/>
          <w:szCs w:val="28"/>
        </w:rPr>
        <w:t>）、《生产安全事故应急预案管理办法》（国家安全生产监督管理总局令第</w:t>
      </w:r>
      <w:r>
        <w:rPr>
          <w:szCs w:val="28"/>
        </w:rPr>
        <w:t>88</w:t>
      </w:r>
      <w:r>
        <w:rPr>
          <w:rFonts w:hint="eastAsia"/>
          <w:szCs w:val="28"/>
        </w:rPr>
        <w:t>号，根据中华人民共和国应急管理部令第</w:t>
      </w:r>
      <w:r>
        <w:rPr>
          <w:szCs w:val="28"/>
        </w:rPr>
        <w:t>2</w:t>
      </w:r>
      <w:r>
        <w:rPr>
          <w:rFonts w:hint="eastAsia"/>
          <w:szCs w:val="28"/>
        </w:rPr>
        <w:t>号修正）、《生产安全事故应急条例》（中华人民共和国国务院令第</w:t>
      </w:r>
      <w:r>
        <w:rPr>
          <w:szCs w:val="28"/>
        </w:rPr>
        <w:t>708</w:t>
      </w:r>
      <w:r>
        <w:rPr>
          <w:rFonts w:hint="eastAsia"/>
          <w:szCs w:val="28"/>
        </w:rPr>
        <w:t>号）等</w:t>
      </w:r>
      <w:r>
        <w:rPr>
          <w:rFonts w:hint="eastAsia"/>
          <w:szCs w:val="28"/>
          <w:lang w:eastAsia="zh-CN"/>
        </w:rPr>
        <w:t>法律法规</w:t>
      </w:r>
      <w:r>
        <w:rPr>
          <w:rFonts w:hint="eastAsia"/>
          <w:szCs w:val="28"/>
        </w:rPr>
        <w:t>的要求，对本项目的安全管理组织与制度、机构设置、安全管理人员配备、安全运行管理、应急管理等进行分析评价。</w:t>
      </w:r>
    </w:p>
    <w:p w14:paraId="603F1233">
      <w:pPr>
        <w:pStyle w:val="4"/>
        <w:keepNext w:val="0"/>
        <w:keepLines w:val="0"/>
        <w:pageBreakBefore w:val="0"/>
        <w:widowControl w:val="0"/>
        <w:kinsoku/>
        <w:bidi w:val="0"/>
        <w:ind w:left="720" w:leftChars="0" w:hanging="720" w:firstLineChars="0"/>
      </w:pPr>
      <w:bookmarkStart w:id="1095" w:name="_Toc55945328"/>
      <w:bookmarkStart w:id="1096" w:name="_Toc498519859"/>
      <w:bookmarkStart w:id="1097" w:name="_Toc4707"/>
      <w:bookmarkStart w:id="1098" w:name="_Toc60925437"/>
      <w:bookmarkStart w:id="1099" w:name="_Toc498299389"/>
      <w:bookmarkStart w:id="1100" w:name="_Toc500007195"/>
      <w:bookmarkStart w:id="1101" w:name="_Toc46697265"/>
      <w:bookmarkStart w:id="1102" w:name="_Toc16282"/>
      <w:r>
        <w:rPr>
          <w:rFonts w:hint="eastAsia"/>
        </w:rPr>
        <w:t>组织与制度</w:t>
      </w:r>
      <w:bookmarkEnd w:id="1095"/>
      <w:bookmarkEnd w:id="1096"/>
      <w:bookmarkEnd w:id="1097"/>
      <w:bookmarkEnd w:id="1098"/>
      <w:bookmarkEnd w:id="1099"/>
      <w:bookmarkEnd w:id="1100"/>
      <w:bookmarkEnd w:id="1101"/>
      <w:bookmarkEnd w:id="1102"/>
    </w:p>
    <w:p w14:paraId="0EBF5418">
      <w:pPr>
        <w:pStyle w:val="12"/>
        <w:keepNext w:val="0"/>
        <w:keepLines w:val="0"/>
        <w:pageBreakBefore w:val="0"/>
        <w:widowControl w:val="0"/>
        <w:kinsoku/>
        <w:wordWrap/>
        <w:bidi w:val="0"/>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13</w:t>
      </w:r>
      <w:r>
        <w:rPr>
          <w:rFonts w:hint="eastAsia"/>
          <w:lang w:val="en-US" w:eastAsia="zh-CN"/>
        </w:rPr>
        <w:fldChar w:fldCharType="end"/>
      </w:r>
      <w:r>
        <w:rPr>
          <w:rFonts w:hint="eastAsia"/>
        </w:rPr>
        <w:t>组织与制度安全检查表</w:t>
      </w:r>
    </w:p>
    <w:tbl>
      <w:tblPr>
        <w:tblStyle w:val="32"/>
        <w:tblW w:w="86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3"/>
        <w:gridCol w:w="3297"/>
        <w:gridCol w:w="2118"/>
        <w:gridCol w:w="2406"/>
        <w:gridCol w:w="401"/>
      </w:tblGrid>
      <w:tr w14:paraId="04187A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33" w:type="dxa"/>
            <w:tcBorders>
              <w:tl2br w:val="nil"/>
              <w:tr2bl w:val="nil"/>
            </w:tcBorders>
            <w:noWrap w:val="0"/>
            <w:vAlign w:val="center"/>
          </w:tcPr>
          <w:p w14:paraId="4F6DCB71">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序号</w:t>
            </w:r>
          </w:p>
        </w:tc>
        <w:tc>
          <w:tcPr>
            <w:tcW w:w="3297" w:type="dxa"/>
            <w:tcBorders>
              <w:tl2br w:val="nil"/>
              <w:tr2bl w:val="nil"/>
            </w:tcBorders>
            <w:noWrap w:val="0"/>
            <w:vAlign w:val="center"/>
          </w:tcPr>
          <w:p w14:paraId="3D903E5D">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检查内容</w:t>
            </w:r>
          </w:p>
        </w:tc>
        <w:tc>
          <w:tcPr>
            <w:tcW w:w="2118" w:type="dxa"/>
            <w:tcBorders>
              <w:tl2br w:val="nil"/>
              <w:tr2bl w:val="nil"/>
            </w:tcBorders>
            <w:noWrap w:val="0"/>
            <w:vAlign w:val="center"/>
          </w:tcPr>
          <w:p w14:paraId="3935324F">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依据标准</w:t>
            </w:r>
          </w:p>
        </w:tc>
        <w:tc>
          <w:tcPr>
            <w:tcW w:w="2406" w:type="dxa"/>
            <w:tcBorders>
              <w:tl2br w:val="nil"/>
              <w:tr2bl w:val="nil"/>
            </w:tcBorders>
            <w:noWrap w:val="0"/>
            <w:vAlign w:val="center"/>
          </w:tcPr>
          <w:p w14:paraId="10DBCB27">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检查情况</w:t>
            </w:r>
          </w:p>
        </w:tc>
        <w:tc>
          <w:tcPr>
            <w:tcW w:w="401" w:type="dxa"/>
            <w:tcBorders>
              <w:tl2br w:val="nil"/>
              <w:tr2bl w:val="nil"/>
            </w:tcBorders>
            <w:noWrap w:val="0"/>
            <w:vAlign w:val="center"/>
          </w:tcPr>
          <w:p w14:paraId="2C98D40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结论</w:t>
            </w:r>
          </w:p>
        </w:tc>
      </w:tr>
      <w:tr w14:paraId="423530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3" w:type="dxa"/>
            <w:tcBorders>
              <w:tl2br w:val="nil"/>
              <w:tr2bl w:val="nil"/>
            </w:tcBorders>
            <w:noWrap w:val="0"/>
            <w:vAlign w:val="center"/>
          </w:tcPr>
          <w:p w14:paraId="05F6D7AB">
            <w:pPr>
              <w:keepNext w:val="0"/>
              <w:keepLines w:val="0"/>
              <w:pageBreakBefore w:val="0"/>
              <w:widowControl w:val="0"/>
              <w:numPr>
                <w:ilvl w:val="0"/>
                <w:numId w:val="125"/>
              </w:numPr>
              <w:suppressLineNumbers w:val="0"/>
              <w:kinsoku/>
              <w:wordWrap/>
              <w:bidi w:val="0"/>
              <w:spacing w:before="0" w:beforeAutospacing="0" w:after="0" w:afterAutospacing="0"/>
              <w:ind w:left="425" w:leftChars="0" w:right="0" w:hanging="425" w:firstLineChars="0"/>
              <w:jc w:val="center"/>
              <w:rPr>
                <w:rFonts w:hint="eastAsia" w:ascii="宋体" w:hAnsi="宋体" w:eastAsia="宋体" w:cs="宋体"/>
                <w:kern w:val="2"/>
                <w:sz w:val="21"/>
                <w:szCs w:val="21"/>
                <w:lang w:val="en-US" w:eastAsia="zh-CN" w:bidi="ar-SA"/>
              </w:rPr>
            </w:pPr>
          </w:p>
        </w:tc>
        <w:tc>
          <w:tcPr>
            <w:tcW w:w="3297" w:type="dxa"/>
            <w:tcBorders>
              <w:tl2br w:val="nil"/>
              <w:tr2bl w:val="nil"/>
            </w:tcBorders>
            <w:noWrap w:val="0"/>
            <w:vAlign w:val="center"/>
          </w:tcPr>
          <w:p w14:paraId="6475C316">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生产经营单位必须遵守本法和其他有关安全生产的</w:t>
            </w:r>
            <w:r>
              <w:rPr>
                <w:rFonts w:hint="eastAsia" w:ascii="宋体" w:hAnsi="宋体" w:cs="宋体"/>
                <w:sz w:val="21"/>
                <w:szCs w:val="21"/>
                <w:lang w:eastAsia="zh-CN"/>
              </w:rPr>
              <w:t>法律法规</w:t>
            </w:r>
            <w:r>
              <w:rPr>
                <w:rFonts w:hint="eastAsia" w:ascii="宋体" w:hAnsi="宋体" w:eastAsia="宋体" w:cs="宋体"/>
                <w:sz w:val="21"/>
                <w:szCs w:val="21"/>
              </w:rPr>
              <w:t>，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7DB8CE2B">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平台经济等新兴行业、领域的生产经营单位应当根据本行业、领域的特点，建立健全并落实全员安全生产责任制，加强从业人员安全生产教育和培训，履行本法和其他</w:t>
            </w:r>
            <w:r>
              <w:rPr>
                <w:rFonts w:hint="eastAsia" w:ascii="宋体" w:hAnsi="宋体" w:cs="宋体"/>
                <w:sz w:val="21"/>
                <w:szCs w:val="21"/>
                <w:lang w:eastAsia="zh-CN"/>
              </w:rPr>
              <w:t>法律法规</w:t>
            </w:r>
            <w:r>
              <w:rPr>
                <w:rFonts w:hint="eastAsia" w:ascii="宋体" w:hAnsi="宋体" w:eastAsia="宋体" w:cs="宋体"/>
                <w:sz w:val="21"/>
                <w:szCs w:val="21"/>
              </w:rPr>
              <w:t>规定的有关安全生产义务。</w:t>
            </w:r>
          </w:p>
        </w:tc>
        <w:tc>
          <w:tcPr>
            <w:tcW w:w="2118" w:type="dxa"/>
            <w:tcBorders>
              <w:tl2br w:val="nil"/>
              <w:tr2bl w:val="nil"/>
            </w:tcBorders>
            <w:noWrap w:val="0"/>
            <w:vAlign w:val="center"/>
          </w:tcPr>
          <w:p w14:paraId="3EE0731C">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09769C0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第四条</w:t>
            </w:r>
          </w:p>
        </w:tc>
        <w:tc>
          <w:tcPr>
            <w:tcW w:w="2406" w:type="dxa"/>
            <w:tcBorders>
              <w:tl2br w:val="nil"/>
              <w:tr2bl w:val="nil"/>
            </w:tcBorders>
            <w:noWrap w:val="0"/>
            <w:vAlign w:val="center"/>
          </w:tcPr>
          <w:p w14:paraId="6DBAD6E0">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该公司建立健全全员安全生产责任制和安全生产规章制度</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未</w:t>
            </w:r>
            <w:r>
              <w:rPr>
                <w:rFonts w:hint="eastAsia" w:ascii="宋体" w:hAnsi="宋体" w:eastAsia="宋体" w:cs="宋体"/>
                <w:sz w:val="21"/>
                <w:szCs w:val="21"/>
              </w:rPr>
              <w:t>构建安全风险分级管控和隐患排查治理双重预防机制。</w:t>
            </w:r>
          </w:p>
        </w:tc>
        <w:tc>
          <w:tcPr>
            <w:tcW w:w="401" w:type="dxa"/>
            <w:tcBorders>
              <w:tl2br w:val="nil"/>
              <w:tr2bl w:val="nil"/>
            </w:tcBorders>
            <w:noWrap w:val="0"/>
            <w:vAlign w:val="center"/>
          </w:tcPr>
          <w:p w14:paraId="7D56EB8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cs="宋体"/>
                <w:sz w:val="21"/>
                <w:szCs w:val="21"/>
                <w:lang w:val="en-US" w:eastAsia="zh-CN"/>
              </w:rPr>
              <w:t>不</w:t>
            </w:r>
            <w:r>
              <w:rPr>
                <w:rFonts w:hint="eastAsia" w:ascii="宋体" w:hAnsi="宋体" w:eastAsia="宋体" w:cs="宋体"/>
                <w:sz w:val="21"/>
                <w:szCs w:val="21"/>
              </w:rPr>
              <w:t>符合</w:t>
            </w:r>
          </w:p>
        </w:tc>
      </w:tr>
      <w:tr w14:paraId="4DDFB1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3" w:type="dxa"/>
            <w:tcBorders>
              <w:tl2br w:val="nil"/>
              <w:tr2bl w:val="nil"/>
            </w:tcBorders>
            <w:noWrap w:val="0"/>
            <w:vAlign w:val="center"/>
          </w:tcPr>
          <w:p w14:paraId="516755E6">
            <w:pPr>
              <w:keepNext w:val="0"/>
              <w:keepLines w:val="0"/>
              <w:pageBreakBefore w:val="0"/>
              <w:widowControl w:val="0"/>
              <w:numPr>
                <w:ilvl w:val="0"/>
                <w:numId w:val="125"/>
              </w:numPr>
              <w:suppressLineNumbers w:val="0"/>
              <w:kinsoku/>
              <w:wordWrap/>
              <w:bidi w:val="0"/>
              <w:spacing w:before="0" w:beforeAutospacing="0" w:after="0" w:afterAutospacing="0"/>
              <w:ind w:left="425" w:leftChars="0" w:right="0" w:hanging="425" w:firstLineChars="0"/>
              <w:jc w:val="center"/>
              <w:rPr>
                <w:rFonts w:hint="eastAsia" w:ascii="宋体" w:hAnsi="宋体" w:eastAsia="宋体" w:cs="宋体"/>
                <w:kern w:val="2"/>
                <w:sz w:val="21"/>
                <w:szCs w:val="21"/>
                <w:lang w:val="en-US" w:eastAsia="zh-CN" w:bidi="ar-SA"/>
              </w:rPr>
            </w:pPr>
          </w:p>
        </w:tc>
        <w:tc>
          <w:tcPr>
            <w:tcW w:w="3297" w:type="dxa"/>
            <w:tcBorders>
              <w:tl2br w:val="nil"/>
              <w:tr2bl w:val="nil"/>
            </w:tcBorders>
            <w:noWrap w:val="0"/>
            <w:vAlign w:val="center"/>
          </w:tcPr>
          <w:p w14:paraId="639F4B3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生产经营单位的主要负责人是本单位安全生产第一责任人，对本单位的安全生产工作全面负责。其他负责人对职责范围内的安全生产工作负责。</w:t>
            </w:r>
          </w:p>
        </w:tc>
        <w:tc>
          <w:tcPr>
            <w:tcW w:w="2118" w:type="dxa"/>
            <w:tcBorders>
              <w:tl2br w:val="nil"/>
              <w:tr2bl w:val="nil"/>
            </w:tcBorders>
            <w:noWrap w:val="0"/>
            <w:vAlign w:val="center"/>
          </w:tcPr>
          <w:p w14:paraId="6E711C3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5AC3EB78">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第五条</w:t>
            </w:r>
          </w:p>
        </w:tc>
        <w:tc>
          <w:tcPr>
            <w:tcW w:w="2406" w:type="dxa"/>
            <w:tcBorders>
              <w:tl2br w:val="nil"/>
              <w:tr2bl w:val="nil"/>
            </w:tcBorders>
            <w:noWrap w:val="0"/>
            <w:vAlign w:val="center"/>
          </w:tcPr>
          <w:p w14:paraId="3EDB8F3F">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该公司主要负责人是本单位安全生产第一责任人，对本单位的安全生产工作全面负责。其他负责人对职责范围内的安全生产工作负责。</w:t>
            </w:r>
          </w:p>
        </w:tc>
        <w:tc>
          <w:tcPr>
            <w:tcW w:w="401" w:type="dxa"/>
            <w:tcBorders>
              <w:tl2br w:val="nil"/>
              <w:tr2bl w:val="nil"/>
            </w:tcBorders>
            <w:noWrap w:val="0"/>
            <w:vAlign w:val="center"/>
          </w:tcPr>
          <w:p w14:paraId="59DB2AF0">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5D3C35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3" w:type="dxa"/>
            <w:tcBorders>
              <w:tl2br w:val="nil"/>
              <w:tr2bl w:val="nil"/>
            </w:tcBorders>
            <w:noWrap w:val="0"/>
            <w:vAlign w:val="center"/>
          </w:tcPr>
          <w:p w14:paraId="4D5645EA">
            <w:pPr>
              <w:keepNext w:val="0"/>
              <w:keepLines w:val="0"/>
              <w:pageBreakBefore w:val="0"/>
              <w:widowControl w:val="0"/>
              <w:numPr>
                <w:ilvl w:val="0"/>
                <w:numId w:val="125"/>
              </w:numPr>
              <w:suppressLineNumbers w:val="0"/>
              <w:kinsoku/>
              <w:wordWrap/>
              <w:bidi w:val="0"/>
              <w:spacing w:before="0" w:beforeAutospacing="0" w:after="0" w:afterAutospacing="0"/>
              <w:ind w:left="425" w:leftChars="0" w:right="0" w:hanging="425" w:firstLineChars="0"/>
              <w:jc w:val="center"/>
              <w:rPr>
                <w:rFonts w:hint="eastAsia" w:ascii="宋体" w:hAnsi="宋体" w:eastAsia="宋体" w:cs="宋体"/>
                <w:kern w:val="2"/>
                <w:sz w:val="21"/>
                <w:szCs w:val="21"/>
                <w:lang w:val="en-US" w:eastAsia="zh-CN" w:bidi="ar-SA"/>
              </w:rPr>
            </w:pPr>
          </w:p>
        </w:tc>
        <w:tc>
          <w:tcPr>
            <w:tcW w:w="3297" w:type="dxa"/>
            <w:tcBorders>
              <w:tl2br w:val="nil"/>
              <w:tr2bl w:val="nil"/>
            </w:tcBorders>
            <w:noWrap w:val="0"/>
            <w:vAlign w:val="center"/>
          </w:tcPr>
          <w:p w14:paraId="55CCB68F">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生产经营单位应当具备本法和有关法律、行政法规和国家标准或者行业标准规定的安全生产条件；不具备安全生产条件的，不得从事生产经营活动。</w:t>
            </w:r>
          </w:p>
        </w:tc>
        <w:tc>
          <w:tcPr>
            <w:tcW w:w="2118" w:type="dxa"/>
            <w:tcBorders>
              <w:tl2br w:val="nil"/>
              <w:tr2bl w:val="nil"/>
            </w:tcBorders>
            <w:noWrap w:val="0"/>
            <w:vAlign w:val="center"/>
          </w:tcPr>
          <w:p w14:paraId="0BE7E4FC">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655201A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第二十条</w:t>
            </w:r>
          </w:p>
        </w:tc>
        <w:tc>
          <w:tcPr>
            <w:tcW w:w="2406" w:type="dxa"/>
            <w:tcBorders>
              <w:tl2br w:val="nil"/>
              <w:tr2bl w:val="nil"/>
            </w:tcBorders>
            <w:noWrap w:val="0"/>
            <w:vAlign w:val="center"/>
          </w:tcPr>
          <w:p w14:paraId="4C79043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该公司具备本法和有关法律、行政法规和国家标准或者行业标准规定的安全生产条件。</w:t>
            </w:r>
          </w:p>
        </w:tc>
        <w:tc>
          <w:tcPr>
            <w:tcW w:w="401" w:type="dxa"/>
            <w:tcBorders>
              <w:tl2br w:val="nil"/>
              <w:tr2bl w:val="nil"/>
            </w:tcBorders>
            <w:noWrap w:val="0"/>
            <w:vAlign w:val="center"/>
          </w:tcPr>
          <w:p w14:paraId="1D99B117">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66188C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3" w:type="dxa"/>
            <w:tcBorders>
              <w:tl2br w:val="nil"/>
              <w:tr2bl w:val="nil"/>
            </w:tcBorders>
            <w:noWrap w:val="0"/>
            <w:vAlign w:val="center"/>
          </w:tcPr>
          <w:p w14:paraId="7CF43EBA">
            <w:pPr>
              <w:keepNext w:val="0"/>
              <w:keepLines w:val="0"/>
              <w:pageBreakBefore w:val="0"/>
              <w:widowControl w:val="0"/>
              <w:numPr>
                <w:ilvl w:val="0"/>
                <w:numId w:val="125"/>
              </w:numPr>
              <w:suppressLineNumbers w:val="0"/>
              <w:kinsoku/>
              <w:wordWrap/>
              <w:bidi w:val="0"/>
              <w:spacing w:before="0" w:beforeAutospacing="0" w:after="0" w:afterAutospacing="0"/>
              <w:ind w:left="425" w:leftChars="0" w:right="0" w:hanging="425" w:firstLineChars="0"/>
              <w:jc w:val="center"/>
              <w:rPr>
                <w:rFonts w:hint="eastAsia" w:ascii="宋体" w:hAnsi="宋体" w:eastAsia="宋体" w:cs="宋体"/>
                <w:kern w:val="2"/>
                <w:sz w:val="21"/>
                <w:szCs w:val="21"/>
                <w:lang w:val="en-US" w:eastAsia="zh-CN" w:bidi="ar-SA"/>
              </w:rPr>
            </w:pPr>
          </w:p>
        </w:tc>
        <w:tc>
          <w:tcPr>
            <w:tcW w:w="3297" w:type="dxa"/>
            <w:tcBorders>
              <w:tl2br w:val="nil"/>
              <w:tr2bl w:val="nil"/>
            </w:tcBorders>
            <w:noWrap w:val="0"/>
            <w:vAlign w:val="center"/>
          </w:tcPr>
          <w:p w14:paraId="6DFD8B9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生产经营单位的主要负责人对本单位安全生产工作负有下列职责</w:t>
            </w:r>
            <w:r>
              <w:rPr>
                <w:rFonts w:hint="eastAsia" w:ascii="宋体" w:hAnsi="宋体" w:cs="宋体"/>
                <w:sz w:val="21"/>
                <w:szCs w:val="21"/>
                <w:lang w:eastAsia="zh-CN"/>
              </w:rPr>
              <w:t>：</w:t>
            </w:r>
          </w:p>
          <w:p w14:paraId="4EA9FB70">
            <w:pPr>
              <w:keepNext w:val="0"/>
              <w:keepLines w:val="0"/>
              <w:pageBreakBefore w:val="0"/>
              <w:widowControl w:val="0"/>
              <w:numPr>
                <w:ilvl w:val="0"/>
                <w:numId w:val="126"/>
              </w:numPr>
              <w:suppressLineNumbers w:val="0"/>
              <w:kinsoku/>
              <w:wordWrap/>
              <w:overflowPunct/>
              <w:topLinePunct w:val="0"/>
              <w:autoSpaceDE/>
              <w:autoSpaceDN/>
              <w:bidi w:val="0"/>
              <w:adjustRightInd/>
              <w:snapToGrid/>
              <w:spacing w:before="0" w:beforeAutospacing="0" w:after="0" w:afterAutospacing="0" w:line="280" w:lineRule="exact"/>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建立健全并落实本单位全员安全生产责任制，加强安全生产标准化建设；</w:t>
            </w:r>
          </w:p>
          <w:p w14:paraId="75D2F840">
            <w:pPr>
              <w:keepNext w:val="0"/>
              <w:keepLines w:val="0"/>
              <w:pageBreakBefore w:val="0"/>
              <w:widowControl w:val="0"/>
              <w:numPr>
                <w:ilvl w:val="0"/>
                <w:numId w:val="126"/>
              </w:numPr>
              <w:suppressLineNumbers w:val="0"/>
              <w:kinsoku/>
              <w:wordWrap/>
              <w:overflowPunct/>
              <w:topLinePunct w:val="0"/>
              <w:autoSpaceDE/>
              <w:autoSpaceDN/>
              <w:bidi w:val="0"/>
              <w:adjustRightInd/>
              <w:snapToGrid/>
              <w:spacing w:before="0" w:beforeAutospacing="0" w:after="0" w:afterAutospacing="0" w:line="280" w:lineRule="exact"/>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组织制定并实施本单位安全生产规章制度和操作规程；</w:t>
            </w:r>
          </w:p>
          <w:p w14:paraId="15CE8328">
            <w:pPr>
              <w:keepNext w:val="0"/>
              <w:keepLines w:val="0"/>
              <w:pageBreakBefore w:val="0"/>
              <w:widowControl w:val="0"/>
              <w:numPr>
                <w:ilvl w:val="0"/>
                <w:numId w:val="126"/>
              </w:numPr>
              <w:suppressLineNumbers w:val="0"/>
              <w:kinsoku/>
              <w:wordWrap/>
              <w:overflowPunct/>
              <w:topLinePunct w:val="0"/>
              <w:autoSpaceDE/>
              <w:autoSpaceDN/>
              <w:bidi w:val="0"/>
              <w:adjustRightInd/>
              <w:snapToGrid/>
              <w:spacing w:before="0" w:beforeAutospacing="0" w:after="0" w:afterAutospacing="0" w:line="280" w:lineRule="exact"/>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组织制定并实施本单位安全生产教育和培训计划；</w:t>
            </w:r>
          </w:p>
          <w:p w14:paraId="0E067891">
            <w:pPr>
              <w:keepNext w:val="0"/>
              <w:keepLines w:val="0"/>
              <w:pageBreakBefore w:val="0"/>
              <w:widowControl w:val="0"/>
              <w:numPr>
                <w:ilvl w:val="0"/>
                <w:numId w:val="126"/>
              </w:numPr>
              <w:suppressLineNumbers w:val="0"/>
              <w:kinsoku/>
              <w:wordWrap/>
              <w:overflowPunct/>
              <w:topLinePunct w:val="0"/>
              <w:autoSpaceDE/>
              <w:autoSpaceDN/>
              <w:bidi w:val="0"/>
              <w:adjustRightInd/>
              <w:snapToGrid/>
              <w:spacing w:before="0" w:beforeAutospacing="0" w:after="0" w:afterAutospacing="0" w:line="280" w:lineRule="exact"/>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保证本单位安全生产投入的有效实施；</w:t>
            </w:r>
          </w:p>
          <w:p w14:paraId="4B2C6337">
            <w:pPr>
              <w:keepNext w:val="0"/>
              <w:keepLines w:val="0"/>
              <w:pageBreakBefore w:val="0"/>
              <w:widowControl w:val="0"/>
              <w:numPr>
                <w:ilvl w:val="0"/>
                <w:numId w:val="126"/>
              </w:numPr>
              <w:suppressLineNumbers w:val="0"/>
              <w:kinsoku/>
              <w:wordWrap/>
              <w:overflowPunct/>
              <w:topLinePunct w:val="0"/>
              <w:autoSpaceDE/>
              <w:autoSpaceDN/>
              <w:bidi w:val="0"/>
              <w:adjustRightInd/>
              <w:snapToGrid/>
              <w:spacing w:before="0" w:beforeAutospacing="0" w:after="0" w:afterAutospacing="0" w:line="280" w:lineRule="exact"/>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组织建立并落实安全风险分级管控和隐患排查治理双重预防工作机制，督促、检查本单位的安全生产工作，及时消除生产安全事故隐患；</w:t>
            </w:r>
          </w:p>
          <w:p w14:paraId="68AB836E">
            <w:pPr>
              <w:keepNext w:val="0"/>
              <w:keepLines w:val="0"/>
              <w:pageBreakBefore w:val="0"/>
              <w:widowControl w:val="0"/>
              <w:numPr>
                <w:ilvl w:val="0"/>
                <w:numId w:val="126"/>
              </w:numPr>
              <w:suppressLineNumbers w:val="0"/>
              <w:kinsoku/>
              <w:wordWrap/>
              <w:overflowPunct/>
              <w:topLinePunct w:val="0"/>
              <w:autoSpaceDE/>
              <w:autoSpaceDN/>
              <w:bidi w:val="0"/>
              <w:adjustRightInd/>
              <w:snapToGrid/>
              <w:spacing w:before="0" w:beforeAutospacing="0" w:after="0" w:afterAutospacing="0" w:line="280" w:lineRule="exact"/>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组织制定并实施本单位的生产安全事故应急救援预案；</w:t>
            </w:r>
          </w:p>
          <w:p w14:paraId="038D2CCC">
            <w:pPr>
              <w:keepNext w:val="0"/>
              <w:keepLines w:val="0"/>
              <w:pageBreakBefore w:val="0"/>
              <w:widowControl w:val="0"/>
              <w:numPr>
                <w:ilvl w:val="0"/>
                <w:numId w:val="126"/>
              </w:numPr>
              <w:suppressLineNumbers w:val="0"/>
              <w:kinsoku/>
              <w:wordWrap/>
              <w:overflowPunct/>
              <w:topLinePunct w:val="0"/>
              <w:autoSpaceDE/>
              <w:autoSpaceDN/>
              <w:bidi w:val="0"/>
              <w:adjustRightInd/>
              <w:snapToGrid/>
              <w:spacing w:before="0" w:beforeAutospacing="0" w:after="0" w:afterAutospacing="0" w:line="280" w:lineRule="exact"/>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及时、如实报告生产安全事故。</w:t>
            </w:r>
          </w:p>
        </w:tc>
        <w:tc>
          <w:tcPr>
            <w:tcW w:w="2118" w:type="dxa"/>
            <w:tcBorders>
              <w:tl2br w:val="nil"/>
              <w:tr2bl w:val="nil"/>
            </w:tcBorders>
            <w:noWrap w:val="0"/>
            <w:vAlign w:val="center"/>
          </w:tcPr>
          <w:p w14:paraId="7538D693">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351B2829">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第二十一条</w:t>
            </w:r>
          </w:p>
        </w:tc>
        <w:tc>
          <w:tcPr>
            <w:tcW w:w="2406" w:type="dxa"/>
            <w:tcBorders>
              <w:tl2br w:val="nil"/>
              <w:tr2bl w:val="nil"/>
            </w:tcBorders>
            <w:noWrap w:val="0"/>
            <w:vAlign w:val="center"/>
          </w:tcPr>
          <w:p w14:paraId="24A7101D">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该公司的主要负责人对该单位的安全生产工作负相关职责，按照国家</w:t>
            </w:r>
            <w:r>
              <w:rPr>
                <w:rFonts w:hint="eastAsia" w:ascii="宋体" w:hAnsi="宋体" w:cs="宋体"/>
                <w:sz w:val="21"/>
                <w:szCs w:val="21"/>
                <w:lang w:eastAsia="zh-CN"/>
              </w:rPr>
              <w:t>法律法规</w:t>
            </w:r>
            <w:r>
              <w:rPr>
                <w:rFonts w:hint="eastAsia" w:ascii="宋体" w:hAnsi="宋体" w:eastAsia="宋体" w:cs="宋体"/>
                <w:sz w:val="21"/>
                <w:szCs w:val="21"/>
              </w:rPr>
              <w:t>，结合自身实际，制定了各级人员安全生产责任制和安全管理制度，并根据生产特点制定了相应的操作规程。</w:t>
            </w:r>
          </w:p>
        </w:tc>
        <w:tc>
          <w:tcPr>
            <w:tcW w:w="401" w:type="dxa"/>
            <w:tcBorders>
              <w:tl2br w:val="nil"/>
              <w:tr2bl w:val="nil"/>
            </w:tcBorders>
            <w:noWrap w:val="0"/>
            <w:vAlign w:val="center"/>
          </w:tcPr>
          <w:p w14:paraId="2CFBEFF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0931EB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3" w:type="dxa"/>
            <w:tcBorders>
              <w:tl2br w:val="nil"/>
              <w:tr2bl w:val="nil"/>
            </w:tcBorders>
            <w:noWrap w:val="0"/>
            <w:vAlign w:val="center"/>
          </w:tcPr>
          <w:p w14:paraId="60BAE564">
            <w:pPr>
              <w:keepNext w:val="0"/>
              <w:keepLines w:val="0"/>
              <w:pageBreakBefore w:val="0"/>
              <w:widowControl w:val="0"/>
              <w:numPr>
                <w:ilvl w:val="0"/>
                <w:numId w:val="125"/>
              </w:numPr>
              <w:suppressLineNumbers w:val="0"/>
              <w:kinsoku/>
              <w:wordWrap/>
              <w:bidi w:val="0"/>
              <w:spacing w:before="0" w:beforeAutospacing="0" w:after="0" w:afterAutospacing="0"/>
              <w:ind w:left="425" w:leftChars="0" w:right="0" w:hanging="425" w:firstLineChars="0"/>
              <w:jc w:val="center"/>
              <w:rPr>
                <w:rFonts w:hint="eastAsia" w:ascii="宋体" w:hAnsi="宋体" w:eastAsia="宋体" w:cs="宋体"/>
                <w:kern w:val="2"/>
                <w:sz w:val="21"/>
                <w:szCs w:val="21"/>
                <w:lang w:val="en-US" w:eastAsia="zh-CN" w:bidi="ar-SA"/>
              </w:rPr>
            </w:pPr>
          </w:p>
        </w:tc>
        <w:tc>
          <w:tcPr>
            <w:tcW w:w="3297" w:type="dxa"/>
            <w:tcBorders>
              <w:tl2br w:val="nil"/>
              <w:tr2bl w:val="nil"/>
            </w:tcBorders>
            <w:noWrap w:val="0"/>
            <w:vAlign w:val="center"/>
          </w:tcPr>
          <w:p w14:paraId="7B92C068">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生产经营单位的全员安全生产责任制应当明确各岗位的责任人员、责任范围和考核标准等内容。</w:t>
            </w:r>
          </w:p>
          <w:p w14:paraId="1D0D7B4B">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生产经营单位应当建立相应的机制，加强对全员安全生产责任制落实情况的监督考核，保证全员安全生产责任制的落实。</w:t>
            </w:r>
          </w:p>
        </w:tc>
        <w:tc>
          <w:tcPr>
            <w:tcW w:w="2118" w:type="dxa"/>
            <w:tcBorders>
              <w:tl2br w:val="nil"/>
              <w:tr2bl w:val="nil"/>
            </w:tcBorders>
            <w:noWrap w:val="0"/>
            <w:vAlign w:val="center"/>
          </w:tcPr>
          <w:p w14:paraId="3FC4A9E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76CA326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第二十二条</w:t>
            </w:r>
          </w:p>
        </w:tc>
        <w:tc>
          <w:tcPr>
            <w:tcW w:w="2406" w:type="dxa"/>
            <w:tcBorders>
              <w:tl2br w:val="nil"/>
              <w:tr2bl w:val="nil"/>
            </w:tcBorders>
            <w:noWrap w:val="0"/>
            <w:vAlign w:val="center"/>
          </w:tcPr>
          <w:p w14:paraId="26EF338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该公司的安全生产责任制明确了各岗位的责任人员、责任范围和考核标准等内容。</w:t>
            </w:r>
          </w:p>
        </w:tc>
        <w:tc>
          <w:tcPr>
            <w:tcW w:w="401" w:type="dxa"/>
            <w:tcBorders>
              <w:tl2br w:val="nil"/>
              <w:tr2bl w:val="nil"/>
            </w:tcBorders>
            <w:noWrap w:val="0"/>
            <w:vAlign w:val="center"/>
          </w:tcPr>
          <w:p w14:paraId="3EFD9697">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690368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3" w:type="dxa"/>
            <w:tcBorders>
              <w:tl2br w:val="nil"/>
              <w:tr2bl w:val="nil"/>
            </w:tcBorders>
            <w:noWrap w:val="0"/>
            <w:vAlign w:val="center"/>
          </w:tcPr>
          <w:p w14:paraId="553F4B30">
            <w:pPr>
              <w:keepNext w:val="0"/>
              <w:keepLines w:val="0"/>
              <w:pageBreakBefore w:val="0"/>
              <w:widowControl w:val="0"/>
              <w:numPr>
                <w:ilvl w:val="0"/>
                <w:numId w:val="125"/>
              </w:numPr>
              <w:suppressLineNumbers w:val="0"/>
              <w:kinsoku/>
              <w:wordWrap/>
              <w:bidi w:val="0"/>
              <w:spacing w:before="0" w:beforeAutospacing="0" w:after="0" w:afterAutospacing="0"/>
              <w:ind w:left="425" w:leftChars="0" w:right="0" w:hanging="425" w:firstLineChars="0"/>
              <w:jc w:val="center"/>
              <w:rPr>
                <w:rFonts w:hint="eastAsia" w:ascii="宋体" w:hAnsi="宋体" w:eastAsia="宋体" w:cs="宋体"/>
                <w:kern w:val="2"/>
                <w:sz w:val="21"/>
                <w:szCs w:val="21"/>
                <w:lang w:val="en-US" w:eastAsia="zh-CN" w:bidi="ar-SA"/>
              </w:rPr>
            </w:pPr>
          </w:p>
        </w:tc>
        <w:tc>
          <w:tcPr>
            <w:tcW w:w="3297" w:type="dxa"/>
            <w:tcBorders>
              <w:tl2br w:val="nil"/>
              <w:tr2bl w:val="nil"/>
            </w:tcBorders>
            <w:noWrap w:val="0"/>
            <w:vAlign w:val="center"/>
          </w:tcPr>
          <w:p w14:paraId="5FD57E0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生产经营单位应当具备的安全生产条件所必需的资金投入，由生产经营单位的决策机构、主要负责人或者个人经营的投资人予以保证，并对由于安全生产所必需的资金投入不足导致的后果承担责任。</w:t>
            </w:r>
          </w:p>
          <w:p w14:paraId="6A72EAB7">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tc>
        <w:tc>
          <w:tcPr>
            <w:tcW w:w="2118" w:type="dxa"/>
            <w:tcBorders>
              <w:tl2br w:val="nil"/>
              <w:tr2bl w:val="nil"/>
            </w:tcBorders>
            <w:noWrap w:val="0"/>
            <w:vAlign w:val="center"/>
          </w:tcPr>
          <w:p w14:paraId="10395909">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5BD201EC">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第二十三条</w:t>
            </w:r>
          </w:p>
        </w:tc>
        <w:tc>
          <w:tcPr>
            <w:tcW w:w="2406" w:type="dxa"/>
            <w:tcBorders>
              <w:tl2br w:val="nil"/>
              <w:tr2bl w:val="nil"/>
            </w:tcBorders>
            <w:noWrap w:val="0"/>
            <w:vAlign w:val="center"/>
          </w:tcPr>
          <w:p w14:paraId="350DC234">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该公司有相应的安全生产资金投入。</w:t>
            </w:r>
          </w:p>
        </w:tc>
        <w:tc>
          <w:tcPr>
            <w:tcW w:w="401" w:type="dxa"/>
            <w:tcBorders>
              <w:tl2br w:val="nil"/>
              <w:tr2bl w:val="nil"/>
            </w:tcBorders>
            <w:noWrap w:val="0"/>
            <w:vAlign w:val="center"/>
          </w:tcPr>
          <w:p w14:paraId="2DF4BD5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36977B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3" w:type="dxa"/>
            <w:tcBorders>
              <w:tl2br w:val="nil"/>
              <w:tr2bl w:val="nil"/>
            </w:tcBorders>
            <w:noWrap w:val="0"/>
            <w:vAlign w:val="center"/>
          </w:tcPr>
          <w:p w14:paraId="41A2EA90">
            <w:pPr>
              <w:keepNext w:val="0"/>
              <w:keepLines w:val="0"/>
              <w:pageBreakBefore w:val="0"/>
              <w:widowControl w:val="0"/>
              <w:numPr>
                <w:ilvl w:val="0"/>
                <w:numId w:val="125"/>
              </w:numPr>
              <w:suppressLineNumbers w:val="0"/>
              <w:kinsoku/>
              <w:wordWrap/>
              <w:bidi w:val="0"/>
              <w:spacing w:before="0" w:beforeAutospacing="0" w:after="0" w:afterAutospacing="0"/>
              <w:ind w:left="425" w:leftChars="0" w:right="0" w:hanging="425" w:firstLineChars="0"/>
              <w:jc w:val="center"/>
              <w:rPr>
                <w:rFonts w:hint="eastAsia" w:ascii="宋体" w:hAnsi="宋体" w:eastAsia="宋体" w:cs="宋体"/>
                <w:kern w:val="2"/>
                <w:sz w:val="21"/>
                <w:szCs w:val="21"/>
                <w:lang w:val="en-US" w:eastAsia="zh-CN" w:bidi="ar-SA"/>
              </w:rPr>
            </w:pPr>
          </w:p>
        </w:tc>
        <w:tc>
          <w:tcPr>
            <w:tcW w:w="3297" w:type="dxa"/>
            <w:tcBorders>
              <w:tl2br w:val="nil"/>
              <w:tr2bl w:val="nil"/>
            </w:tcBorders>
            <w:noWrap w:val="0"/>
            <w:vAlign w:val="center"/>
          </w:tcPr>
          <w:p w14:paraId="4CCF5727">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生产经营单位必须依法参加工伤保险，为从业人员缴纳保险费。</w:t>
            </w:r>
          </w:p>
          <w:p w14:paraId="449A110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tc>
        <w:tc>
          <w:tcPr>
            <w:tcW w:w="2118" w:type="dxa"/>
            <w:tcBorders>
              <w:tl2br w:val="nil"/>
              <w:tr2bl w:val="nil"/>
            </w:tcBorders>
            <w:noWrap w:val="0"/>
            <w:vAlign w:val="center"/>
          </w:tcPr>
          <w:p w14:paraId="04A3552C">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0D85152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第五十一条</w:t>
            </w:r>
          </w:p>
        </w:tc>
        <w:tc>
          <w:tcPr>
            <w:tcW w:w="2406" w:type="dxa"/>
            <w:tcBorders>
              <w:tl2br w:val="nil"/>
              <w:tr2bl w:val="nil"/>
            </w:tcBorders>
            <w:noWrap w:val="0"/>
            <w:vAlign w:val="center"/>
          </w:tcPr>
          <w:p w14:paraId="54F2C2A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该公司为员工办理了工伤保险，缴纳了保险费。</w:t>
            </w:r>
          </w:p>
        </w:tc>
        <w:tc>
          <w:tcPr>
            <w:tcW w:w="401" w:type="dxa"/>
            <w:tcBorders>
              <w:tl2br w:val="nil"/>
              <w:tr2bl w:val="nil"/>
            </w:tcBorders>
            <w:noWrap w:val="0"/>
            <w:vAlign w:val="center"/>
          </w:tcPr>
          <w:p w14:paraId="0406F8E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6D2434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3" w:type="dxa"/>
            <w:tcBorders>
              <w:tl2br w:val="nil"/>
              <w:tr2bl w:val="nil"/>
            </w:tcBorders>
            <w:noWrap w:val="0"/>
            <w:vAlign w:val="center"/>
          </w:tcPr>
          <w:p w14:paraId="6BB7E49B">
            <w:pPr>
              <w:keepNext w:val="0"/>
              <w:keepLines w:val="0"/>
              <w:pageBreakBefore w:val="0"/>
              <w:widowControl w:val="0"/>
              <w:numPr>
                <w:ilvl w:val="0"/>
                <w:numId w:val="125"/>
              </w:numPr>
              <w:suppressLineNumbers w:val="0"/>
              <w:kinsoku/>
              <w:wordWrap/>
              <w:bidi w:val="0"/>
              <w:spacing w:before="0" w:beforeAutospacing="0" w:after="0" w:afterAutospacing="0"/>
              <w:ind w:left="425" w:leftChars="0" w:right="0" w:hanging="425" w:firstLineChars="0"/>
              <w:jc w:val="center"/>
              <w:rPr>
                <w:rFonts w:hint="eastAsia" w:ascii="宋体" w:hAnsi="宋体" w:eastAsia="宋体" w:cs="宋体"/>
                <w:kern w:val="2"/>
                <w:sz w:val="21"/>
                <w:szCs w:val="21"/>
                <w:lang w:val="en-US" w:eastAsia="zh-CN" w:bidi="ar-SA"/>
              </w:rPr>
            </w:pPr>
          </w:p>
        </w:tc>
        <w:tc>
          <w:tcPr>
            <w:tcW w:w="3297" w:type="dxa"/>
            <w:tcBorders>
              <w:tl2br w:val="nil"/>
              <w:tr2bl w:val="nil"/>
            </w:tcBorders>
            <w:noWrap w:val="0"/>
            <w:vAlign w:val="center"/>
          </w:tcPr>
          <w:p w14:paraId="374004F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生产经营单位应当按照规定推进安全生产标准化建设并持续规范运行，建立健全并实施安全生产规章制度和操作规程，落实安全生产责任制，明确各岗位的责任人员、责任范围和考核标准等内容，并严格监督和考核。</w:t>
            </w:r>
          </w:p>
          <w:p w14:paraId="4AA16D6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鼓励生产经营单位制定并执行严于国家标准、行业标准或者地方标准的企业安全生产标准。</w:t>
            </w:r>
          </w:p>
        </w:tc>
        <w:tc>
          <w:tcPr>
            <w:tcW w:w="2118" w:type="dxa"/>
            <w:tcBorders>
              <w:tl2br w:val="nil"/>
              <w:tr2bl w:val="nil"/>
            </w:tcBorders>
            <w:noWrap w:val="0"/>
            <w:vAlign w:val="center"/>
          </w:tcPr>
          <w:p w14:paraId="60554AD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《云南省安全生产条例》第十二条</w:t>
            </w:r>
          </w:p>
        </w:tc>
        <w:tc>
          <w:tcPr>
            <w:tcW w:w="2406" w:type="dxa"/>
            <w:tcBorders>
              <w:tl2br w:val="nil"/>
              <w:tr2bl w:val="nil"/>
            </w:tcBorders>
            <w:noWrap w:val="0"/>
            <w:vAlign w:val="center"/>
          </w:tcPr>
          <w:p w14:paraId="0CCB40C3">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该公司的主要负责人对该单位的安全生产工作负相关职责，按照国家</w:t>
            </w:r>
            <w:r>
              <w:rPr>
                <w:rFonts w:hint="eastAsia" w:ascii="宋体" w:hAnsi="宋体" w:cs="宋体"/>
                <w:sz w:val="21"/>
                <w:szCs w:val="21"/>
                <w:lang w:eastAsia="zh-CN"/>
              </w:rPr>
              <w:t>法律法规</w:t>
            </w:r>
            <w:r>
              <w:rPr>
                <w:rFonts w:hint="eastAsia" w:ascii="宋体" w:hAnsi="宋体" w:eastAsia="宋体" w:cs="宋体"/>
                <w:sz w:val="21"/>
                <w:szCs w:val="21"/>
              </w:rPr>
              <w:t>，结合自身实际，制定了各级人员安全生产责任制和安全管理制度，并根据生产特点制定了相应的操作规程。</w:t>
            </w:r>
          </w:p>
        </w:tc>
        <w:tc>
          <w:tcPr>
            <w:tcW w:w="401" w:type="dxa"/>
            <w:tcBorders>
              <w:tl2br w:val="nil"/>
              <w:tr2bl w:val="nil"/>
            </w:tcBorders>
            <w:noWrap w:val="0"/>
            <w:vAlign w:val="center"/>
          </w:tcPr>
          <w:p w14:paraId="62003361">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2C8D91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3" w:type="dxa"/>
            <w:tcBorders>
              <w:tl2br w:val="nil"/>
              <w:tr2bl w:val="nil"/>
            </w:tcBorders>
            <w:noWrap w:val="0"/>
            <w:vAlign w:val="center"/>
          </w:tcPr>
          <w:p w14:paraId="68312A5A">
            <w:pPr>
              <w:keepNext w:val="0"/>
              <w:keepLines w:val="0"/>
              <w:pageBreakBefore w:val="0"/>
              <w:widowControl w:val="0"/>
              <w:numPr>
                <w:ilvl w:val="0"/>
                <w:numId w:val="125"/>
              </w:numPr>
              <w:suppressLineNumbers w:val="0"/>
              <w:kinsoku/>
              <w:wordWrap/>
              <w:bidi w:val="0"/>
              <w:spacing w:before="0" w:beforeAutospacing="0" w:after="0" w:afterAutospacing="0"/>
              <w:ind w:left="425" w:leftChars="0" w:right="0" w:hanging="425" w:firstLineChars="0"/>
              <w:jc w:val="center"/>
              <w:rPr>
                <w:rFonts w:hint="eastAsia" w:ascii="宋体" w:hAnsi="宋体" w:eastAsia="宋体" w:cs="宋体"/>
                <w:kern w:val="2"/>
                <w:sz w:val="21"/>
                <w:szCs w:val="21"/>
                <w:lang w:val="en-US" w:eastAsia="zh-CN" w:bidi="ar-SA"/>
              </w:rPr>
            </w:pPr>
          </w:p>
        </w:tc>
        <w:tc>
          <w:tcPr>
            <w:tcW w:w="3297" w:type="dxa"/>
            <w:tcBorders>
              <w:tl2br w:val="nil"/>
              <w:tr2bl w:val="nil"/>
            </w:tcBorders>
            <w:noWrap w:val="0"/>
            <w:vAlign w:val="center"/>
          </w:tcPr>
          <w:p w14:paraId="3F5DC60D">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生产经营单位应当保证安全生产所必需的资金投入。有关生产经营单位应当按照规定提取、使用安全生产费用，在成本中据实列支，专门用于改善安全生产条件。</w:t>
            </w:r>
          </w:p>
        </w:tc>
        <w:tc>
          <w:tcPr>
            <w:tcW w:w="2118" w:type="dxa"/>
            <w:tcBorders>
              <w:tl2br w:val="nil"/>
              <w:tr2bl w:val="nil"/>
            </w:tcBorders>
            <w:noWrap w:val="0"/>
            <w:vAlign w:val="center"/>
          </w:tcPr>
          <w:p w14:paraId="6414EE5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《云南省安全生产条例》第十三条</w:t>
            </w:r>
          </w:p>
        </w:tc>
        <w:tc>
          <w:tcPr>
            <w:tcW w:w="2406" w:type="dxa"/>
            <w:tcBorders>
              <w:tl2br w:val="nil"/>
              <w:tr2bl w:val="nil"/>
            </w:tcBorders>
            <w:noWrap w:val="0"/>
            <w:vAlign w:val="center"/>
          </w:tcPr>
          <w:p w14:paraId="6FD19D8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本项目有相应的安全生产资金投入。</w:t>
            </w:r>
          </w:p>
        </w:tc>
        <w:tc>
          <w:tcPr>
            <w:tcW w:w="401" w:type="dxa"/>
            <w:tcBorders>
              <w:tl2br w:val="nil"/>
              <w:tr2bl w:val="nil"/>
            </w:tcBorders>
            <w:noWrap w:val="0"/>
            <w:vAlign w:val="center"/>
          </w:tcPr>
          <w:p w14:paraId="183828BF">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735853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3" w:type="dxa"/>
            <w:tcBorders>
              <w:tl2br w:val="nil"/>
              <w:tr2bl w:val="nil"/>
            </w:tcBorders>
            <w:noWrap w:val="0"/>
            <w:vAlign w:val="center"/>
          </w:tcPr>
          <w:p w14:paraId="420860FB">
            <w:pPr>
              <w:keepNext w:val="0"/>
              <w:keepLines w:val="0"/>
              <w:pageBreakBefore w:val="0"/>
              <w:widowControl w:val="0"/>
              <w:numPr>
                <w:ilvl w:val="0"/>
                <w:numId w:val="125"/>
              </w:numPr>
              <w:suppressLineNumbers w:val="0"/>
              <w:kinsoku/>
              <w:wordWrap/>
              <w:bidi w:val="0"/>
              <w:spacing w:before="0" w:beforeAutospacing="0" w:after="0" w:afterAutospacing="0"/>
              <w:ind w:left="425" w:leftChars="0" w:right="0" w:hanging="425" w:firstLineChars="0"/>
              <w:jc w:val="center"/>
              <w:rPr>
                <w:rFonts w:hint="eastAsia" w:ascii="宋体" w:hAnsi="宋体" w:eastAsia="宋体" w:cs="宋体"/>
                <w:kern w:val="2"/>
                <w:sz w:val="21"/>
                <w:szCs w:val="21"/>
                <w:lang w:val="en-US" w:eastAsia="zh-CN" w:bidi="ar-SA"/>
              </w:rPr>
            </w:pPr>
          </w:p>
        </w:tc>
        <w:tc>
          <w:tcPr>
            <w:tcW w:w="3297" w:type="dxa"/>
            <w:tcBorders>
              <w:tl2br w:val="nil"/>
              <w:tr2bl w:val="nil"/>
            </w:tcBorders>
            <w:noWrap w:val="0"/>
            <w:vAlign w:val="center"/>
          </w:tcPr>
          <w:p w14:paraId="1C9708F2">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生产经营单位新建、改建、扩建工程项目的，安全设施应当与主体工程同时设计、同时施工、同时投入生产和使用，安全设施投资应当纳入建设项目概算。</w:t>
            </w:r>
          </w:p>
        </w:tc>
        <w:tc>
          <w:tcPr>
            <w:tcW w:w="2118" w:type="dxa"/>
            <w:tcBorders>
              <w:tl2br w:val="nil"/>
              <w:tr2bl w:val="nil"/>
            </w:tcBorders>
            <w:noWrap w:val="0"/>
            <w:vAlign w:val="center"/>
          </w:tcPr>
          <w:p w14:paraId="0BF06FB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《云南省安全生产条例》（云南省第十二届人民代表大会常务委员会公告第63号）</w:t>
            </w:r>
          </w:p>
          <w:p w14:paraId="36134B4F">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第十四条</w:t>
            </w:r>
          </w:p>
        </w:tc>
        <w:tc>
          <w:tcPr>
            <w:tcW w:w="2406" w:type="dxa"/>
            <w:tcBorders>
              <w:tl2br w:val="nil"/>
              <w:tr2bl w:val="nil"/>
            </w:tcBorders>
            <w:noWrap w:val="0"/>
            <w:vAlign w:val="center"/>
          </w:tcPr>
          <w:p w14:paraId="727DE0C4">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本项目为新建项目，安全设施投资</w:t>
            </w:r>
            <w:r>
              <w:rPr>
                <w:rFonts w:hint="eastAsia" w:cs="宋体"/>
                <w:sz w:val="21"/>
                <w:szCs w:val="21"/>
                <w:lang w:eastAsia="zh-CN"/>
              </w:rPr>
              <w:t>纳入</w:t>
            </w:r>
            <w:r>
              <w:rPr>
                <w:rFonts w:hint="eastAsia" w:ascii="宋体" w:hAnsi="宋体" w:eastAsia="宋体" w:cs="宋体"/>
                <w:sz w:val="21"/>
                <w:szCs w:val="21"/>
              </w:rPr>
              <w:t>建设项目概算。</w:t>
            </w:r>
          </w:p>
        </w:tc>
        <w:tc>
          <w:tcPr>
            <w:tcW w:w="401" w:type="dxa"/>
            <w:tcBorders>
              <w:tl2br w:val="nil"/>
              <w:tr2bl w:val="nil"/>
            </w:tcBorders>
            <w:noWrap w:val="0"/>
            <w:vAlign w:val="center"/>
          </w:tcPr>
          <w:p w14:paraId="05177FC2">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bl>
    <w:p w14:paraId="259BFFAD">
      <w:pPr>
        <w:keepNext w:val="0"/>
        <w:keepLines w:val="0"/>
        <w:pageBreakBefore w:val="0"/>
        <w:widowControl w:val="0"/>
        <w:kinsoku/>
        <w:wordWrap/>
        <w:overflowPunct/>
        <w:topLinePunct w:val="0"/>
        <w:autoSpaceDE/>
        <w:autoSpaceDN/>
        <w:bidi w:val="0"/>
        <w:adjustRightInd w:val="0"/>
        <w:snapToGrid/>
        <w:textAlignment w:val="auto"/>
      </w:pPr>
      <w:r>
        <w:rPr>
          <w:rFonts w:hint="eastAsia"/>
        </w:rPr>
        <w:t>根据以上检查结果可知，本项目组织机构与制度符合《中华人民共和国安全生产法</w:t>
      </w:r>
      <w:r>
        <w:rPr>
          <w:rFonts w:hint="eastAsia"/>
          <w:lang w:eastAsia="zh-CN"/>
        </w:rPr>
        <w:t>》《</w:t>
      </w:r>
      <w:r>
        <w:t>云南省安全生产条例</w:t>
      </w:r>
      <w:r>
        <w:rPr>
          <w:rFonts w:hint="eastAsia"/>
          <w:lang w:eastAsia="zh-CN"/>
        </w:rPr>
        <w:t>》</w:t>
      </w:r>
      <w:r>
        <w:rPr>
          <w:rFonts w:hint="eastAsia"/>
        </w:rPr>
        <w:t>等国家标准规范的要求。</w:t>
      </w:r>
    </w:p>
    <w:p w14:paraId="44CDCAD8">
      <w:pPr>
        <w:pStyle w:val="4"/>
        <w:keepNext w:val="0"/>
        <w:keepLines w:val="0"/>
        <w:pageBreakBefore w:val="0"/>
        <w:widowControl w:val="0"/>
        <w:kinsoku/>
        <w:bidi w:val="0"/>
        <w:ind w:left="720" w:leftChars="0" w:hanging="720" w:firstLineChars="0"/>
      </w:pPr>
      <w:bookmarkStart w:id="1103" w:name="_Toc28816"/>
      <w:bookmarkStart w:id="1104" w:name="_Toc55945329"/>
      <w:bookmarkStart w:id="1105" w:name="_Toc46697266"/>
      <w:bookmarkStart w:id="1106" w:name="_Toc500007196"/>
      <w:bookmarkStart w:id="1107" w:name="_Toc60925438"/>
      <w:bookmarkStart w:id="1108" w:name="_Toc498519860"/>
      <w:bookmarkStart w:id="1109" w:name="_Toc498299390"/>
      <w:bookmarkStart w:id="1110" w:name="_Toc22496"/>
      <w:r>
        <w:rPr>
          <w:rFonts w:hint="eastAsia"/>
          <w:lang w:val="en-US" w:eastAsia="zh-CN"/>
        </w:rPr>
        <w:t>安全</w:t>
      </w:r>
      <w:r>
        <w:rPr>
          <w:rFonts w:hint="eastAsia"/>
        </w:rPr>
        <w:t>机构设置</w:t>
      </w:r>
      <w:bookmarkEnd w:id="1103"/>
      <w:bookmarkEnd w:id="1104"/>
      <w:bookmarkEnd w:id="1105"/>
      <w:bookmarkEnd w:id="1106"/>
      <w:bookmarkEnd w:id="1107"/>
      <w:bookmarkEnd w:id="1108"/>
      <w:bookmarkEnd w:id="1109"/>
      <w:bookmarkEnd w:id="1110"/>
    </w:p>
    <w:p w14:paraId="621B97C8">
      <w:pPr>
        <w:pStyle w:val="12"/>
        <w:keepNext w:val="0"/>
        <w:keepLines w:val="0"/>
        <w:pageBreakBefore w:val="0"/>
        <w:widowControl w:val="0"/>
        <w:kinsoku/>
        <w:wordWrap/>
        <w:bidi w:val="0"/>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14</w:t>
      </w:r>
      <w:r>
        <w:rPr>
          <w:rFonts w:hint="eastAsia"/>
          <w:lang w:val="en-US" w:eastAsia="zh-CN"/>
        </w:rPr>
        <w:fldChar w:fldCharType="end"/>
      </w:r>
      <w:r>
        <w:rPr>
          <w:rFonts w:hint="eastAsia"/>
        </w:rPr>
        <w:t>机构设置情况安全检查表</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74"/>
        <w:gridCol w:w="2844"/>
        <w:gridCol w:w="1966"/>
        <w:gridCol w:w="2302"/>
        <w:gridCol w:w="737"/>
      </w:tblGrid>
      <w:tr w14:paraId="50885A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95" w:type="pct"/>
            <w:tcBorders>
              <w:tl2br w:val="nil"/>
              <w:tr2bl w:val="nil"/>
            </w:tcBorders>
            <w:noWrap w:val="0"/>
            <w:vAlign w:val="center"/>
          </w:tcPr>
          <w:p w14:paraId="687D288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序号</w:t>
            </w:r>
          </w:p>
        </w:tc>
        <w:tc>
          <w:tcPr>
            <w:tcW w:w="1668" w:type="pct"/>
            <w:tcBorders>
              <w:tl2br w:val="nil"/>
              <w:tr2bl w:val="nil"/>
            </w:tcBorders>
            <w:noWrap w:val="0"/>
            <w:vAlign w:val="center"/>
          </w:tcPr>
          <w:p w14:paraId="48F2382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检查内容</w:t>
            </w:r>
          </w:p>
        </w:tc>
        <w:tc>
          <w:tcPr>
            <w:tcW w:w="1153" w:type="pct"/>
            <w:tcBorders>
              <w:tl2br w:val="nil"/>
              <w:tr2bl w:val="nil"/>
            </w:tcBorders>
            <w:noWrap w:val="0"/>
            <w:vAlign w:val="center"/>
          </w:tcPr>
          <w:p w14:paraId="55047D0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依据标准</w:t>
            </w:r>
          </w:p>
        </w:tc>
        <w:tc>
          <w:tcPr>
            <w:tcW w:w="1350" w:type="pct"/>
            <w:tcBorders>
              <w:tl2br w:val="nil"/>
              <w:tr2bl w:val="nil"/>
            </w:tcBorders>
            <w:noWrap w:val="0"/>
            <w:vAlign w:val="center"/>
          </w:tcPr>
          <w:p w14:paraId="1965C7A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检查情况</w:t>
            </w:r>
          </w:p>
        </w:tc>
        <w:tc>
          <w:tcPr>
            <w:tcW w:w="432" w:type="pct"/>
            <w:tcBorders>
              <w:tl2br w:val="nil"/>
              <w:tr2bl w:val="nil"/>
            </w:tcBorders>
            <w:noWrap w:val="0"/>
            <w:vAlign w:val="center"/>
          </w:tcPr>
          <w:p w14:paraId="3243C3D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结论</w:t>
            </w:r>
          </w:p>
        </w:tc>
      </w:tr>
      <w:tr w14:paraId="1AA4A5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 w:type="pct"/>
            <w:tcBorders>
              <w:tl2br w:val="nil"/>
              <w:tr2bl w:val="nil"/>
            </w:tcBorders>
            <w:noWrap w:val="0"/>
            <w:vAlign w:val="center"/>
          </w:tcPr>
          <w:p w14:paraId="116F1A3B">
            <w:pPr>
              <w:keepNext w:val="0"/>
              <w:keepLines w:val="0"/>
              <w:pageBreakBefore w:val="0"/>
              <w:widowControl w:val="0"/>
              <w:numPr>
                <w:ilvl w:val="0"/>
                <w:numId w:val="127"/>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1668" w:type="pct"/>
            <w:tcBorders>
              <w:tl2br w:val="nil"/>
              <w:tr2bl w:val="nil"/>
            </w:tcBorders>
            <w:noWrap w:val="0"/>
            <w:vAlign w:val="center"/>
          </w:tcPr>
          <w:p w14:paraId="40D9D09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矿山、金属冶炼、建筑施工、运输单位和危险物品的生产、经营、储存、装卸单位，应当设置安全生产管理机构或者配备专职安全生产管理人员。</w:t>
            </w:r>
          </w:p>
          <w:p w14:paraId="2A19239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153" w:type="pct"/>
            <w:tcBorders>
              <w:tl2br w:val="nil"/>
              <w:tr2bl w:val="nil"/>
            </w:tcBorders>
            <w:noWrap w:val="0"/>
            <w:vAlign w:val="center"/>
          </w:tcPr>
          <w:p w14:paraId="2C1482D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1650844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第二十四条</w:t>
            </w:r>
          </w:p>
        </w:tc>
        <w:tc>
          <w:tcPr>
            <w:tcW w:w="1350" w:type="pct"/>
            <w:tcBorders>
              <w:tl2br w:val="nil"/>
              <w:tr2bl w:val="nil"/>
            </w:tcBorders>
            <w:noWrap w:val="0"/>
            <w:vAlign w:val="center"/>
          </w:tcPr>
          <w:p w14:paraId="52E35CC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企业设立</w:t>
            </w:r>
            <w:r>
              <w:rPr>
                <w:rFonts w:hint="eastAsia" w:ascii="宋体" w:hAnsi="宋体" w:eastAsia="宋体" w:cs="宋体"/>
                <w:sz w:val="21"/>
                <w:szCs w:val="21"/>
                <w:lang w:val="en-US" w:eastAsia="zh-CN"/>
              </w:rPr>
              <w:t>了</w:t>
            </w:r>
            <w:r>
              <w:rPr>
                <w:rFonts w:hint="eastAsia" w:ascii="宋体" w:hAnsi="宋体" w:eastAsia="宋体" w:cs="宋体"/>
                <w:sz w:val="21"/>
                <w:szCs w:val="21"/>
              </w:rPr>
              <w:t>安全管理机构，并任命了安全生产管理</w:t>
            </w:r>
            <w:r>
              <w:rPr>
                <w:rFonts w:hint="eastAsia" w:ascii="宋体" w:hAnsi="宋体" w:eastAsia="宋体" w:cs="宋体"/>
                <w:sz w:val="21"/>
                <w:szCs w:val="21"/>
                <w:lang w:val="en-US" w:eastAsia="zh-CN"/>
              </w:rPr>
              <w:t>人</w:t>
            </w:r>
            <w:r>
              <w:rPr>
                <w:rFonts w:hint="eastAsia" w:ascii="宋体" w:hAnsi="宋体" w:eastAsia="宋体" w:cs="宋体"/>
                <w:sz w:val="21"/>
                <w:szCs w:val="21"/>
              </w:rPr>
              <w:t>员。</w:t>
            </w:r>
          </w:p>
        </w:tc>
        <w:tc>
          <w:tcPr>
            <w:tcW w:w="432" w:type="pct"/>
            <w:tcBorders>
              <w:tl2br w:val="nil"/>
              <w:tr2bl w:val="nil"/>
            </w:tcBorders>
            <w:noWrap w:val="0"/>
            <w:vAlign w:val="center"/>
          </w:tcPr>
          <w:p w14:paraId="1A80589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3DFEBE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 w:type="pct"/>
            <w:tcBorders>
              <w:tl2br w:val="nil"/>
              <w:tr2bl w:val="nil"/>
            </w:tcBorders>
            <w:noWrap w:val="0"/>
            <w:vAlign w:val="center"/>
          </w:tcPr>
          <w:p w14:paraId="19290F28">
            <w:pPr>
              <w:keepNext w:val="0"/>
              <w:keepLines w:val="0"/>
              <w:pageBreakBefore w:val="0"/>
              <w:widowControl w:val="0"/>
              <w:numPr>
                <w:ilvl w:val="0"/>
                <w:numId w:val="127"/>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1668" w:type="pct"/>
            <w:tcBorders>
              <w:tl2br w:val="nil"/>
              <w:tr2bl w:val="nil"/>
            </w:tcBorders>
            <w:noWrap w:val="0"/>
            <w:vAlign w:val="center"/>
          </w:tcPr>
          <w:p w14:paraId="1246FA5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生产经营单位的安全生产管理机构以及安全生产管理人员履行下列职责</w:t>
            </w:r>
            <w:r>
              <w:rPr>
                <w:rFonts w:hint="eastAsia" w:ascii="宋体" w:hAnsi="宋体" w:cs="宋体"/>
                <w:sz w:val="21"/>
                <w:szCs w:val="21"/>
                <w:lang w:eastAsia="zh-CN"/>
              </w:rPr>
              <w:t>：</w:t>
            </w:r>
          </w:p>
          <w:p w14:paraId="6B8146E6">
            <w:pPr>
              <w:keepNext w:val="0"/>
              <w:keepLines w:val="0"/>
              <w:pageBreakBefore w:val="0"/>
              <w:widowControl w:val="0"/>
              <w:numPr>
                <w:ilvl w:val="0"/>
                <w:numId w:val="128"/>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组织或者参与拟订本单位安全生产规章制度、操作规程和生产安全事故应急救援预案；</w:t>
            </w:r>
          </w:p>
          <w:p w14:paraId="12E2F6F4">
            <w:pPr>
              <w:keepNext w:val="0"/>
              <w:keepLines w:val="0"/>
              <w:pageBreakBefore w:val="0"/>
              <w:widowControl w:val="0"/>
              <w:numPr>
                <w:ilvl w:val="0"/>
                <w:numId w:val="128"/>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组织或者参与本单位安全生产教育和培训，如实记录安全生产教育和培训情况；</w:t>
            </w:r>
          </w:p>
          <w:p w14:paraId="59FF4F05">
            <w:pPr>
              <w:keepNext w:val="0"/>
              <w:keepLines w:val="0"/>
              <w:pageBreakBefore w:val="0"/>
              <w:widowControl w:val="0"/>
              <w:numPr>
                <w:ilvl w:val="0"/>
                <w:numId w:val="128"/>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组织开展危险源辨识和评估，督促落实本单位重大危险源的安全管理措施；</w:t>
            </w:r>
          </w:p>
          <w:p w14:paraId="5629718F">
            <w:pPr>
              <w:keepNext w:val="0"/>
              <w:keepLines w:val="0"/>
              <w:pageBreakBefore w:val="0"/>
              <w:widowControl w:val="0"/>
              <w:numPr>
                <w:ilvl w:val="0"/>
                <w:numId w:val="128"/>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组织或者参与本单位应急救援演练；</w:t>
            </w:r>
          </w:p>
          <w:p w14:paraId="7A07DEE2">
            <w:pPr>
              <w:keepNext w:val="0"/>
              <w:keepLines w:val="0"/>
              <w:pageBreakBefore w:val="0"/>
              <w:widowControl w:val="0"/>
              <w:numPr>
                <w:ilvl w:val="0"/>
                <w:numId w:val="128"/>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检查本单位的安全生产状况，及时排查生产安全事故隐患，提出改进安全生产管理的建议；</w:t>
            </w:r>
          </w:p>
          <w:p w14:paraId="0CF9693C">
            <w:pPr>
              <w:keepNext w:val="0"/>
              <w:keepLines w:val="0"/>
              <w:pageBreakBefore w:val="0"/>
              <w:widowControl w:val="0"/>
              <w:numPr>
                <w:ilvl w:val="0"/>
                <w:numId w:val="128"/>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制止和纠正违章指挥、强令冒险作业、违反操作规程的行为；</w:t>
            </w:r>
          </w:p>
          <w:p w14:paraId="42FB9BF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（七）督促落实本单位安全生产整改措施。</w:t>
            </w:r>
          </w:p>
          <w:p w14:paraId="2B4251C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生产经营单位可以设置专职安全生产分管负责人，协助本单位主要负责人履行安全生产管理职责。</w:t>
            </w:r>
          </w:p>
        </w:tc>
        <w:tc>
          <w:tcPr>
            <w:tcW w:w="1153" w:type="pct"/>
            <w:tcBorders>
              <w:tl2br w:val="nil"/>
              <w:tr2bl w:val="nil"/>
            </w:tcBorders>
            <w:noWrap w:val="0"/>
            <w:vAlign w:val="center"/>
          </w:tcPr>
          <w:p w14:paraId="52CC2FB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1EBFDE7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第二十五条</w:t>
            </w:r>
          </w:p>
        </w:tc>
        <w:tc>
          <w:tcPr>
            <w:tcW w:w="1350" w:type="pct"/>
            <w:tcBorders>
              <w:tl2br w:val="nil"/>
              <w:tr2bl w:val="nil"/>
            </w:tcBorders>
            <w:noWrap w:val="0"/>
            <w:vAlign w:val="center"/>
          </w:tcPr>
          <w:p w14:paraId="3A10864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企业</w:t>
            </w:r>
            <w:r>
              <w:rPr>
                <w:rFonts w:hint="eastAsia" w:ascii="宋体" w:hAnsi="宋体" w:eastAsia="宋体" w:cs="宋体"/>
                <w:sz w:val="21"/>
                <w:szCs w:val="21"/>
              </w:rPr>
              <w:t>安全生产管理人员责任制中已</w:t>
            </w:r>
            <w:r>
              <w:rPr>
                <w:rFonts w:hint="eastAsia" w:ascii="宋体" w:hAnsi="宋体" w:eastAsia="宋体" w:cs="宋体"/>
                <w:sz w:val="21"/>
                <w:szCs w:val="21"/>
                <w:lang w:val="en-US" w:eastAsia="zh-CN"/>
              </w:rPr>
              <w:t>落实</w:t>
            </w:r>
            <w:r>
              <w:rPr>
                <w:rFonts w:hint="eastAsia" w:ascii="宋体" w:hAnsi="宋体" w:eastAsia="宋体" w:cs="宋体"/>
                <w:sz w:val="21"/>
                <w:szCs w:val="21"/>
              </w:rPr>
              <w:t>相应内容。</w:t>
            </w:r>
          </w:p>
        </w:tc>
        <w:tc>
          <w:tcPr>
            <w:tcW w:w="432" w:type="pct"/>
            <w:tcBorders>
              <w:tl2br w:val="nil"/>
              <w:tr2bl w:val="nil"/>
            </w:tcBorders>
            <w:noWrap w:val="0"/>
            <w:vAlign w:val="center"/>
          </w:tcPr>
          <w:p w14:paraId="3716937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573019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 w:type="pct"/>
            <w:tcBorders>
              <w:tl2br w:val="nil"/>
              <w:tr2bl w:val="nil"/>
            </w:tcBorders>
            <w:noWrap w:val="0"/>
            <w:vAlign w:val="center"/>
          </w:tcPr>
          <w:p w14:paraId="23604966">
            <w:pPr>
              <w:keepNext w:val="0"/>
              <w:keepLines w:val="0"/>
              <w:pageBreakBefore w:val="0"/>
              <w:widowControl w:val="0"/>
              <w:numPr>
                <w:ilvl w:val="0"/>
                <w:numId w:val="127"/>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1668" w:type="pct"/>
            <w:tcBorders>
              <w:tl2br w:val="nil"/>
              <w:tr2bl w:val="nil"/>
            </w:tcBorders>
            <w:noWrap w:val="0"/>
            <w:vAlign w:val="center"/>
          </w:tcPr>
          <w:p w14:paraId="64639ED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生产经营单位的安全生产管理机构以及安全生产管理人员应当恪尽职守，依法履行职责。</w:t>
            </w:r>
          </w:p>
          <w:p w14:paraId="46525B6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生产经营单位作出涉及安全生产的经营决策，应当听取安全生产管理机构以及安全生产管理人员的意见。</w:t>
            </w:r>
          </w:p>
          <w:p w14:paraId="52BD6FA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生产经营单位不得因安全生产管理人员依法履行职责而降低其工资、福利等待遇或者解除与其订立的劳动合同。</w:t>
            </w:r>
          </w:p>
          <w:p w14:paraId="105C3A2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危险物品的生产、储存单位以及矿山、金属冶炼单位的安全生产管理人员的任免，应当告知主管的负有安全生产监督管理职责的部门。</w:t>
            </w:r>
          </w:p>
        </w:tc>
        <w:tc>
          <w:tcPr>
            <w:tcW w:w="1153" w:type="pct"/>
            <w:tcBorders>
              <w:tl2br w:val="nil"/>
              <w:tr2bl w:val="nil"/>
            </w:tcBorders>
            <w:noWrap w:val="0"/>
            <w:vAlign w:val="center"/>
          </w:tcPr>
          <w:p w14:paraId="7B01346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3773AC4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第二十六条</w:t>
            </w:r>
          </w:p>
        </w:tc>
        <w:tc>
          <w:tcPr>
            <w:tcW w:w="1350" w:type="pct"/>
            <w:tcBorders>
              <w:tl2br w:val="nil"/>
              <w:tr2bl w:val="nil"/>
            </w:tcBorders>
            <w:noWrap w:val="0"/>
            <w:vAlign w:val="center"/>
          </w:tcPr>
          <w:p w14:paraId="7AE46F6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安全生产管理机构以及安全生产管理人员履行所述职责。</w:t>
            </w:r>
          </w:p>
        </w:tc>
        <w:tc>
          <w:tcPr>
            <w:tcW w:w="432" w:type="pct"/>
            <w:tcBorders>
              <w:tl2br w:val="nil"/>
              <w:tr2bl w:val="nil"/>
            </w:tcBorders>
            <w:noWrap w:val="0"/>
            <w:vAlign w:val="center"/>
          </w:tcPr>
          <w:p w14:paraId="1A1CFA3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319D06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 w:type="pct"/>
            <w:tcBorders>
              <w:tl2br w:val="nil"/>
              <w:tr2bl w:val="nil"/>
            </w:tcBorders>
            <w:noWrap w:val="0"/>
            <w:vAlign w:val="center"/>
          </w:tcPr>
          <w:p w14:paraId="545F5429">
            <w:pPr>
              <w:keepNext w:val="0"/>
              <w:keepLines w:val="0"/>
              <w:pageBreakBefore w:val="0"/>
              <w:widowControl w:val="0"/>
              <w:numPr>
                <w:ilvl w:val="0"/>
                <w:numId w:val="127"/>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p>
        </w:tc>
        <w:tc>
          <w:tcPr>
            <w:tcW w:w="1668" w:type="pct"/>
            <w:tcBorders>
              <w:tl2br w:val="nil"/>
              <w:tr2bl w:val="nil"/>
            </w:tcBorders>
            <w:noWrap w:val="0"/>
            <w:vAlign w:val="center"/>
          </w:tcPr>
          <w:p w14:paraId="38BF70D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危险物品的生产、储存、装卸单位以及矿山、金属冶炼单位应当有注册安全工程师从事安全生产管理工作。鼓励其他生产经营单位聘用注册安全工程师从事安全生产管理工作。</w:t>
            </w:r>
          </w:p>
        </w:tc>
        <w:tc>
          <w:tcPr>
            <w:tcW w:w="1153" w:type="pct"/>
            <w:tcBorders>
              <w:tl2br w:val="nil"/>
              <w:tr2bl w:val="nil"/>
            </w:tcBorders>
            <w:noWrap w:val="0"/>
            <w:vAlign w:val="center"/>
          </w:tcPr>
          <w:p w14:paraId="72B94A2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4D0ED73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第二十七条</w:t>
            </w:r>
          </w:p>
        </w:tc>
        <w:tc>
          <w:tcPr>
            <w:tcW w:w="1350" w:type="pct"/>
            <w:tcBorders>
              <w:tl2br w:val="nil"/>
              <w:tr2bl w:val="nil"/>
            </w:tcBorders>
            <w:noWrap w:val="0"/>
            <w:vAlign w:val="center"/>
          </w:tcPr>
          <w:p w14:paraId="6B8FE7B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企业设立了安全管理机构，并任命了安全生产管理人员。</w:t>
            </w:r>
          </w:p>
        </w:tc>
        <w:tc>
          <w:tcPr>
            <w:tcW w:w="432" w:type="pct"/>
            <w:tcBorders>
              <w:tl2br w:val="nil"/>
              <w:tr2bl w:val="nil"/>
            </w:tcBorders>
            <w:noWrap w:val="0"/>
            <w:vAlign w:val="center"/>
          </w:tcPr>
          <w:p w14:paraId="7D189AF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bl>
    <w:p w14:paraId="2A9F6B19">
      <w:pPr>
        <w:bidi w:val="0"/>
      </w:pPr>
      <w:r>
        <w:rPr>
          <w:rFonts w:hint="eastAsia"/>
        </w:rPr>
        <w:t>根据以上检查结果可知，本项目机构设置符合《中华人民共和国安全生产法</w:t>
      </w:r>
      <w:r>
        <w:rPr>
          <w:rFonts w:hint="eastAsia"/>
          <w:lang w:eastAsia="zh-CN"/>
        </w:rPr>
        <w:t>》《</w:t>
      </w:r>
      <w:r>
        <w:rPr>
          <w:rFonts w:hint="eastAsia"/>
        </w:rPr>
        <w:t>云南省安全生产条例》等国家标准规范的要求。</w:t>
      </w:r>
    </w:p>
    <w:p w14:paraId="240E2AC6">
      <w:pPr>
        <w:pStyle w:val="4"/>
        <w:keepNext w:val="0"/>
        <w:keepLines w:val="0"/>
        <w:pageBreakBefore w:val="0"/>
        <w:widowControl w:val="0"/>
        <w:kinsoku/>
        <w:bidi w:val="0"/>
        <w:ind w:left="720" w:leftChars="0" w:hanging="720" w:firstLineChars="0"/>
      </w:pPr>
      <w:bookmarkStart w:id="1111" w:name="_Toc46697268"/>
      <w:bookmarkStart w:id="1112" w:name="_Toc60925440"/>
      <w:bookmarkStart w:id="1113" w:name="_Toc500007198"/>
      <w:bookmarkStart w:id="1114" w:name="_Toc55945331"/>
      <w:bookmarkStart w:id="1115" w:name="_Toc3073"/>
      <w:bookmarkStart w:id="1116" w:name="_Toc498299392"/>
      <w:bookmarkStart w:id="1117" w:name="_Toc498519862"/>
      <w:bookmarkStart w:id="1118" w:name="_Toc32239"/>
      <w:r>
        <w:rPr>
          <w:rFonts w:hint="eastAsia"/>
        </w:rPr>
        <w:t>安全教育培训</w:t>
      </w:r>
      <w:bookmarkEnd w:id="1111"/>
      <w:bookmarkEnd w:id="1112"/>
      <w:bookmarkEnd w:id="1113"/>
      <w:bookmarkEnd w:id="1114"/>
      <w:bookmarkEnd w:id="1115"/>
      <w:bookmarkEnd w:id="1116"/>
      <w:bookmarkEnd w:id="1117"/>
      <w:bookmarkEnd w:id="1118"/>
    </w:p>
    <w:p w14:paraId="7B594146">
      <w:pPr>
        <w:pStyle w:val="12"/>
        <w:keepNext w:val="0"/>
        <w:keepLines w:val="0"/>
        <w:pageBreakBefore w:val="0"/>
        <w:widowControl w:val="0"/>
        <w:kinsoku/>
        <w:wordWrap/>
        <w:bidi w:val="0"/>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15</w:t>
      </w:r>
      <w:r>
        <w:rPr>
          <w:rFonts w:hint="eastAsia"/>
          <w:lang w:val="en-US" w:eastAsia="zh-CN"/>
        </w:rPr>
        <w:fldChar w:fldCharType="end"/>
      </w:r>
      <w:r>
        <w:rPr>
          <w:rFonts w:hint="eastAsia"/>
        </w:rPr>
        <w:t>安全教育培训情况安全检查表</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2842"/>
        <w:gridCol w:w="1967"/>
        <w:gridCol w:w="2301"/>
        <w:gridCol w:w="737"/>
      </w:tblGrid>
      <w:tr w14:paraId="5FC52C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97" w:type="pct"/>
            <w:tcBorders>
              <w:tl2br w:val="nil"/>
              <w:tr2bl w:val="nil"/>
            </w:tcBorders>
            <w:noWrap w:val="0"/>
            <w:vAlign w:val="center"/>
          </w:tcPr>
          <w:p w14:paraId="596CAFC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b/>
                <w:sz w:val="21"/>
                <w:szCs w:val="21"/>
              </w:rPr>
            </w:pPr>
            <w:r>
              <w:rPr>
                <w:rFonts w:hint="default"/>
                <w:b/>
                <w:sz w:val="21"/>
                <w:szCs w:val="21"/>
              </w:rPr>
              <w:t>序号</w:t>
            </w:r>
          </w:p>
        </w:tc>
        <w:tc>
          <w:tcPr>
            <w:tcW w:w="1666" w:type="pct"/>
            <w:tcBorders>
              <w:tl2br w:val="nil"/>
              <w:tr2bl w:val="nil"/>
            </w:tcBorders>
            <w:noWrap w:val="0"/>
            <w:vAlign w:val="center"/>
          </w:tcPr>
          <w:p w14:paraId="03ED0FE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b/>
                <w:sz w:val="21"/>
                <w:szCs w:val="21"/>
              </w:rPr>
            </w:pPr>
            <w:r>
              <w:rPr>
                <w:rFonts w:hint="default"/>
                <w:b/>
                <w:sz w:val="21"/>
                <w:szCs w:val="21"/>
              </w:rPr>
              <w:t>检查内容</w:t>
            </w:r>
          </w:p>
        </w:tc>
        <w:tc>
          <w:tcPr>
            <w:tcW w:w="1153" w:type="pct"/>
            <w:tcBorders>
              <w:tl2br w:val="nil"/>
              <w:tr2bl w:val="nil"/>
            </w:tcBorders>
            <w:noWrap w:val="0"/>
            <w:vAlign w:val="center"/>
          </w:tcPr>
          <w:p w14:paraId="0814056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b/>
                <w:sz w:val="21"/>
                <w:szCs w:val="21"/>
              </w:rPr>
            </w:pPr>
            <w:r>
              <w:rPr>
                <w:rFonts w:hint="default"/>
                <w:b/>
                <w:sz w:val="21"/>
                <w:szCs w:val="21"/>
              </w:rPr>
              <w:t>依据标准</w:t>
            </w:r>
          </w:p>
        </w:tc>
        <w:tc>
          <w:tcPr>
            <w:tcW w:w="1349" w:type="pct"/>
            <w:tcBorders>
              <w:tl2br w:val="nil"/>
              <w:tr2bl w:val="nil"/>
            </w:tcBorders>
            <w:noWrap w:val="0"/>
            <w:vAlign w:val="center"/>
          </w:tcPr>
          <w:p w14:paraId="663BB42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b/>
                <w:sz w:val="21"/>
                <w:szCs w:val="21"/>
              </w:rPr>
            </w:pPr>
            <w:r>
              <w:rPr>
                <w:rFonts w:hint="default"/>
                <w:b/>
                <w:sz w:val="21"/>
                <w:szCs w:val="21"/>
              </w:rPr>
              <w:t>检查情况</w:t>
            </w:r>
          </w:p>
        </w:tc>
        <w:tc>
          <w:tcPr>
            <w:tcW w:w="432" w:type="pct"/>
            <w:tcBorders>
              <w:tl2br w:val="nil"/>
              <w:tr2bl w:val="nil"/>
            </w:tcBorders>
            <w:noWrap w:val="0"/>
            <w:vAlign w:val="center"/>
          </w:tcPr>
          <w:p w14:paraId="727D26A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b/>
                <w:sz w:val="21"/>
                <w:szCs w:val="21"/>
              </w:rPr>
            </w:pPr>
            <w:r>
              <w:rPr>
                <w:rFonts w:hint="default"/>
                <w:b/>
                <w:sz w:val="21"/>
                <w:szCs w:val="21"/>
              </w:rPr>
              <w:t>结论</w:t>
            </w:r>
          </w:p>
        </w:tc>
      </w:tr>
      <w:tr w14:paraId="0A8166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noWrap w:val="0"/>
            <w:vAlign w:val="center"/>
          </w:tcPr>
          <w:p w14:paraId="6D5B9F0F">
            <w:pPr>
              <w:keepNext w:val="0"/>
              <w:keepLines w:val="0"/>
              <w:pageBreakBefore w:val="0"/>
              <w:widowControl w:val="0"/>
              <w:numPr>
                <w:ilvl w:val="0"/>
                <w:numId w:val="129"/>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default"/>
                <w:sz w:val="21"/>
                <w:szCs w:val="21"/>
              </w:rPr>
            </w:pPr>
          </w:p>
        </w:tc>
        <w:tc>
          <w:tcPr>
            <w:tcW w:w="1666" w:type="pct"/>
            <w:tcBorders>
              <w:tl2br w:val="nil"/>
              <w:tr2bl w:val="nil"/>
            </w:tcBorders>
            <w:noWrap w:val="0"/>
            <w:vAlign w:val="center"/>
          </w:tcPr>
          <w:p w14:paraId="3BECE80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eastAsia"/>
                <w:sz w:val="21"/>
                <w:szCs w:val="21"/>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1761FA3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eastAsia"/>
                <w:sz w:val="21"/>
                <w:szCs w:val="21"/>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14:paraId="57F9D52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eastAsia"/>
                <w:sz w:val="21"/>
                <w:szCs w:val="21"/>
              </w:rPr>
              <w:t>生产经营单位接收中等职业学校、高等学校学生实习的，应当对实习学生进行相应的安全生产教育和培训，提供必要的劳动防护用品。学校应当协助生产经营单位对实习学生进行安全生产教育和培训。</w:t>
            </w:r>
          </w:p>
          <w:p w14:paraId="1A53F99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eastAsia"/>
                <w:sz w:val="21"/>
                <w:szCs w:val="21"/>
              </w:rPr>
              <w:t>生产经营单位应当建立安全生产教育和培训档案，如实记录安全生产教育和培训的时间、内容、参加人员以及考核结果等情况。</w:t>
            </w:r>
          </w:p>
        </w:tc>
        <w:tc>
          <w:tcPr>
            <w:tcW w:w="1153" w:type="pct"/>
            <w:tcBorders>
              <w:tl2br w:val="nil"/>
              <w:tr2bl w:val="nil"/>
            </w:tcBorders>
            <w:noWrap w:val="0"/>
            <w:vAlign w:val="center"/>
          </w:tcPr>
          <w:p w14:paraId="2B48E63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《中华人民共和国安全生产法》</w:t>
            </w:r>
          </w:p>
          <w:p w14:paraId="010FB02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第二十</w:t>
            </w:r>
            <w:r>
              <w:rPr>
                <w:rFonts w:hint="eastAsia"/>
                <w:sz w:val="21"/>
                <w:szCs w:val="21"/>
              </w:rPr>
              <w:t>八</w:t>
            </w:r>
            <w:r>
              <w:rPr>
                <w:rFonts w:hint="default"/>
                <w:sz w:val="21"/>
                <w:szCs w:val="21"/>
              </w:rPr>
              <w:t>条</w:t>
            </w:r>
          </w:p>
        </w:tc>
        <w:tc>
          <w:tcPr>
            <w:tcW w:w="1349" w:type="pct"/>
            <w:tcBorders>
              <w:tl2br w:val="nil"/>
              <w:tr2bl w:val="nil"/>
            </w:tcBorders>
            <w:noWrap w:val="0"/>
            <w:vAlign w:val="center"/>
          </w:tcPr>
          <w:p w14:paraId="1D3F172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default"/>
                <w:sz w:val="21"/>
                <w:szCs w:val="21"/>
              </w:rPr>
              <w:t>本项目对从业人员进行安全生产教育和培训，培训合格后上岗。</w:t>
            </w:r>
          </w:p>
        </w:tc>
        <w:tc>
          <w:tcPr>
            <w:tcW w:w="432" w:type="pct"/>
            <w:tcBorders>
              <w:tl2br w:val="nil"/>
              <w:tr2bl w:val="nil"/>
            </w:tcBorders>
            <w:noWrap w:val="0"/>
            <w:vAlign w:val="center"/>
          </w:tcPr>
          <w:p w14:paraId="2FD36BB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符合</w:t>
            </w:r>
          </w:p>
        </w:tc>
      </w:tr>
      <w:tr w14:paraId="3C700F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noWrap w:val="0"/>
            <w:vAlign w:val="center"/>
          </w:tcPr>
          <w:p w14:paraId="21366668">
            <w:pPr>
              <w:keepNext w:val="0"/>
              <w:keepLines w:val="0"/>
              <w:pageBreakBefore w:val="0"/>
              <w:widowControl w:val="0"/>
              <w:numPr>
                <w:ilvl w:val="0"/>
                <w:numId w:val="129"/>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default"/>
                <w:sz w:val="21"/>
                <w:szCs w:val="21"/>
              </w:rPr>
            </w:pPr>
          </w:p>
        </w:tc>
        <w:tc>
          <w:tcPr>
            <w:tcW w:w="1666" w:type="pct"/>
            <w:tcBorders>
              <w:tl2br w:val="nil"/>
              <w:tr2bl w:val="nil"/>
            </w:tcBorders>
            <w:noWrap w:val="0"/>
            <w:vAlign w:val="center"/>
          </w:tcPr>
          <w:p w14:paraId="2A991A3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eastAsia"/>
                <w:sz w:val="21"/>
                <w:szCs w:val="21"/>
              </w:rPr>
              <w:t>生产经营单位采用新工艺、新技术、新材料或者使用新设备，必须了解、掌握其安全技术特性，采取有效的安全防护措施，并对从业人员进行专门的安全生产教育和培训。</w:t>
            </w:r>
          </w:p>
        </w:tc>
        <w:tc>
          <w:tcPr>
            <w:tcW w:w="1153" w:type="pct"/>
            <w:tcBorders>
              <w:tl2br w:val="nil"/>
              <w:tr2bl w:val="nil"/>
            </w:tcBorders>
            <w:noWrap w:val="0"/>
            <w:vAlign w:val="center"/>
          </w:tcPr>
          <w:p w14:paraId="2050C10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《中华人民共和国安全生产法》</w:t>
            </w:r>
          </w:p>
          <w:p w14:paraId="7E37C9C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第二十</w:t>
            </w:r>
            <w:r>
              <w:rPr>
                <w:rFonts w:hint="eastAsia"/>
                <w:sz w:val="21"/>
                <w:szCs w:val="21"/>
              </w:rPr>
              <w:t>九</w:t>
            </w:r>
            <w:r>
              <w:rPr>
                <w:rFonts w:hint="default"/>
                <w:sz w:val="21"/>
                <w:szCs w:val="21"/>
              </w:rPr>
              <w:t>条</w:t>
            </w:r>
          </w:p>
        </w:tc>
        <w:tc>
          <w:tcPr>
            <w:tcW w:w="1349" w:type="pct"/>
            <w:tcBorders>
              <w:tl2br w:val="nil"/>
              <w:tr2bl w:val="nil"/>
            </w:tcBorders>
            <w:noWrap w:val="0"/>
            <w:vAlign w:val="center"/>
          </w:tcPr>
          <w:p w14:paraId="4D4720A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default"/>
                <w:sz w:val="21"/>
                <w:szCs w:val="21"/>
              </w:rPr>
              <w:t>本项目对从业人员进行安全生产教育和培训，培训合格后上岗。</w:t>
            </w:r>
          </w:p>
        </w:tc>
        <w:tc>
          <w:tcPr>
            <w:tcW w:w="432" w:type="pct"/>
            <w:tcBorders>
              <w:tl2br w:val="nil"/>
              <w:tr2bl w:val="nil"/>
            </w:tcBorders>
            <w:noWrap w:val="0"/>
            <w:vAlign w:val="center"/>
          </w:tcPr>
          <w:p w14:paraId="263CE38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符合</w:t>
            </w:r>
          </w:p>
        </w:tc>
      </w:tr>
      <w:tr w14:paraId="694799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noWrap w:val="0"/>
            <w:vAlign w:val="center"/>
          </w:tcPr>
          <w:p w14:paraId="19E4D88F">
            <w:pPr>
              <w:keepNext w:val="0"/>
              <w:keepLines w:val="0"/>
              <w:pageBreakBefore w:val="0"/>
              <w:widowControl w:val="0"/>
              <w:numPr>
                <w:ilvl w:val="0"/>
                <w:numId w:val="129"/>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default"/>
                <w:sz w:val="21"/>
                <w:szCs w:val="21"/>
              </w:rPr>
            </w:pPr>
          </w:p>
        </w:tc>
        <w:tc>
          <w:tcPr>
            <w:tcW w:w="1666" w:type="pct"/>
            <w:tcBorders>
              <w:tl2br w:val="nil"/>
              <w:tr2bl w:val="nil"/>
            </w:tcBorders>
            <w:noWrap w:val="0"/>
            <w:vAlign w:val="center"/>
          </w:tcPr>
          <w:p w14:paraId="43E162F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ascii="宋体" w:hAnsi="宋体" w:eastAsia="宋体" w:cs="Times New Roman"/>
                <w:sz w:val="21"/>
                <w:szCs w:val="21"/>
              </w:rPr>
            </w:pPr>
            <w:r>
              <w:rPr>
                <w:rFonts w:hint="eastAsia" w:ascii="宋体" w:hAnsi="宋体" w:eastAsia="宋体" w:cs="Times New Roman"/>
                <w:sz w:val="21"/>
                <w:szCs w:val="21"/>
              </w:rPr>
              <w:t>生产经营单位的特种作业人员必须按照国家有关规定经专门的安全作业培训，取得相应资格，方可上岗作业。</w:t>
            </w:r>
          </w:p>
          <w:p w14:paraId="63526ED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ascii="宋体" w:hAnsi="宋体" w:eastAsia="宋体" w:cs="Times New Roman"/>
                <w:sz w:val="21"/>
                <w:szCs w:val="21"/>
              </w:rPr>
            </w:pPr>
            <w:r>
              <w:rPr>
                <w:rFonts w:hint="eastAsia" w:ascii="宋体" w:hAnsi="宋体" w:eastAsia="宋体" w:cs="Times New Roman"/>
                <w:sz w:val="21"/>
                <w:szCs w:val="21"/>
              </w:rPr>
              <w:t>特种作业人员的范围由国务院应急管理部门会同国务院有关部门确定。</w:t>
            </w:r>
          </w:p>
        </w:tc>
        <w:tc>
          <w:tcPr>
            <w:tcW w:w="1153" w:type="pct"/>
            <w:tcBorders>
              <w:tl2br w:val="nil"/>
              <w:tr2bl w:val="nil"/>
            </w:tcBorders>
            <w:noWrap w:val="0"/>
            <w:vAlign w:val="center"/>
          </w:tcPr>
          <w:p w14:paraId="5A98799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ascii="宋体" w:hAnsi="宋体" w:eastAsia="宋体" w:cs="Times New Roman"/>
                <w:sz w:val="21"/>
                <w:szCs w:val="21"/>
              </w:rPr>
            </w:pPr>
            <w:r>
              <w:rPr>
                <w:rFonts w:hint="default" w:ascii="宋体" w:hAnsi="宋体" w:eastAsia="宋体" w:cs="Times New Roman"/>
                <w:sz w:val="21"/>
                <w:szCs w:val="21"/>
              </w:rPr>
              <w:t>《中华人民共和国安全生产法》</w:t>
            </w:r>
          </w:p>
          <w:p w14:paraId="59BDF04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ascii="宋体" w:hAnsi="宋体" w:eastAsia="宋体" w:cs="Times New Roman"/>
                <w:sz w:val="21"/>
                <w:szCs w:val="21"/>
              </w:rPr>
            </w:pPr>
            <w:r>
              <w:rPr>
                <w:rFonts w:hint="default" w:ascii="宋体" w:hAnsi="宋体" w:eastAsia="宋体" w:cs="Times New Roman"/>
                <w:sz w:val="21"/>
                <w:szCs w:val="21"/>
              </w:rPr>
              <w:t>第</w:t>
            </w:r>
            <w:r>
              <w:rPr>
                <w:rFonts w:hint="eastAsia" w:ascii="宋体" w:hAnsi="宋体" w:eastAsia="宋体" w:cs="Times New Roman"/>
                <w:sz w:val="21"/>
                <w:szCs w:val="21"/>
              </w:rPr>
              <w:t>三十</w:t>
            </w:r>
            <w:r>
              <w:rPr>
                <w:rFonts w:hint="default" w:ascii="宋体" w:hAnsi="宋体" w:eastAsia="宋体" w:cs="Times New Roman"/>
                <w:sz w:val="21"/>
                <w:szCs w:val="21"/>
              </w:rPr>
              <w:t>条</w:t>
            </w:r>
          </w:p>
        </w:tc>
        <w:tc>
          <w:tcPr>
            <w:tcW w:w="1349" w:type="pct"/>
            <w:tcBorders>
              <w:tl2br w:val="nil"/>
              <w:tr2bl w:val="nil"/>
            </w:tcBorders>
            <w:noWrap w:val="0"/>
            <w:vAlign w:val="center"/>
          </w:tcPr>
          <w:p w14:paraId="4860921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ascii="宋体" w:hAnsi="宋体" w:eastAsia="宋体" w:cs="Times New Roman"/>
                <w:sz w:val="21"/>
                <w:szCs w:val="21"/>
              </w:rPr>
            </w:pPr>
            <w:r>
              <w:rPr>
                <w:rFonts w:hint="default" w:ascii="宋体" w:hAnsi="宋体" w:eastAsia="宋体" w:cs="Times New Roman"/>
                <w:sz w:val="21"/>
                <w:szCs w:val="21"/>
              </w:rPr>
              <w:t>本项目涉及的特种</w:t>
            </w:r>
            <w:r>
              <w:rPr>
                <w:rFonts w:hint="eastAsia" w:ascii="宋体" w:hAnsi="宋体" w:eastAsia="宋体" w:cs="Times New Roman"/>
                <w:sz w:val="21"/>
                <w:szCs w:val="21"/>
              </w:rPr>
              <w:t>作业</w:t>
            </w:r>
            <w:r>
              <w:rPr>
                <w:rFonts w:hint="default" w:ascii="宋体" w:hAnsi="宋体" w:eastAsia="宋体" w:cs="Times New Roman"/>
                <w:sz w:val="21"/>
                <w:szCs w:val="21"/>
              </w:rPr>
              <w:t>人员，经培训后持证上岗。</w:t>
            </w:r>
          </w:p>
        </w:tc>
        <w:tc>
          <w:tcPr>
            <w:tcW w:w="432" w:type="pct"/>
            <w:tcBorders>
              <w:tl2br w:val="nil"/>
              <w:tr2bl w:val="nil"/>
            </w:tcBorders>
            <w:noWrap w:val="0"/>
            <w:vAlign w:val="center"/>
          </w:tcPr>
          <w:p w14:paraId="1ABF758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符合</w:t>
            </w:r>
          </w:p>
        </w:tc>
      </w:tr>
      <w:tr w14:paraId="4E54EF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noWrap w:val="0"/>
            <w:vAlign w:val="center"/>
          </w:tcPr>
          <w:p w14:paraId="3FC9273F">
            <w:pPr>
              <w:keepNext w:val="0"/>
              <w:keepLines w:val="0"/>
              <w:pageBreakBefore w:val="0"/>
              <w:widowControl w:val="0"/>
              <w:numPr>
                <w:ilvl w:val="0"/>
                <w:numId w:val="129"/>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default"/>
                <w:sz w:val="21"/>
                <w:szCs w:val="21"/>
              </w:rPr>
            </w:pPr>
          </w:p>
        </w:tc>
        <w:tc>
          <w:tcPr>
            <w:tcW w:w="1666" w:type="pct"/>
            <w:tcBorders>
              <w:tl2br w:val="nil"/>
              <w:tr2bl w:val="nil"/>
            </w:tcBorders>
            <w:noWrap w:val="0"/>
            <w:vAlign w:val="center"/>
          </w:tcPr>
          <w:p w14:paraId="75A955C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Times New Roman"/>
                <w:sz w:val="21"/>
                <w:szCs w:val="21"/>
              </w:rPr>
            </w:pPr>
            <w:r>
              <w:rPr>
                <w:rFonts w:hint="eastAsia" w:ascii="宋体" w:hAnsi="宋体" w:eastAsia="宋体" w:cs="Times New Roman"/>
                <w:sz w:val="21"/>
                <w:szCs w:val="21"/>
              </w:rPr>
              <w:t>工贸企业应当每年至少组织一次有限空间作业专题安全培训，对作业审批人、监护人员、作业人员和应急救援人员培训有限空间作业安全知识和技能，并如实记录。</w:t>
            </w:r>
          </w:p>
          <w:p w14:paraId="19DC82E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Times New Roman"/>
                <w:sz w:val="21"/>
                <w:szCs w:val="21"/>
              </w:rPr>
            </w:pPr>
            <w:r>
              <w:rPr>
                <w:rFonts w:hint="eastAsia" w:ascii="宋体" w:hAnsi="宋体" w:eastAsia="宋体" w:cs="Times New Roman"/>
                <w:sz w:val="21"/>
                <w:szCs w:val="21"/>
              </w:rPr>
              <w:t>未经培训合格不得参与有限空间作业。</w:t>
            </w:r>
          </w:p>
        </w:tc>
        <w:tc>
          <w:tcPr>
            <w:tcW w:w="1153" w:type="pct"/>
            <w:tcBorders>
              <w:tl2br w:val="nil"/>
              <w:tr2bl w:val="nil"/>
            </w:tcBorders>
            <w:noWrap w:val="0"/>
            <w:vAlign w:val="center"/>
          </w:tcPr>
          <w:p w14:paraId="046905F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eastAsia="zh-CN"/>
              </w:rPr>
              <w:t>《</w:t>
            </w:r>
            <w:r>
              <w:rPr>
                <w:rFonts w:hint="eastAsia" w:ascii="宋体" w:hAnsi="宋体" w:eastAsia="宋体" w:cs="Times New Roman"/>
                <w:sz w:val="21"/>
                <w:szCs w:val="21"/>
              </w:rPr>
              <w:t>工贸企业有限空间作业安全规定</w:t>
            </w:r>
            <w:r>
              <w:rPr>
                <w:rFonts w:hint="eastAsia" w:ascii="宋体" w:hAnsi="宋体" w:eastAsia="宋体" w:cs="Times New Roman"/>
                <w:sz w:val="21"/>
                <w:szCs w:val="21"/>
                <w:lang w:eastAsia="zh-CN"/>
              </w:rPr>
              <w:t>》（</w:t>
            </w:r>
            <w:r>
              <w:rPr>
                <w:rFonts w:hint="eastAsia" w:ascii="宋体" w:hAnsi="宋体" w:eastAsia="宋体" w:cs="Times New Roman"/>
                <w:sz w:val="21"/>
                <w:szCs w:val="21"/>
                <w:lang w:val="en-US" w:eastAsia="zh-CN"/>
              </w:rPr>
              <w:t>应急部令第13号）</w:t>
            </w:r>
            <w:r>
              <w:rPr>
                <w:rFonts w:hint="eastAsia" w:ascii="宋体" w:hAnsi="宋体" w:eastAsia="宋体" w:cs="Times New Roman"/>
                <w:sz w:val="21"/>
                <w:szCs w:val="21"/>
              </w:rPr>
              <w:t>第九条</w:t>
            </w:r>
          </w:p>
        </w:tc>
        <w:tc>
          <w:tcPr>
            <w:tcW w:w="1349" w:type="pct"/>
            <w:tcBorders>
              <w:tl2br w:val="nil"/>
              <w:tr2bl w:val="nil"/>
            </w:tcBorders>
            <w:noWrap w:val="0"/>
            <w:vAlign w:val="center"/>
          </w:tcPr>
          <w:p w14:paraId="0B0E8DD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企业已组织</w:t>
            </w:r>
            <w:r>
              <w:rPr>
                <w:rFonts w:hint="eastAsia" w:ascii="宋体" w:hAnsi="宋体" w:eastAsia="宋体" w:cs="Times New Roman"/>
                <w:sz w:val="21"/>
                <w:szCs w:val="21"/>
              </w:rPr>
              <w:t>有限空间作业专题安全培训，对作业审批人、监护人员、作业人员和应急救援人员培训有限空间作业安全知识和技能，并如实记录。</w:t>
            </w:r>
          </w:p>
        </w:tc>
        <w:tc>
          <w:tcPr>
            <w:tcW w:w="432" w:type="pct"/>
            <w:tcBorders>
              <w:tl2br w:val="nil"/>
              <w:tr2bl w:val="nil"/>
            </w:tcBorders>
            <w:noWrap w:val="0"/>
            <w:vAlign w:val="center"/>
          </w:tcPr>
          <w:p w14:paraId="3079F2E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符合</w:t>
            </w:r>
          </w:p>
        </w:tc>
      </w:tr>
    </w:tbl>
    <w:p w14:paraId="50654944">
      <w:pPr>
        <w:keepNext w:val="0"/>
        <w:keepLines w:val="0"/>
        <w:pageBreakBefore w:val="0"/>
        <w:widowControl w:val="0"/>
        <w:kinsoku/>
        <w:wordWrap/>
        <w:overflowPunct/>
        <w:topLinePunct/>
        <w:autoSpaceDE/>
        <w:autoSpaceDN/>
        <w:bidi w:val="0"/>
        <w:adjustRightInd w:val="0"/>
        <w:snapToGrid/>
        <w:ind w:firstLine="560"/>
        <w:textAlignment w:val="auto"/>
        <w:rPr>
          <w:rFonts w:hint="eastAsia" w:ascii="宋体" w:hAnsi="宋体" w:eastAsia="宋体" w:cs="Times New Roman"/>
        </w:rPr>
      </w:pPr>
      <w:r>
        <w:rPr>
          <w:rFonts w:hint="eastAsia" w:ascii="宋体" w:hAnsi="宋体" w:eastAsia="宋体" w:cs="Times New Roman"/>
        </w:rPr>
        <w:t>根据以上检查结果可知，本项目安全教育培训符合《中华人民共和国安全生产法》</w:t>
      </w:r>
      <w:r>
        <w:rPr>
          <w:rFonts w:hint="eastAsia" w:ascii="宋体" w:hAnsi="宋体" w:eastAsia="宋体" w:cs="Times New Roman"/>
          <w:lang w:eastAsia="zh-CN"/>
        </w:rPr>
        <w:t>《</w:t>
      </w:r>
      <w:r>
        <w:rPr>
          <w:rFonts w:hint="eastAsia" w:ascii="宋体" w:hAnsi="宋体" w:eastAsia="宋体" w:cs="Times New Roman"/>
        </w:rPr>
        <w:t>工贸企业有限空间作业安全规定</w:t>
      </w:r>
      <w:r>
        <w:rPr>
          <w:rFonts w:hint="eastAsia" w:ascii="宋体" w:hAnsi="宋体" w:eastAsia="宋体" w:cs="Times New Roman"/>
          <w:lang w:eastAsia="zh-CN"/>
        </w:rPr>
        <w:t>》（</w:t>
      </w:r>
      <w:r>
        <w:rPr>
          <w:rFonts w:hint="eastAsia" w:ascii="宋体" w:hAnsi="宋体" w:eastAsia="宋体" w:cs="Times New Roman"/>
          <w:lang w:val="en-US" w:eastAsia="zh-CN"/>
        </w:rPr>
        <w:t>应急部令第13号）</w:t>
      </w:r>
      <w:r>
        <w:rPr>
          <w:rFonts w:hint="eastAsia" w:ascii="宋体" w:hAnsi="宋体" w:eastAsia="宋体" w:cs="Times New Roman"/>
        </w:rPr>
        <w:t>等国家标准规范的要求。</w:t>
      </w:r>
    </w:p>
    <w:p w14:paraId="4CC1A337">
      <w:pPr>
        <w:pStyle w:val="4"/>
        <w:keepNext w:val="0"/>
        <w:keepLines w:val="0"/>
        <w:pageBreakBefore w:val="0"/>
        <w:widowControl w:val="0"/>
        <w:kinsoku/>
        <w:bidi w:val="0"/>
        <w:ind w:left="720" w:leftChars="0" w:hanging="720" w:firstLineChars="0"/>
      </w:pPr>
      <w:bookmarkStart w:id="1119" w:name="_Toc60925441"/>
      <w:bookmarkStart w:id="1120" w:name="_Toc46697269"/>
      <w:bookmarkStart w:id="1121" w:name="_Toc27316"/>
      <w:bookmarkStart w:id="1122" w:name="_Toc498299393"/>
      <w:bookmarkStart w:id="1123" w:name="_Toc498519863"/>
      <w:bookmarkStart w:id="1124" w:name="_Toc55945332"/>
      <w:bookmarkStart w:id="1125" w:name="_Toc500007199"/>
      <w:bookmarkStart w:id="1126" w:name="_Toc16147"/>
      <w:r>
        <w:rPr>
          <w:rFonts w:hint="eastAsia"/>
        </w:rPr>
        <w:t>危险源管理</w:t>
      </w:r>
      <w:bookmarkEnd w:id="1119"/>
      <w:bookmarkEnd w:id="1120"/>
      <w:bookmarkEnd w:id="1121"/>
      <w:bookmarkEnd w:id="1122"/>
      <w:bookmarkEnd w:id="1123"/>
      <w:bookmarkEnd w:id="1124"/>
      <w:bookmarkEnd w:id="1125"/>
      <w:bookmarkEnd w:id="1126"/>
    </w:p>
    <w:p w14:paraId="236DB94C">
      <w:pPr>
        <w:pStyle w:val="12"/>
        <w:keepNext w:val="0"/>
        <w:keepLines w:val="0"/>
        <w:pageBreakBefore w:val="0"/>
        <w:widowControl w:val="0"/>
        <w:kinsoku/>
        <w:wordWrap/>
        <w:bidi w:val="0"/>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16</w:t>
      </w:r>
      <w:r>
        <w:rPr>
          <w:rFonts w:hint="eastAsia"/>
          <w:lang w:val="en-US" w:eastAsia="zh-CN"/>
        </w:rPr>
        <w:fldChar w:fldCharType="end"/>
      </w:r>
      <w:r>
        <w:rPr>
          <w:rFonts w:hint="eastAsia"/>
        </w:rPr>
        <w:t>危险源管理情况安全检查表</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2842"/>
        <w:gridCol w:w="1967"/>
        <w:gridCol w:w="2301"/>
        <w:gridCol w:w="737"/>
      </w:tblGrid>
      <w:tr w14:paraId="09C708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97" w:type="pct"/>
            <w:tcBorders>
              <w:tl2br w:val="nil"/>
              <w:tr2bl w:val="nil"/>
            </w:tcBorders>
            <w:noWrap w:val="0"/>
            <w:vAlign w:val="center"/>
          </w:tcPr>
          <w:p w14:paraId="512E2ED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序号</w:t>
            </w:r>
          </w:p>
        </w:tc>
        <w:tc>
          <w:tcPr>
            <w:tcW w:w="1666" w:type="pct"/>
            <w:tcBorders>
              <w:tl2br w:val="nil"/>
              <w:tr2bl w:val="nil"/>
            </w:tcBorders>
            <w:noWrap w:val="0"/>
            <w:vAlign w:val="center"/>
          </w:tcPr>
          <w:p w14:paraId="5E0AEED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检查内容</w:t>
            </w:r>
          </w:p>
        </w:tc>
        <w:tc>
          <w:tcPr>
            <w:tcW w:w="1153" w:type="pct"/>
            <w:tcBorders>
              <w:tl2br w:val="nil"/>
              <w:tr2bl w:val="nil"/>
            </w:tcBorders>
            <w:noWrap w:val="0"/>
            <w:vAlign w:val="center"/>
          </w:tcPr>
          <w:p w14:paraId="33341BC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依据标准</w:t>
            </w:r>
          </w:p>
        </w:tc>
        <w:tc>
          <w:tcPr>
            <w:tcW w:w="1349" w:type="pct"/>
            <w:tcBorders>
              <w:tl2br w:val="nil"/>
              <w:tr2bl w:val="nil"/>
            </w:tcBorders>
            <w:noWrap w:val="0"/>
            <w:vAlign w:val="center"/>
          </w:tcPr>
          <w:p w14:paraId="2850D87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检查情况</w:t>
            </w:r>
          </w:p>
        </w:tc>
        <w:tc>
          <w:tcPr>
            <w:tcW w:w="432" w:type="pct"/>
            <w:tcBorders>
              <w:tl2br w:val="nil"/>
              <w:tr2bl w:val="nil"/>
            </w:tcBorders>
            <w:noWrap w:val="0"/>
            <w:vAlign w:val="center"/>
          </w:tcPr>
          <w:p w14:paraId="1B77F6A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结论</w:t>
            </w:r>
          </w:p>
        </w:tc>
      </w:tr>
      <w:tr w14:paraId="330ED0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noWrap w:val="0"/>
            <w:vAlign w:val="center"/>
          </w:tcPr>
          <w:p w14:paraId="39DCB7FD">
            <w:pPr>
              <w:keepNext w:val="0"/>
              <w:keepLines w:val="0"/>
              <w:pageBreakBefore w:val="0"/>
              <w:widowControl w:val="0"/>
              <w:numPr>
                <w:ilvl w:val="0"/>
                <w:numId w:val="130"/>
              </w:numPr>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c>
          <w:tcPr>
            <w:tcW w:w="1666" w:type="pct"/>
            <w:tcBorders>
              <w:tl2br w:val="nil"/>
              <w:tr2bl w:val="nil"/>
            </w:tcBorders>
            <w:noWrap w:val="0"/>
            <w:vAlign w:val="center"/>
          </w:tcPr>
          <w:p w14:paraId="1421C89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安全设备的设计、制造、安装、使用、检测、维修、改造和报废，应当符合国家标准或者行业标准。</w:t>
            </w:r>
          </w:p>
          <w:p w14:paraId="5839693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生产经营单位必须对安全设备进行经常性维护、保养，并定期检测，保证正常运转。维护、保养、检测应当</w:t>
            </w:r>
            <w:r>
              <w:rPr>
                <w:rFonts w:hint="eastAsia" w:cs="宋体"/>
                <w:sz w:val="21"/>
                <w:szCs w:val="21"/>
                <w:lang w:eastAsia="zh-CN"/>
              </w:rPr>
              <w:t>做好</w:t>
            </w:r>
            <w:r>
              <w:rPr>
                <w:rFonts w:hint="eastAsia" w:ascii="宋体" w:hAnsi="宋体" w:eastAsia="宋体" w:cs="宋体"/>
                <w:sz w:val="21"/>
                <w:szCs w:val="21"/>
              </w:rPr>
              <w:t>记录，并由有关人员签字。</w:t>
            </w:r>
          </w:p>
          <w:p w14:paraId="144AA90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生产经营单位不得关闭、破坏直接关系生产安全的监控、报警、防护、救生设备、设施，或者篡改、隐瞒、销毁其相关数据、信息。</w:t>
            </w:r>
          </w:p>
          <w:p w14:paraId="507D2AF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餐饮等行业的生产经营单位使用燃气的，应当安装可燃气体报警装置，并保障其正常使用。</w:t>
            </w:r>
          </w:p>
        </w:tc>
        <w:tc>
          <w:tcPr>
            <w:tcW w:w="1153" w:type="pct"/>
            <w:tcBorders>
              <w:tl2br w:val="nil"/>
              <w:tr2bl w:val="nil"/>
            </w:tcBorders>
            <w:noWrap w:val="0"/>
            <w:vAlign w:val="center"/>
          </w:tcPr>
          <w:p w14:paraId="2CF8E93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4137871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第三十六条</w:t>
            </w:r>
          </w:p>
        </w:tc>
        <w:tc>
          <w:tcPr>
            <w:tcW w:w="1349" w:type="pct"/>
            <w:tcBorders>
              <w:tl2br w:val="nil"/>
              <w:tr2bl w:val="nil"/>
            </w:tcBorders>
            <w:noWrap w:val="0"/>
            <w:vAlign w:val="center"/>
          </w:tcPr>
          <w:p w14:paraId="2EF4416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Times New Roman"/>
                <w:sz w:val="21"/>
                <w:szCs w:val="21"/>
              </w:rPr>
            </w:pPr>
            <w:r>
              <w:rPr>
                <w:rFonts w:hint="eastAsia" w:ascii="宋体" w:hAnsi="宋体" w:eastAsia="宋体" w:cs="Times New Roman"/>
                <w:sz w:val="21"/>
                <w:szCs w:val="21"/>
              </w:rPr>
              <w:t>本项目对安全设备进行经常性维护、保养，并定期检测，保证正常运转。</w:t>
            </w:r>
          </w:p>
        </w:tc>
        <w:tc>
          <w:tcPr>
            <w:tcW w:w="432" w:type="pct"/>
            <w:tcBorders>
              <w:tl2br w:val="nil"/>
              <w:tr2bl w:val="nil"/>
            </w:tcBorders>
            <w:noWrap w:val="0"/>
            <w:vAlign w:val="center"/>
          </w:tcPr>
          <w:p w14:paraId="23B74F4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1D68F8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noWrap w:val="0"/>
            <w:vAlign w:val="center"/>
          </w:tcPr>
          <w:p w14:paraId="64E80F5D">
            <w:pPr>
              <w:keepNext w:val="0"/>
              <w:keepLines w:val="0"/>
              <w:pageBreakBefore w:val="0"/>
              <w:widowControl w:val="0"/>
              <w:numPr>
                <w:ilvl w:val="0"/>
                <w:numId w:val="130"/>
              </w:numPr>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c>
          <w:tcPr>
            <w:tcW w:w="1666" w:type="pct"/>
            <w:tcBorders>
              <w:tl2br w:val="nil"/>
              <w:tr2bl w:val="nil"/>
            </w:tcBorders>
            <w:noWrap w:val="0"/>
            <w:vAlign w:val="center"/>
          </w:tcPr>
          <w:p w14:paraId="225CE35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生产经营单位应当建立安全风险分级管控制度，按照安全风险分级采取相应的管控措施。</w:t>
            </w:r>
          </w:p>
          <w:p w14:paraId="314EB86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tc>
        <w:tc>
          <w:tcPr>
            <w:tcW w:w="1153" w:type="pct"/>
            <w:tcBorders>
              <w:tl2br w:val="nil"/>
              <w:tr2bl w:val="nil"/>
            </w:tcBorders>
            <w:noWrap w:val="0"/>
            <w:vAlign w:val="center"/>
          </w:tcPr>
          <w:p w14:paraId="16BDDA5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136334C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第四十一条</w:t>
            </w:r>
          </w:p>
        </w:tc>
        <w:tc>
          <w:tcPr>
            <w:tcW w:w="1349" w:type="pct"/>
            <w:tcBorders>
              <w:tl2br w:val="nil"/>
              <w:tr2bl w:val="nil"/>
            </w:tcBorders>
            <w:noWrap w:val="0"/>
            <w:vAlign w:val="center"/>
          </w:tcPr>
          <w:p w14:paraId="7B307DF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Times New Roman"/>
                <w:sz w:val="21"/>
                <w:szCs w:val="21"/>
                <w:lang w:eastAsia="zh-CN"/>
              </w:rPr>
            </w:pPr>
            <w:r>
              <w:rPr>
                <w:rFonts w:hint="eastAsia" w:ascii="宋体" w:hAnsi="宋体" w:eastAsia="宋体" w:cs="Times New Roman"/>
                <w:sz w:val="21"/>
                <w:szCs w:val="21"/>
              </w:rPr>
              <w:t>该公司建立了危险源辨识及风险管理程序</w:t>
            </w:r>
            <w:r>
              <w:rPr>
                <w:rFonts w:hint="eastAsia" w:ascii="宋体" w:hAnsi="宋体" w:eastAsia="宋体" w:cs="Times New Roman"/>
                <w:sz w:val="21"/>
                <w:szCs w:val="21"/>
                <w:lang w:eastAsia="zh-CN"/>
              </w:rPr>
              <w:t>。</w:t>
            </w:r>
            <w:r>
              <w:rPr>
                <w:rFonts w:hint="eastAsia" w:ascii="宋体" w:hAnsi="宋体" w:eastAsia="宋体" w:cs="Times New Roman"/>
                <w:sz w:val="21"/>
                <w:szCs w:val="21"/>
              </w:rPr>
              <w:t>建立健全并落实生产安全事故隐患排查治理制度</w:t>
            </w:r>
            <w:r>
              <w:rPr>
                <w:rFonts w:hint="eastAsia" w:ascii="宋体" w:hAnsi="宋体" w:eastAsia="宋体" w:cs="Times New Roman"/>
                <w:sz w:val="21"/>
                <w:szCs w:val="21"/>
                <w:lang w:eastAsia="zh-CN"/>
              </w:rPr>
              <w:t>。</w:t>
            </w:r>
          </w:p>
          <w:p w14:paraId="77A52EC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Times New Roman"/>
                <w:sz w:val="21"/>
                <w:szCs w:val="21"/>
              </w:rPr>
            </w:pPr>
          </w:p>
        </w:tc>
        <w:tc>
          <w:tcPr>
            <w:tcW w:w="432" w:type="pct"/>
            <w:tcBorders>
              <w:tl2br w:val="nil"/>
              <w:tr2bl w:val="nil"/>
            </w:tcBorders>
            <w:noWrap w:val="0"/>
            <w:vAlign w:val="center"/>
          </w:tcPr>
          <w:p w14:paraId="40F8DB0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1F2F28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noWrap w:val="0"/>
            <w:vAlign w:val="center"/>
          </w:tcPr>
          <w:p w14:paraId="03DDCDA5">
            <w:pPr>
              <w:keepNext w:val="0"/>
              <w:keepLines w:val="0"/>
              <w:pageBreakBefore w:val="0"/>
              <w:widowControl w:val="0"/>
              <w:numPr>
                <w:ilvl w:val="0"/>
                <w:numId w:val="130"/>
              </w:numPr>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c>
          <w:tcPr>
            <w:tcW w:w="1666" w:type="pct"/>
            <w:tcBorders>
              <w:tl2br w:val="nil"/>
              <w:tr2bl w:val="nil"/>
            </w:tcBorders>
            <w:noWrap w:val="0"/>
            <w:vAlign w:val="center"/>
          </w:tcPr>
          <w:p w14:paraId="4AC6453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生产经营单位应当教育和督促从业人员严格执行本单位的安全生产规章制度和安全操作规程；并向从业人员如实告知作业场所和工作岗位存在的危险因素、防范措施以及事故应急措施。</w:t>
            </w:r>
          </w:p>
          <w:p w14:paraId="1D6F5A0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生产经营单位应当关注从业人员的身体、心理状况和行为习惯，加强对从业人员的心理疏导、精神慰藉，严格落实岗位安全生产责任，防范从业人员行为异常导致事故发生。</w:t>
            </w:r>
          </w:p>
        </w:tc>
        <w:tc>
          <w:tcPr>
            <w:tcW w:w="1153" w:type="pct"/>
            <w:tcBorders>
              <w:tl2br w:val="nil"/>
              <w:tr2bl w:val="nil"/>
            </w:tcBorders>
            <w:noWrap w:val="0"/>
            <w:vAlign w:val="center"/>
          </w:tcPr>
          <w:p w14:paraId="5272E96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58B02FF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第四十四条</w:t>
            </w:r>
          </w:p>
        </w:tc>
        <w:tc>
          <w:tcPr>
            <w:tcW w:w="1349" w:type="pct"/>
            <w:tcBorders>
              <w:tl2br w:val="nil"/>
              <w:tr2bl w:val="nil"/>
            </w:tcBorders>
            <w:noWrap w:val="0"/>
            <w:vAlign w:val="center"/>
          </w:tcPr>
          <w:p w14:paraId="5A0336E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Times New Roman"/>
                <w:sz w:val="21"/>
                <w:szCs w:val="21"/>
              </w:rPr>
            </w:pPr>
            <w:r>
              <w:rPr>
                <w:rFonts w:hint="eastAsia" w:ascii="宋体" w:hAnsi="宋体" w:eastAsia="宋体" w:cs="Times New Roman"/>
                <w:sz w:val="21"/>
                <w:szCs w:val="21"/>
              </w:rPr>
              <w:t>该公司已教育和督促从业人员严格执行本单位的安全生产规章制度和安全操作规程；并已向从业人员如实告知作业场所和工作岗位存在的危险因素、防范措施以及事故应急措施。</w:t>
            </w:r>
          </w:p>
        </w:tc>
        <w:tc>
          <w:tcPr>
            <w:tcW w:w="432" w:type="pct"/>
            <w:tcBorders>
              <w:tl2br w:val="nil"/>
              <w:tr2bl w:val="nil"/>
            </w:tcBorders>
            <w:noWrap w:val="0"/>
            <w:vAlign w:val="center"/>
          </w:tcPr>
          <w:p w14:paraId="7288D06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2CF0AC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noWrap w:val="0"/>
            <w:vAlign w:val="center"/>
          </w:tcPr>
          <w:p w14:paraId="13C0A318">
            <w:pPr>
              <w:keepNext w:val="0"/>
              <w:keepLines w:val="0"/>
              <w:pageBreakBefore w:val="0"/>
              <w:widowControl w:val="0"/>
              <w:numPr>
                <w:ilvl w:val="0"/>
                <w:numId w:val="130"/>
              </w:numPr>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c>
          <w:tcPr>
            <w:tcW w:w="1666" w:type="pct"/>
            <w:tcBorders>
              <w:tl2br w:val="nil"/>
              <w:tr2bl w:val="nil"/>
            </w:tcBorders>
            <w:noWrap w:val="0"/>
            <w:vAlign w:val="center"/>
          </w:tcPr>
          <w:p w14:paraId="35EF635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生产经营单位应当建立健全下列制度：</w:t>
            </w:r>
          </w:p>
          <w:p w14:paraId="40DB2681">
            <w:pPr>
              <w:keepNext w:val="0"/>
              <w:keepLines w:val="0"/>
              <w:pageBreakBefore w:val="0"/>
              <w:widowControl w:val="0"/>
              <w:numPr>
                <w:ilvl w:val="0"/>
                <w:numId w:val="131"/>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安全生产责任制度；</w:t>
            </w:r>
          </w:p>
          <w:p w14:paraId="5BEE16B5">
            <w:pPr>
              <w:keepNext w:val="0"/>
              <w:keepLines w:val="0"/>
              <w:pageBreakBefore w:val="0"/>
              <w:widowControl w:val="0"/>
              <w:numPr>
                <w:ilvl w:val="0"/>
                <w:numId w:val="131"/>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安全生产例会制度；</w:t>
            </w:r>
          </w:p>
          <w:p w14:paraId="57A8D0B6">
            <w:pPr>
              <w:keepNext w:val="0"/>
              <w:keepLines w:val="0"/>
              <w:pageBreakBefore w:val="0"/>
              <w:widowControl w:val="0"/>
              <w:numPr>
                <w:ilvl w:val="0"/>
                <w:numId w:val="131"/>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安全生产奖惩制度；</w:t>
            </w:r>
          </w:p>
          <w:p w14:paraId="6F4FD204">
            <w:pPr>
              <w:keepNext w:val="0"/>
              <w:keepLines w:val="0"/>
              <w:pageBreakBefore w:val="0"/>
              <w:widowControl w:val="0"/>
              <w:numPr>
                <w:ilvl w:val="0"/>
                <w:numId w:val="131"/>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安全生产教育培训制度；</w:t>
            </w:r>
          </w:p>
          <w:p w14:paraId="0ADDA6B5">
            <w:pPr>
              <w:keepNext w:val="0"/>
              <w:keepLines w:val="0"/>
              <w:pageBreakBefore w:val="0"/>
              <w:widowControl w:val="0"/>
              <w:numPr>
                <w:ilvl w:val="0"/>
                <w:numId w:val="131"/>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安全生产检查制度；</w:t>
            </w:r>
          </w:p>
          <w:p w14:paraId="156102A1">
            <w:pPr>
              <w:keepNext w:val="0"/>
              <w:keepLines w:val="0"/>
              <w:pageBreakBefore w:val="0"/>
              <w:widowControl w:val="0"/>
              <w:numPr>
                <w:ilvl w:val="0"/>
                <w:numId w:val="131"/>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生产经营场所、设备、设施安全管理制度；</w:t>
            </w:r>
          </w:p>
          <w:p w14:paraId="6E4BCC00">
            <w:pPr>
              <w:keepNext w:val="0"/>
              <w:keepLines w:val="0"/>
              <w:pageBreakBefore w:val="0"/>
              <w:widowControl w:val="0"/>
              <w:numPr>
                <w:ilvl w:val="0"/>
                <w:numId w:val="131"/>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安全生产风险分级管理控制制度；</w:t>
            </w:r>
          </w:p>
          <w:p w14:paraId="6BCB0FAE">
            <w:pPr>
              <w:keepNext w:val="0"/>
              <w:keepLines w:val="0"/>
              <w:pageBreakBefore w:val="0"/>
              <w:widowControl w:val="0"/>
              <w:numPr>
                <w:ilvl w:val="0"/>
                <w:numId w:val="131"/>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危险源管理制度；</w:t>
            </w:r>
          </w:p>
          <w:p w14:paraId="7595BBD3">
            <w:pPr>
              <w:keepNext w:val="0"/>
              <w:keepLines w:val="0"/>
              <w:pageBreakBefore w:val="0"/>
              <w:widowControl w:val="0"/>
              <w:numPr>
                <w:ilvl w:val="0"/>
                <w:numId w:val="131"/>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安全生产应急管理和事故报告处理制度；</w:t>
            </w:r>
          </w:p>
          <w:p w14:paraId="1FC1DDF9">
            <w:pPr>
              <w:keepNext w:val="0"/>
              <w:keepLines w:val="0"/>
              <w:pageBreakBefore w:val="0"/>
              <w:widowControl w:val="0"/>
              <w:numPr>
                <w:ilvl w:val="0"/>
                <w:numId w:val="131"/>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危险作业、特种作业人员、劳动防护用品管理制度；</w:t>
            </w:r>
          </w:p>
          <w:p w14:paraId="5655D9F6">
            <w:pPr>
              <w:keepNext w:val="0"/>
              <w:keepLines w:val="0"/>
              <w:pageBreakBefore w:val="0"/>
              <w:widowControl w:val="0"/>
              <w:numPr>
                <w:ilvl w:val="0"/>
                <w:numId w:val="131"/>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法律法规规定的其他安全生产制度。</w:t>
            </w:r>
          </w:p>
        </w:tc>
        <w:tc>
          <w:tcPr>
            <w:tcW w:w="1153" w:type="pct"/>
            <w:tcBorders>
              <w:tl2br w:val="nil"/>
              <w:tr2bl w:val="nil"/>
            </w:tcBorders>
            <w:noWrap w:val="0"/>
            <w:vAlign w:val="center"/>
          </w:tcPr>
          <w:p w14:paraId="45A9273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《云南省安全生产条例》第十八条</w:t>
            </w:r>
          </w:p>
        </w:tc>
        <w:tc>
          <w:tcPr>
            <w:tcW w:w="1349" w:type="pct"/>
            <w:tcBorders>
              <w:tl2br w:val="nil"/>
              <w:tr2bl w:val="nil"/>
            </w:tcBorders>
            <w:noWrap w:val="0"/>
            <w:vAlign w:val="center"/>
          </w:tcPr>
          <w:p w14:paraId="1289785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该公司建立所述制度，包括了危险源管理制度。</w:t>
            </w:r>
          </w:p>
        </w:tc>
        <w:tc>
          <w:tcPr>
            <w:tcW w:w="432" w:type="pct"/>
            <w:tcBorders>
              <w:tl2br w:val="nil"/>
              <w:tr2bl w:val="nil"/>
            </w:tcBorders>
            <w:noWrap w:val="0"/>
            <w:vAlign w:val="center"/>
          </w:tcPr>
          <w:p w14:paraId="1D155C9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0065B1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7" w:type="pct"/>
            <w:tcBorders>
              <w:tl2br w:val="nil"/>
              <w:tr2bl w:val="nil"/>
            </w:tcBorders>
            <w:noWrap w:val="0"/>
            <w:vAlign w:val="center"/>
          </w:tcPr>
          <w:p w14:paraId="2258526C">
            <w:pPr>
              <w:keepNext w:val="0"/>
              <w:keepLines w:val="0"/>
              <w:pageBreakBefore w:val="0"/>
              <w:widowControl w:val="0"/>
              <w:numPr>
                <w:ilvl w:val="0"/>
                <w:numId w:val="130"/>
              </w:numPr>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c>
          <w:tcPr>
            <w:tcW w:w="1666" w:type="pct"/>
            <w:tcBorders>
              <w:tl2br w:val="nil"/>
              <w:tr2bl w:val="nil"/>
            </w:tcBorders>
            <w:noWrap w:val="0"/>
            <w:vAlign w:val="center"/>
          </w:tcPr>
          <w:p w14:paraId="3266BFE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生产经营单位应当制定符合有关法律法规规定的安全生产自检自查标准，建立事故隐患排查治理长效机制。</w:t>
            </w:r>
          </w:p>
          <w:p w14:paraId="5AD586E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生产经营单位应当实行事故隐患清单管理，及时消除事故隐患；不能及时消除的，应当采取安全防范措施，制定治理方案，落实整改措施、责任、资金、时限和应急预案。</w:t>
            </w:r>
          </w:p>
          <w:p w14:paraId="0D913F7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生产经营单位可以委托具备相应能力的技术服务机构进行安全风险分析和事故隐患排查。</w:t>
            </w:r>
          </w:p>
          <w:p w14:paraId="48007A1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sz w:val="21"/>
                <w:szCs w:val="21"/>
              </w:rPr>
            </w:pPr>
            <w:r>
              <w:rPr>
                <w:rFonts w:hint="eastAsia" w:ascii="宋体" w:hAnsi="宋体" w:eastAsia="宋体" w:cs="宋体"/>
                <w:sz w:val="21"/>
                <w:szCs w:val="21"/>
              </w:rPr>
              <w:t>生产经营单位应当如实记录事故隐患排查治理情况，按照规定向有关部门报告，并向从业人员通报。</w:t>
            </w:r>
          </w:p>
        </w:tc>
        <w:tc>
          <w:tcPr>
            <w:tcW w:w="1153" w:type="pct"/>
            <w:tcBorders>
              <w:tl2br w:val="nil"/>
              <w:tr2bl w:val="nil"/>
            </w:tcBorders>
            <w:noWrap w:val="0"/>
            <w:vAlign w:val="center"/>
          </w:tcPr>
          <w:p w14:paraId="6CBC9FD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《云南省安全生产条例》</w:t>
            </w:r>
          </w:p>
          <w:p w14:paraId="07E0FA0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第十九条</w:t>
            </w:r>
          </w:p>
        </w:tc>
        <w:tc>
          <w:tcPr>
            <w:tcW w:w="1349" w:type="pct"/>
            <w:tcBorders>
              <w:tl2br w:val="nil"/>
              <w:tr2bl w:val="nil"/>
            </w:tcBorders>
            <w:noWrap w:val="0"/>
            <w:vAlign w:val="center"/>
          </w:tcPr>
          <w:p w14:paraId="16B7FC2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该公司建立了生产安全事故隐患排查治理制度。</w:t>
            </w:r>
          </w:p>
        </w:tc>
        <w:tc>
          <w:tcPr>
            <w:tcW w:w="432" w:type="pct"/>
            <w:tcBorders>
              <w:tl2br w:val="nil"/>
              <w:tr2bl w:val="nil"/>
            </w:tcBorders>
            <w:noWrap w:val="0"/>
            <w:vAlign w:val="center"/>
          </w:tcPr>
          <w:p w14:paraId="42F2DA2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bl>
    <w:p w14:paraId="32A157D9">
      <w:pPr>
        <w:bidi w:val="0"/>
      </w:pPr>
      <w:r>
        <w:rPr>
          <w:rFonts w:hint="eastAsia"/>
        </w:rPr>
        <w:t>根据以上检查结果可知，本项目危险源管理符合《中华人民共和国安全生产法</w:t>
      </w:r>
      <w:r>
        <w:rPr>
          <w:rFonts w:hint="eastAsia"/>
          <w:lang w:eastAsia="zh-CN"/>
        </w:rPr>
        <w:t>》《</w:t>
      </w:r>
      <w:r>
        <w:rPr>
          <w:rFonts w:hint="eastAsia"/>
        </w:rPr>
        <w:t>云南省安全生产条例》等国家标准规范的要求。</w:t>
      </w:r>
    </w:p>
    <w:p w14:paraId="4436F3E1">
      <w:pPr>
        <w:pStyle w:val="4"/>
        <w:keepNext w:val="0"/>
        <w:keepLines w:val="0"/>
        <w:pageBreakBefore w:val="0"/>
        <w:widowControl w:val="0"/>
        <w:kinsoku/>
        <w:bidi w:val="0"/>
        <w:ind w:left="720" w:leftChars="0" w:hanging="720" w:firstLineChars="0"/>
      </w:pPr>
      <w:bookmarkStart w:id="1127" w:name="_Toc498299394"/>
      <w:bookmarkStart w:id="1128" w:name="_Toc691"/>
      <w:bookmarkStart w:id="1129" w:name="_Toc498519864"/>
      <w:bookmarkStart w:id="1130" w:name="_Toc60925442"/>
      <w:bookmarkStart w:id="1131" w:name="_Toc46697270"/>
      <w:bookmarkStart w:id="1132" w:name="_Toc500007200"/>
      <w:bookmarkStart w:id="1133" w:name="_Toc55945333"/>
      <w:bookmarkStart w:id="1134" w:name="_Toc8671"/>
      <w:r>
        <w:rPr>
          <w:rFonts w:hint="eastAsia"/>
        </w:rPr>
        <w:t>安全检查</w:t>
      </w:r>
      <w:bookmarkEnd w:id="1127"/>
      <w:bookmarkEnd w:id="1128"/>
      <w:bookmarkEnd w:id="1129"/>
      <w:bookmarkEnd w:id="1130"/>
      <w:bookmarkEnd w:id="1131"/>
      <w:bookmarkEnd w:id="1132"/>
      <w:bookmarkEnd w:id="1133"/>
      <w:bookmarkEnd w:id="1134"/>
    </w:p>
    <w:p w14:paraId="463C27DF">
      <w:pPr>
        <w:pStyle w:val="12"/>
        <w:keepNext w:val="0"/>
        <w:keepLines w:val="0"/>
        <w:pageBreakBefore w:val="0"/>
        <w:widowControl w:val="0"/>
        <w:kinsoku/>
        <w:wordWrap/>
        <w:bidi w:val="0"/>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17</w:t>
      </w:r>
      <w:r>
        <w:rPr>
          <w:rFonts w:hint="eastAsia"/>
          <w:lang w:val="en-US" w:eastAsia="zh-CN"/>
        </w:rPr>
        <w:fldChar w:fldCharType="end"/>
      </w:r>
      <w:r>
        <w:rPr>
          <w:rFonts w:hint="eastAsia"/>
        </w:rPr>
        <w:t>安全检查情况安全检查表</w:t>
      </w:r>
    </w:p>
    <w:tbl>
      <w:tblPr>
        <w:tblStyle w:val="32"/>
        <w:tblW w:w="509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9"/>
        <w:gridCol w:w="4171"/>
        <w:gridCol w:w="1824"/>
        <w:gridCol w:w="1391"/>
        <w:gridCol w:w="650"/>
      </w:tblGrid>
      <w:tr w14:paraId="3166D1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73" w:type="pct"/>
            <w:tcBorders>
              <w:tl2br w:val="nil"/>
              <w:tr2bl w:val="nil"/>
            </w:tcBorders>
            <w:noWrap w:val="0"/>
            <w:vAlign w:val="center"/>
          </w:tcPr>
          <w:p w14:paraId="4021E489">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宋体" w:hAnsi="宋体" w:eastAsia="宋体" w:cs="宋体"/>
                <w:b/>
                <w:bCs/>
                <w:sz w:val="21"/>
                <w:szCs w:val="21"/>
              </w:rPr>
            </w:pPr>
            <w:r>
              <w:rPr>
                <w:rFonts w:hint="eastAsia" w:ascii="宋体" w:hAnsi="宋体" w:eastAsia="宋体" w:cs="宋体"/>
                <w:b/>
                <w:bCs/>
                <w:sz w:val="21"/>
                <w:szCs w:val="21"/>
              </w:rPr>
              <w:t>序号</w:t>
            </w:r>
          </w:p>
        </w:tc>
        <w:tc>
          <w:tcPr>
            <w:tcW w:w="2401" w:type="pct"/>
            <w:tcBorders>
              <w:tl2br w:val="nil"/>
              <w:tr2bl w:val="nil"/>
            </w:tcBorders>
            <w:noWrap w:val="0"/>
            <w:vAlign w:val="center"/>
          </w:tcPr>
          <w:p w14:paraId="390F60F6">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宋体" w:hAnsi="宋体" w:eastAsia="宋体" w:cs="宋体"/>
                <w:b/>
                <w:bCs/>
                <w:sz w:val="21"/>
                <w:szCs w:val="21"/>
              </w:rPr>
            </w:pPr>
            <w:r>
              <w:rPr>
                <w:rFonts w:hint="eastAsia" w:ascii="宋体" w:hAnsi="宋体" w:eastAsia="宋体" w:cs="宋体"/>
                <w:b/>
                <w:bCs/>
                <w:sz w:val="21"/>
                <w:szCs w:val="21"/>
              </w:rPr>
              <w:t>检查内容</w:t>
            </w:r>
          </w:p>
        </w:tc>
        <w:tc>
          <w:tcPr>
            <w:tcW w:w="1049" w:type="pct"/>
            <w:tcBorders>
              <w:tl2br w:val="nil"/>
              <w:tr2bl w:val="nil"/>
            </w:tcBorders>
            <w:noWrap w:val="0"/>
            <w:vAlign w:val="center"/>
          </w:tcPr>
          <w:p w14:paraId="0B1A2A17">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宋体" w:hAnsi="宋体" w:eastAsia="宋体" w:cs="宋体"/>
                <w:b/>
                <w:bCs/>
                <w:sz w:val="21"/>
                <w:szCs w:val="21"/>
              </w:rPr>
            </w:pPr>
            <w:r>
              <w:rPr>
                <w:rFonts w:hint="eastAsia" w:ascii="宋体" w:hAnsi="宋体" w:eastAsia="宋体" w:cs="宋体"/>
                <w:b/>
                <w:bCs/>
                <w:sz w:val="21"/>
                <w:szCs w:val="21"/>
              </w:rPr>
              <w:t>依据标准</w:t>
            </w:r>
          </w:p>
        </w:tc>
        <w:tc>
          <w:tcPr>
            <w:tcW w:w="800" w:type="pct"/>
            <w:tcBorders>
              <w:tl2br w:val="nil"/>
              <w:tr2bl w:val="nil"/>
            </w:tcBorders>
            <w:noWrap w:val="0"/>
            <w:vAlign w:val="center"/>
          </w:tcPr>
          <w:p w14:paraId="59AEF253">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宋体" w:hAnsi="宋体" w:eastAsia="宋体" w:cs="宋体"/>
                <w:b/>
                <w:bCs/>
                <w:sz w:val="21"/>
                <w:szCs w:val="21"/>
              </w:rPr>
            </w:pPr>
            <w:r>
              <w:rPr>
                <w:rFonts w:hint="eastAsia" w:ascii="宋体" w:hAnsi="宋体" w:eastAsia="宋体" w:cs="宋体"/>
                <w:b/>
                <w:bCs/>
                <w:sz w:val="21"/>
                <w:szCs w:val="21"/>
              </w:rPr>
              <w:t>检查情况</w:t>
            </w:r>
          </w:p>
        </w:tc>
        <w:tc>
          <w:tcPr>
            <w:tcW w:w="374" w:type="pct"/>
            <w:tcBorders>
              <w:tl2br w:val="nil"/>
              <w:tr2bl w:val="nil"/>
            </w:tcBorders>
            <w:noWrap w:val="0"/>
            <w:vAlign w:val="center"/>
          </w:tcPr>
          <w:p w14:paraId="4D78768C">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宋体" w:hAnsi="宋体" w:eastAsia="宋体" w:cs="宋体"/>
                <w:b/>
                <w:bCs/>
                <w:sz w:val="21"/>
                <w:szCs w:val="21"/>
              </w:rPr>
            </w:pPr>
            <w:r>
              <w:rPr>
                <w:rFonts w:hint="eastAsia" w:ascii="宋体" w:hAnsi="宋体" w:eastAsia="宋体" w:cs="宋体"/>
                <w:b/>
                <w:bCs/>
                <w:sz w:val="21"/>
                <w:szCs w:val="21"/>
              </w:rPr>
              <w:t>结论</w:t>
            </w:r>
          </w:p>
        </w:tc>
      </w:tr>
      <w:tr w14:paraId="6EB410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noWrap w:val="0"/>
            <w:vAlign w:val="center"/>
          </w:tcPr>
          <w:p w14:paraId="744A931E">
            <w:pPr>
              <w:keepNext w:val="0"/>
              <w:keepLines w:val="0"/>
              <w:pageBreakBefore w:val="0"/>
              <w:widowControl w:val="0"/>
              <w:numPr>
                <w:ilvl w:val="0"/>
                <w:numId w:val="132"/>
              </w:numPr>
              <w:suppressLineNumbers w:val="0"/>
              <w:kinsoku/>
              <w:wordWrap/>
              <w:bidi w:val="0"/>
              <w:spacing w:before="0" w:beforeAutospacing="0" w:after="0" w:afterAutospacing="0" w:line="240" w:lineRule="auto"/>
              <w:ind w:right="0" w:firstLine="0" w:firstLineChars="0"/>
              <w:jc w:val="center"/>
              <w:rPr>
                <w:rFonts w:hint="default" w:ascii="宋体" w:hAnsi="宋体" w:eastAsia="宋体" w:cs="宋体"/>
                <w:b/>
                <w:bCs/>
                <w:sz w:val="21"/>
                <w:szCs w:val="21"/>
              </w:rPr>
            </w:pPr>
          </w:p>
        </w:tc>
        <w:tc>
          <w:tcPr>
            <w:tcW w:w="2401" w:type="pct"/>
            <w:tcBorders>
              <w:tl2br w:val="nil"/>
              <w:tr2bl w:val="nil"/>
            </w:tcBorders>
            <w:noWrap w:val="0"/>
            <w:vAlign w:val="center"/>
          </w:tcPr>
          <w:p w14:paraId="734732C9">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default" w:ascii="宋体" w:hAnsi="宋体" w:eastAsia="宋体" w:cs="宋体"/>
                <w:bCs/>
                <w:kern w:val="0"/>
                <w:sz w:val="21"/>
                <w:szCs w:val="21"/>
              </w:rPr>
            </w:pPr>
            <w:r>
              <w:rPr>
                <w:rFonts w:hint="eastAsia" w:ascii="宋体" w:hAnsi="宋体" w:eastAsia="宋体" w:cs="宋体"/>
                <w:bCs/>
                <w:kern w:val="0"/>
                <w:sz w:val="21"/>
                <w:szCs w:val="21"/>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14:paraId="438F4C30">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default" w:ascii="宋体" w:hAnsi="宋体" w:eastAsia="宋体" w:cs="宋体"/>
                <w:bCs/>
                <w:kern w:val="0"/>
                <w:sz w:val="21"/>
                <w:szCs w:val="21"/>
              </w:rPr>
            </w:pPr>
            <w:r>
              <w:rPr>
                <w:rFonts w:hint="eastAsia" w:ascii="宋体" w:hAnsi="宋体" w:eastAsia="宋体" w:cs="宋体"/>
                <w:bCs/>
                <w:kern w:val="0"/>
                <w:sz w:val="21"/>
                <w:szCs w:val="21"/>
              </w:rPr>
              <w:t>县级以上地方各级人民政府负有安全生产监督管理职责的部门应当将重大事故隐患纳入相关信息系统，建立健全重大事故隐患治理督办制度，督促生产经营单位消除重大事故隐患。</w:t>
            </w:r>
          </w:p>
        </w:tc>
        <w:tc>
          <w:tcPr>
            <w:tcW w:w="1049" w:type="pct"/>
            <w:tcBorders>
              <w:tl2br w:val="nil"/>
              <w:tr2bl w:val="nil"/>
            </w:tcBorders>
            <w:noWrap w:val="0"/>
            <w:vAlign w:val="center"/>
          </w:tcPr>
          <w:p w14:paraId="53674707">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《中华人民共和国安全生产法》第四十一条</w:t>
            </w:r>
          </w:p>
        </w:tc>
        <w:tc>
          <w:tcPr>
            <w:tcW w:w="800" w:type="pct"/>
            <w:tcBorders>
              <w:tl2br w:val="nil"/>
              <w:tr2bl w:val="nil"/>
            </w:tcBorders>
            <w:noWrap w:val="0"/>
            <w:vAlign w:val="center"/>
          </w:tcPr>
          <w:p w14:paraId="28C1DC03">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default" w:ascii="宋体" w:hAnsi="宋体" w:eastAsia="宋体" w:cs="宋体"/>
                <w:bCs/>
                <w:kern w:val="0"/>
                <w:sz w:val="21"/>
                <w:szCs w:val="21"/>
              </w:rPr>
            </w:pPr>
            <w:r>
              <w:rPr>
                <w:rFonts w:hint="eastAsia" w:ascii="宋体" w:hAnsi="宋体" w:eastAsia="宋体" w:cs="宋体"/>
                <w:bCs/>
                <w:kern w:val="0"/>
                <w:sz w:val="21"/>
                <w:szCs w:val="21"/>
              </w:rPr>
              <w:t>企业</w:t>
            </w:r>
            <w:r>
              <w:rPr>
                <w:rFonts w:hint="eastAsia" w:cs="宋体"/>
                <w:bCs/>
                <w:kern w:val="0"/>
                <w:sz w:val="21"/>
                <w:szCs w:val="21"/>
                <w:lang w:eastAsia="zh-CN"/>
              </w:rPr>
              <w:t>建立有</w:t>
            </w:r>
            <w:r>
              <w:rPr>
                <w:rFonts w:hint="eastAsia" w:ascii="宋体" w:hAnsi="宋体" w:eastAsia="宋体" w:cs="宋体"/>
                <w:bCs/>
                <w:kern w:val="0"/>
                <w:sz w:val="21"/>
                <w:szCs w:val="21"/>
              </w:rPr>
              <w:t>隐患排查治理制度，及时排查和记录事故隐患。</w:t>
            </w:r>
          </w:p>
        </w:tc>
        <w:tc>
          <w:tcPr>
            <w:tcW w:w="374" w:type="pct"/>
            <w:tcBorders>
              <w:tl2br w:val="nil"/>
              <w:tr2bl w:val="nil"/>
            </w:tcBorders>
            <w:noWrap w:val="0"/>
            <w:vAlign w:val="center"/>
          </w:tcPr>
          <w:p w14:paraId="37FC52D4">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rPr>
              <w:t>符合</w:t>
            </w:r>
          </w:p>
        </w:tc>
      </w:tr>
      <w:tr w14:paraId="729FEE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noWrap w:val="0"/>
            <w:vAlign w:val="center"/>
          </w:tcPr>
          <w:p w14:paraId="1F105517">
            <w:pPr>
              <w:keepNext w:val="0"/>
              <w:keepLines w:val="0"/>
              <w:pageBreakBefore w:val="0"/>
              <w:widowControl w:val="0"/>
              <w:numPr>
                <w:ilvl w:val="0"/>
                <w:numId w:val="132"/>
              </w:numPr>
              <w:suppressLineNumbers w:val="0"/>
              <w:kinsoku/>
              <w:wordWrap/>
              <w:bidi w:val="0"/>
              <w:spacing w:before="0" w:beforeAutospacing="0" w:after="0" w:afterAutospacing="0" w:line="240" w:lineRule="auto"/>
              <w:ind w:right="0" w:firstLine="0" w:firstLineChars="0"/>
              <w:jc w:val="center"/>
              <w:rPr>
                <w:rFonts w:hint="default" w:ascii="宋体" w:hAnsi="宋体" w:eastAsia="宋体" w:cs="宋体"/>
                <w:b/>
                <w:bCs/>
                <w:sz w:val="21"/>
                <w:szCs w:val="21"/>
              </w:rPr>
            </w:pPr>
          </w:p>
        </w:tc>
        <w:tc>
          <w:tcPr>
            <w:tcW w:w="2401" w:type="pct"/>
            <w:tcBorders>
              <w:tl2br w:val="nil"/>
              <w:tr2bl w:val="nil"/>
            </w:tcBorders>
            <w:noWrap w:val="0"/>
            <w:vAlign w:val="center"/>
          </w:tcPr>
          <w:p w14:paraId="574B64E6">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default" w:ascii="宋体" w:hAnsi="宋体" w:eastAsia="宋体" w:cs="宋体"/>
                <w:bCs/>
                <w:kern w:val="0"/>
                <w:sz w:val="21"/>
                <w:szCs w:val="21"/>
              </w:rPr>
            </w:pPr>
            <w:r>
              <w:rPr>
                <w:rFonts w:hint="eastAsia" w:ascii="宋体" w:hAnsi="宋体" w:eastAsia="宋体" w:cs="宋体"/>
                <w:bCs/>
                <w:kern w:val="0"/>
                <w:sz w:val="21"/>
                <w:szCs w:val="21"/>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1049" w:type="pct"/>
            <w:tcBorders>
              <w:tl2br w:val="nil"/>
              <w:tr2bl w:val="nil"/>
            </w:tcBorders>
            <w:noWrap w:val="0"/>
            <w:vAlign w:val="center"/>
          </w:tcPr>
          <w:p w14:paraId="46A73EB8">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《中华人民共和国安全生产法》第四十六条</w:t>
            </w:r>
          </w:p>
        </w:tc>
        <w:tc>
          <w:tcPr>
            <w:tcW w:w="800" w:type="pct"/>
            <w:tcBorders>
              <w:tl2br w:val="nil"/>
              <w:tr2bl w:val="nil"/>
            </w:tcBorders>
            <w:noWrap w:val="0"/>
            <w:vAlign w:val="center"/>
          </w:tcPr>
          <w:p w14:paraId="2E19A97F">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default" w:ascii="宋体" w:hAnsi="宋体" w:eastAsia="宋体" w:cs="宋体"/>
                <w:bCs/>
                <w:kern w:val="0"/>
                <w:sz w:val="21"/>
                <w:szCs w:val="21"/>
              </w:rPr>
            </w:pPr>
            <w:r>
              <w:rPr>
                <w:rFonts w:hint="eastAsia" w:ascii="宋体" w:hAnsi="宋体" w:eastAsia="宋体" w:cs="宋体"/>
                <w:bCs/>
                <w:kern w:val="0"/>
                <w:sz w:val="21"/>
                <w:szCs w:val="21"/>
              </w:rPr>
              <w:t>企业排查出重大隐患主要负责人及时落实处理。</w:t>
            </w:r>
          </w:p>
        </w:tc>
        <w:tc>
          <w:tcPr>
            <w:tcW w:w="374" w:type="pct"/>
            <w:tcBorders>
              <w:tl2br w:val="nil"/>
              <w:tr2bl w:val="nil"/>
            </w:tcBorders>
            <w:noWrap w:val="0"/>
            <w:vAlign w:val="center"/>
          </w:tcPr>
          <w:p w14:paraId="52961502">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rPr>
              <w:t>符合</w:t>
            </w:r>
          </w:p>
        </w:tc>
      </w:tr>
      <w:tr w14:paraId="3A938F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3" w:type="pct"/>
            <w:tcBorders>
              <w:tl2br w:val="nil"/>
              <w:tr2bl w:val="nil"/>
            </w:tcBorders>
            <w:noWrap w:val="0"/>
            <w:vAlign w:val="center"/>
          </w:tcPr>
          <w:p w14:paraId="072F580A">
            <w:pPr>
              <w:keepNext w:val="0"/>
              <w:keepLines w:val="0"/>
              <w:pageBreakBefore w:val="0"/>
              <w:widowControl w:val="0"/>
              <w:numPr>
                <w:ilvl w:val="0"/>
                <w:numId w:val="132"/>
              </w:numPr>
              <w:suppressLineNumbers w:val="0"/>
              <w:kinsoku/>
              <w:wordWrap/>
              <w:bidi w:val="0"/>
              <w:spacing w:before="0" w:beforeAutospacing="0" w:after="0" w:afterAutospacing="0" w:line="240" w:lineRule="auto"/>
              <w:ind w:right="0" w:firstLine="0" w:firstLineChars="0"/>
              <w:jc w:val="center"/>
              <w:rPr>
                <w:rFonts w:hint="default" w:ascii="宋体" w:hAnsi="宋体" w:eastAsia="宋体" w:cs="宋体"/>
                <w:b/>
                <w:bCs/>
                <w:sz w:val="21"/>
                <w:szCs w:val="21"/>
              </w:rPr>
            </w:pPr>
          </w:p>
        </w:tc>
        <w:tc>
          <w:tcPr>
            <w:tcW w:w="2401" w:type="pct"/>
            <w:tcBorders>
              <w:tl2br w:val="nil"/>
              <w:tr2bl w:val="nil"/>
            </w:tcBorders>
            <w:noWrap w:val="0"/>
            <w:vAlign w:val="center"/>
          </w:tcPr>
          <w:p w14:paraId="7ADBFFBE">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default" w:ascii="宋体" w:hAnsi="宋体" w:eastAsia="宋体" w:cs="宋体"/>
                <w:bCs/>
                <w:kern w:val="0"/>
                <w:sz w:val="21"/>
                <w:szCs w:val="21"/>
              </w:rPr>
            </w:pPr>
            <w:r>
              <w:rPr>
                <w:rFonts w:hint="eastAsia" w:ascii="宋体" w:hAnsi="宋体" w:eastAsia="宋体" w:cs="宋体"/>
                <w:bCs/>
                <w:kern w:val="0"/>
                <w:sz w:val="21"/>
                <w:szCs w:val="21"/>
              </w:rPr>
              <w:t>从业人员发现事故隐患或者其他不安全因素，应当立即向现场安全生产管理人员或者本单位负责人报告；接到报告的人员应当及时予以处理。</w:t>
            </w:r>
          </w:p>
        </w:tc>
        <w:tc>
          <w:tcPr>
            <w:tcW w:w="1049" w:type="pct"/>
            <w:tcBorders>
              <w:tl2br w:val="nil"/>
              <w:tr2bl w:val="nil"/>
            </w:tcBorders>
            <w:noWrap w:val="0"/>
            <w:vAlign w:val="center"/>
          </w:tcPr>
          <w:p w14:paraId="17679ED9">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《中华人民共和国安全生产法》第五十九条</w:t>
            </w:r>
          </w:p>
        </w:tc>
        <w:tc>
          <w:tcPr>
            <w:tcW w:w="800" w:type="pct"/>
            <w:tcBorders>
              <w:tl2br w:val="nil"/>
              <w:tr2bl w:val="nil"/>
            </w:tcBorders>
            <w:noWrap w:val="0"/>
            <w:vAlign w:val="center"/>
          </w:tcPr>
          <w:p w14:paraId="489A76D3">
            <w:pPr>
              <w:keepNext w:val="0"/>
              <w:keepLines w:val="0"/>
              <w:pageBreakBefore w:val="0"/>
              <w:widowControl w:val="0"/>
              <w:suppressLineNumbers w:val="0"/>
              <w:kinsoku/>
              <w:wordWrap/>
              <w:bidi w:val="0"/>
              <w:snapToGrid w:val="0"/>
              <w:spacing w:before="0" w:beforeAutospacing="0" w:after="0" w:afterAutospacing="0" w:line="240" w:lineRule="auto"/>
              <w:ind w:left="0" w:right="0" w:firstLine="0" w:firstLineChars="0"/>
              <w:jc w:val="both"/>
              <w:rPr>
                <w:rFonts w:hint="default" w:ascii="宋体" w:hAnsi="宋体" w:eastAsia="宋体" w:cs="宋体"/>
                <w:bCs/>
                <w:kern w:val="0"/>
                <w:sz w:val="21"/>
                <w:szCs w:val="21"/>
              </w:rPr>
            </w:pPr>
            <w:r>
              <w:rPr>
                <w:rFonts w:hint="eastAsia" w:ascii="宋体" w:hAnsi="宋体" w:eastAsia="宋体" w:cs="宋体"/>
                <w:bCs/>
                <w:kern w:val="0"/>
                <w:sz w:val="21"/>
                <w:szCs w:val="21"/>
              </w:rPr>
              <w:t>从业人员发现事故隐患后能及时报告，接报人员及时处理。</w:t>
            </w:r>
          </w:p>
        </w:tc>
        <w:tc>
          <w:tcPr>
            <w:tcW w:w="374" w:type="pct"/>
            <w:tcBorders>
              <w:tl2br w:val="nil"/>
              <w:tr2bl w:val="nil"/>
            </w:tcBorders>
            <w:noWrap w:val="0"/>
            <w:vAlign w:val="center"/>
          </w:tcPr>
          <w:p w14:paraId="02AADFE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rPr>
              <w:t>符合</w:t>
            </w:r>
          </w:p>
        </w:tc>
      </w:tr>
    </w:tbl>
    <w:p w14:paraId="47C5B2E6">
      <w:pPr>
        <w:bidi w:val="0"/>
      </w:pPr>
      <w:r>
        <w:rPr>
          <w:rFonts w:hint="eastAsia"/>
        </w:rPr>
        <w:t>根据以上检查结果可知，本项目隐患排查机制、隐患排查与治理闭环管理符合《中华人民共和国安全生产法》等标准、规范的要求。</w:t>
      </w:r>
    </w:p>
    <w:p w14:paraId="72E2873E">
      <w:pPr>
        <w:pStyle w:val="4"/>
        <w:keepNext w:val="0"/>
        <w:keepLines w:val="0"/>
        <w:pageBreakBefore w:val="0"/>
        <w:widowControl w:val="0"/>
        <w:kinsoku/>
        <w:bidi w:val="0"/>
        <w:ind w:left="720" w:leftChars="0" w:hanging="720" w:firstLineChars="0"/>
      </w:pPr>
      <w:bookmarkStart w:id="1135" w:name="_Toc498519866"/>
      <w:bookmarkStart w:id="1136" w:name="_Toc55945334"/>
      <w:bookmarkStart w:id="1137" w:name="_Toc2271"/>
      <w:bookmarkStart w:id="1138" w:name="_Toc500007201"/>
      <w:bookmarkStart w:id="1139" w:name="_Toc46697271"/>
      <w:bookmarkStart w:id="1140" w:name="_Toc60925443"/>
      <w:bookmarkStart w:id="1141" w:name="_Toc498299396"/>
      <w:bookmarkStart w:id="1142" w:name="_Toc1602"/>
      <w:bookmarkStart w:id="1143" w:name="_Toc500007202"/>
      <w:bookmarkStart w:id="1144" w:name="_Toc46697272"/>
      <w:bookmarkStart w:id="1145" w:name="_Toc498299397"/>
      <w:bookmarkStart w:id="1146" w:name="_Toc60925444"/>
      <w:bookmarkStart w:id="1147" w:name="_Toc55945335"/>
      <w:bookmarkStart w:id="1148" w:name="_Toc498519867"/>
      <w:r>
        <w:rPr>
          <w:rFonts w:hint="eastAsia"/>
        </w:rPr>
        <w:t>个人安全防护</w:t>
      </w:r>
      <w:bookmarkEnd w:id="1135"/>
      <w:bookmarkEnd w:id="1136"/>
      <w:bookmarkEnd w:id="1137"/>
      <w:bookmarkEnd w:id="1138"/>
      <w:bookmarkEnd w:id="1139"/>
      <w:bookmarkEnd w:id="1140"/>
      <w:bookmarkEnd w:id="1141"/>
      <w:bookmarkEnd w:id="1142"/>
    </w:p>
    <w:p w14:paraId="290B0CA4">
      <w:pPr>
        <w:pStyle w:val="12"/>
        <w:keepNext w:val="0"/>
        <w:keepLines w:val="0"/>
        <w:pageBreakBefore w:val="0"/>
        <w:widowControl w:val="0"/>
        <w:kinsoku/>
        <w:wordWrap/>
        <w:bidi w:val="0"/>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18</w:t>
      </w:r>
      <w:r>
        <w:rPr>
          <w:rFonts w:hint="eastAsia"/>
          <w:lang w:val="en-US" w:eastAsia="zh-CN"/>
        </w:rPr>
        <w:fldChar w:fldCharType="end"/>
      </w:r>
      <w:r>
        <w:rPr>
          <w:rFonts w:hint="eastAsia"/>
        </w:rPr>
        <w:t>个体防护安全检查表</w:t>
      </w:r>
    </w:p>
    <w:tbl>
      <w:tblPr>
        <w:tblStyle w:val="32"/>
        <w:tblW w:w="852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5"/>
        <w:gridCol w:w="3059"/>
        <w:gridCol w:w="2118"/>
        <w:gridCol w:w="2479"/>
        <w:gridCol w:w="432"/>
      </w:tblGrid>
      <w:tr w14:paraId="0204F9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35" w:type="dxa"/>
            <w:tcBorders>
              <w:tl2br w:val="nil"/>
              <w:tr2bl w:val="nil"/>
            </w:tcBorders>
            <w:noWrap w:val="0"/>
            <w:vAlign w:val="center"/>
          </w:tcPr>
          <w:p w14:paraId="1A142222">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序号</w:t>
            </w:r>
          </w:p>
        </w:tc>
        <w:tc>
          <w:tcPr>
            <w:tcW w:w="3059" w:type="dxa"/>
            <w:tcBorders>
              <w:tl2br w:val="nil"/>
              <w:tr2bl w:val="nil"/>
            </w:tcBorders>
            <w:noWrap w:val="0"/>
            <w:vAlign w:val="center"/>
          </w:tcPr>
          <w:p w14:paraId="41C2D28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检查内容</w:t>
            </w:r>
          </w:p>
        </w:tc>
        <w:tc>
          <w:tcPr>
            <w:tcW w:w="2118" w:type="dxa"/>
            <w:tcBorders>
              <w:tl2br w:val="nil"/>
              <w:tr2bl w:val="nil"/>
            </w:tcBorders>
            <w:noWrap w:val="0"/>
            <w:vAlign w:val="center"/>
          </w:tcPr>
          <w:p w14:paraId="58A90B4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依据标准</w:t>
            </w:r>
          </w:p>
        </w:tc>
        <w:tc>
          <w:tcPr>
            <w:tcW w:w="2479" w:type="dxa"/>
            <w:tcBorders>
              <w:tl2br w:val="nil"/>
              <w:tr2bl w:val="nil"/>
            </w:tcBorders>
            <w:noWrap w:val="0"/>
            <w:vAlign w:val="center"/>
          </w:tcPr>
          <w:p w14:paraId="2FAA1D9F">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检查情况</w:t>
            </w:r>
          </w:p>
        </w:tc>
        <w:tc>
          <w:tcPr>
            <w:tcW w:w="432" w:type="dxa"/>
            <w:tcBorders>
              <w:tl2br w:val="nil"/>
              <w:tr2bl w:val="nil"/>
            </w:tcBorders>
            <w:noWrap w:val="0"/>
            <w:vAlign w:val="center"/>
          </w:tcPr>
          <w:p w14:paraId="1190E7A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b/>
                <w:sz w:val="21"/>
                <w:szCs w:val="21"/>
              </w:rPr>
            </w:pPr>
            <w:r>
              <w:rPr>
                <w:rFonts w:hint="eastAsia" w:ascii="宋体" w:hAnsi="宋体" w:eastAsia="宋体" w:cs="宋体"/>
                <w:b/>
                <w:sz w:val="21"/>
                <w:szCs w:val="21"/>
              </w:rPr>
              <w:t>结论</w:t>
            </w:r>
          </w:p>
        </w:tc>
      </w:tr>
      <w:tr w14:paraId="7FF62F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tcBorders>
              <w:tl2br w:val="nil"/>
              <w:tr2bl w:val="nil"/>
            </w:tcBorders>
            <w:noWrap w:val="0"/>
            <w:vAlign w:val="center"/>
          </w:tcPr>
          <w:p w14:paraId="32936F5B">
            <w:pPr>
              <w:keepNext w:val="0"/>
              <w:keepLines w:val="0"/>
              <w:pageBreakBefore w:val="0"/>
              <w:widowControl w:val="0"/>
              <w:numPr>
                <w:ilvl w:val="0"/>
                <w:numId w:val="133"/>
              </w:numPr>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sz w:val="21"/>
                <w:szCs w:val="21"/>
              </w:rPr>
            </w:pPr>
          </w:p>
        </w:tc>
        <w:tc>
          <w:tcPr>
            <w:tcW w:w="3059" w:type="dxa"/>
            <w:tcBorders>
              <w:tl2br w:val="nil"/>
              <w:tr2bl w:val="nil"/>
            </w:tcBorders>
            <w:noWrap w:val="0"/>
            <w:vAlign w:val="center"/>
          </w:tcPr>
          <w:p w14:paraId="44F0D36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生产经营单位必须为从业人员提供符合国家标准或者行业标准的劳动防护用品，并监督、教育从业人员按照使用规则佩戴、使用。</w:t>
            </w:r>
          </w:p>
        </w:tc>
        <w:tc>
          <w:tcPr>
            <w:tcW w:w="2118" w:type="dxa"/>
            <w:tcBorders>
              <w:tl2br w:val="nil"/>
              <w:tr2bl w:val="nil"/>
            </w:tcBorders>
            <w:noWrap w:val="0"/>
            <w:vAlign w:val="center"/>
          </w:tcPr>
          <w:p w14:paraId="753D435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6D1024A6">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第四十五条</w:t>
            </w:r>
          </w:p>
        </w:tc>
        <w:tc>
          <w:tcPr>
            <w:tcW w:w="2479" w:type="dxa"/>
            <w:tcBorders>
              <w:tl2br w:val="nil"/>
              <w:tr2bl w:val="nil"/>
            </w:tcBorders>
            <w:noWrap w:val="0"/>
            <w:vAlign w:val="center"/>
          </w:tcPr>
          <w:p w14:paraId="79AD0A3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该公司为从业人员提供了相应的劳动防护用品，并监督、教育从业人员按要求使用。</w:t>
            </w:r>
          </w:p>
        </w:tc>
        <w:tc>
          <w:tcPr>
            <w:tcW w:w="432" w:type="dxa"/>
            <w:tcBorders>
              <w:tl2br w:val="nil"/>
              <w:tr2bl w:val="nil"/>
            </w:tcBorders>
            <w:noWrap w:val="0"/>
            <w:vAlign w:val="center"/>
          </w:tcPr>
          <w:p w14:paraId="456DCD7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08ACE9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tcBorders>
              <w:tl2br w:val="nil"/>
              <w:tr2bl w:val="nil"/>
            </w:tcBorders>
            <w:noWrap w:val="0"/>
            <w:vAlign w:val="center"/>
          </w:tcPr>
          <w:p w14:paraId="1CF36BAC">
            <w:pPr>
              <w:keepNext w:val="0"/>
              <w:keepLines w:val="0"/>
              <w:pageBreakBefore w:val="0"/>
              <w:widowControl w:val="0"/>
              <w:numPr>
                <w:ilvl w:val="0"/>
                <w:numId w:val="133"/>
              </w:numPr>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sz w:val="21"/>
                <w:szCs w:val="21"/>
              </w:rPr>
            </w:pPr>
          </w:p>
        </w:tc>
        <w:tc>
          <w:tcPr>
            <w:tcW w:w="3059" w:type="dxa"/>
            <w:tcBorders>
              <w:tl2br w:val="nil"/>
              <w:tr2bl w:val="nil"/>
            </w:tcBorders>
            <w:noWrap w:val="0"/>
            <w:vAlign w:val="center"/>
          </w:tcPr>
          <w:p w14:paraId="0A7C7D59">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用人单位应当健全管理制度，加强劳动防护用品配备、发放、使用等管理工作。</w:t>
            </w:r>
          </w:p>
        </w:tc>
        <w:tc>
          <w:tcPr>
            <w:tcW w:w="2118" w:type="dxa"/>
            <w:tcBorders>
              <w:tl2br w:val="nil"/>
              <w:tr2bl w:val="nil"/>
            </w:tcBorders>
            <w:noWrap w:val="0"/>
            <w:vAlign w:val="center"/>
          </w:tcPr>
          <w:p w14:paraId="0ECE86A4">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《国家安全监管总局办公厅关于修改用人单位劳动防护用品管理规范的通知》（安监总厅安健〔2018〕3号）</w:t>
            </w:r>
          </w:p>
          <w:p w14:paraId="3630DE2B">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第五条</w:t>
            </w:r>
          </w:p>
        </w:tc>
        <w:tc>
          <w:tcPr>
            <w:tcW w:w="2479" w:type="dxa"/>
            <w:tcBorders>
              <w:tl2br w:val="nil"/>
              <w:tr2bl w:val="nil"/>
            </w:tcBorders>
            <w:noWrap w:val="0"/>
            <w:vAlign w:val="center"/>
          </w:tcPr>
          <w:p w14:paraId="39B175F3">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该公司制定有劳动防护用品管理制度。</w:t>
            </w:r>
          </w:p>
        </w:tc>
        <w:tc>
          <w:tcPr>
            <w:tcW w:w="432" w:type="dxa"/>
            <w:tcBorders>
              <w:tl2br w:val="nil"/>
              <w:tr2bl w:val="nil"/>
            </w:tcBorders>
            <w:noWrap w:val="0"/>
            <w:vAlign w:val="center"/>
          </w:tcPr>
          <w:p w14:paraId="03FF3004">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254635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tcBorders>
              <w:tl2br w:val="nil"/>
              <w:tr2bl w:val="nil"/>
            </w:tcBorders>
            <w:noWrap w:val="0"/>
            <w:vAlign w:val="center"/>
          </w:tcPr>
          <w:p w14:paraId="6C8061AF">
            <w:pPr>
              <w:keepNext w:val="0"/>
              <w:keepLines w:val="0"/>
              <w:pageBreakBefore w:val="0"/>
              <w:widowControl w:val="0"/>
              <w:numPr>
                <w:ilvl w:val="0"/>
                <w:numId w:val="133"/>
              </w:numPr>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sz w:val="21"/>
                <w:szCs w:val="21"/>
              </w:rPr>
            </w:pPr>
          </w:p>
        </w:tc>
        <w:tc>
          <w:tcPr>
            <w:tcW w:w="3059" w:type="dxa"/>
            <w:tcBorders>
              <w:tl2br w:val="nil"/>
              <w:tr2bl w:val="nil"/>
            </w:tcBorders>
            <w:noWrap w:val="0"/>
            <w:vAlign w:val="center"/>
          </w:tcPr>
          <w:p w14:paraId="771EDA5B">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用人单位应当安排专项经费用于配备劳动防护用品，不得以货币或者其他物品替代。该项经费计入生产成本，据实列支。</w:t>
            </w:r>
          </w:p>
        </w:tc>
        <w:tc>
          <w:tcPr>
            <w:tcW w:w="2118" w:type="dxa"/>
            <w:tcBorders>
              <w:tl2br w:val="nil"/>
              <w:tr2bl w:val="nil"/>
            </w:tcBorders>
            <w:noWrap w:val="0"/>
            <w:vAlign w:val="center"/>
          </w:tcPr>
          <w:p w14:paraId="313BB719">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《国家安全监管总局办公厅关于修改</w:t>
            </w:r>
          </w:p>
          <w:p w14:paraId="0436FA68">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用人单位劳动防护用品管理规范的通知》（安监总厅安健〔2018〕3号）</w:t>
            </w:r>
          </w:p>
          <w:p w14:paraId="61A98EE4">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第六条</w:t>
            </w:r>
          </w:p>
        </w:tc>
        <w:tc>
          <w:tcPr>
            <w:tcW w:w="2479" w:type="dxa"/>
            <w:tcBorders>
              <w:tl2br w:val="nil"/>
              <w:tr2bl w:val="nil"/>
            </w:tcBorders>
            <w:noWrap w:val="0"/>
            <w:vAlign w:val="center"/>
          </w:tcPr>
          <w:p w14:paraId="11005931">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该公司为作业人员配发劳动防护用品。</w:t>
            </w:r>
          </w:p>
        </w:tc>
        <w:tc>
          <w:tcPr>
            <w:tcW w:w="432" w:type="dxa"/>
            <w:tcBorders>
              <w:tl2br w:val="nil"/>
              <w:tr2bl w:val="nil"/>
            </w:tcBorders>
            <w:noWrap w:val="0"/>
            <w:vAlign w:val="center"/>
          </w:tcPr>
          <w:p w14:paraId="1B855FCC">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035467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tcBorders>
              <w:tl2br w:val="nil"/>
              <w:tr2bl w:val="nil"/>
            </w:tcBorders>
            <w:noWrap w:val="0"/>
            <w:vAlign w:val="center"/>
          </w:tcPr>
          <w:p w14:paraId="0D14F1AB">
            <w:pPr>
              <w:keepNext w:val="0"/>
              <w:keepLines w:val="0"/>
              <w:pageBreakBefore w:val="0"/>
              <w:widowControl w:val="0"/>
              <w:numPr>
                <w:ilvl w:val="0"/>
                <w:numId w:val="133"/>
              </w:numPr>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sz w:val="21"/>
                <w:szCs w:val="21"/>
              </w:rPr>
            </w:pPr>
          </w:p>
        </w:tc>
        <w:tc>
          <w:tcPr>
            <w:tcW w:w="3059" w:type="dxa"/>
            <w:tcBorders>
              <w:tl2br w:val="nil"/>
              <w:tr2bl w:val="nil"/>
            </w:tcBorders>
            <w:noWrap w:val="0"/>
            <w:vAlign w:val="center"/>
          </w:tcPr>
          <w:p w14:paraId="028FD22D">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用人单位应当为劳动者提供符合国家标准或者行业标准的劳动防护用品。使用进口的劳动防护用品，其防护性能不得低于我国相关标准。</w:t>
            </w:r>
          </w:p>
        </w:tc>
        <w:tc>
          <w:tcPr>
            <w:tcW w:w="2118" w:type="dxa"/>
            <w:tcBorders>
              <w:tl2br w:val="nil"/>
              <w:tr2bl w:val="nil"/>
            </w:tcBorders>
            <w:noWrap w:val="0"/>
            <w:vAlign w:val="center"/>
          </w:tcPr>
          <w:p w14:paraId="6C45970F">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《国家安全监管总局办公厅关于修改用人单位劳动防护用品管理规范的通知》（安监总厅安健〔2018〕3号）</w:t>
            </w:r>
          </w:p>
          <w:p w14:paraId="639B8108">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第七条</w:t>
            </w:r>
          </w:p>
        </w:tc>
        <w:tc>
          <w:tcPr>
            <w:tcW w:w="2479" w:type="dxa"/>
            <w:tcBorders>
              <w:tl2br w:val="nil"/>
              <w:tr2bl w:val="nil"/>
            </w:tcBorders>
            <w:noWrap w:val="0"/>
            <w:vAlign w:val="center"/>
          </w:tcPr>
          <w:p w14:paraId="123B0922">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该公司提供的劳动防护用品符合要求。</w:t>
            </w:r>
          </w:p>
        </w:tc>
        <w:tc>
          <w:tcPr>
            <w:tcW w:w="432" w:type="dxa"/>
            <w:tcBorders>
              <w:tl2br w:val="nil"/>
              <w:tr2bl w:val="nil"/>
            </w:tcBorders>
            <w:noWrap w:val="0"/>
            <w:vAlign w:val="center"/>
          </w:tcPr>
          <w:p w14:paraId="7BD82B9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4FB1B9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tcBorders>
              <w:tl2br w:val="nil"/>
              <w:tr2bl w:val="nil"/>
            </w:tcBorders>
            <w:noWrap w:val="0"/>
            <w:vAlign w:val="center"/>
          </w:tcPr>
          <w:p w14:paraId="14CC24DB">
            <w:pPr>
              <w:keepNext w:val="0"/>
              <w:keepLines w:val="0"/>
              <w:pageBreakBefore w:val="0"/>
              <w:widowControl w:val="0"/>
              <w:numPr>
                <w:ilvl w:val="0"/>
                <w:numId w:val="133"/>
              </w:numPr>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sz w:val="21"/>
                <w:szCs w:val="21"/>
              </w:rPr>
            </w:pPr>
          </w:p>
        </w:tc>
        <w:tc>
          <w:tcPr>
            <w:tcW w:w="3059" w:type="dxa"/>
            <w:tcBorders>
              <w:tl2br w:val="nil"/>
              <w:tr2bl w:val="nil"/>
            </w:tcBorders>
            <w:noWrap w:val="0"/>
            <w:vAlign w:val="center"/>
          </w:tcPr>
          <w:p w14:paraId="21056A51">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劳动者在作业过程中，应当按照规章制度和劳动防护用品使用规则，正确佩戴和使用劳动防护用品。</w:t>
            </w:r>
          </w:p>
        </w:tc>
        <w:tc>
          <w:tcPr>
            <w:tcW w:w="2118" w:type="dxa"/>
            <w:tcBorders>
              <w:tl2br w:val="nil"/>
              <w:tr2bl w:val="nil"/>
            </w:tcBorders>
            <w:noWrap w:val="0"/>
            <w:vAlign w:val="center"/>
          </w:tcPr>
          <w:p w14:paraId="037CE477">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《国家安全监管总局办公厅关于修改用人单位劳动防护用品管理规范的通知》（安监总厅安健〔2018〕3号）</w:t>
            </w:r>
          </w:p>
          <w:p w14:paraId="329BB519">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第八条</w:t>
            </w:r>
          </w:p>
        </w:tc>
        <w:tc>
          <w:tcPr>
            <w:tcW w:w="2479" w:type="dxa"/>
            <w:tcBorders>
              <w:tl2br w:val="nil"/>
              <w:tr2bl w:val="nil"/>
            </w:tcBorders>
            <w:noWrap w:val="0"/>
            <w:vAlign w:val="center"/>
          </w:tcPr>
          <w:p w14:paraId="7B96D3EF">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该公司监督从业人员使用劳动防护用品。</w:t>
            </w:r>
          </w:p>
        </w:tc>
        <w:tc>
          <w:tcPr>
            <w:tcW w:w="432" w:type="dxa"/>
            <w:tcBorders>
              <w:tl2br w:val="nil"/>
              <w:tr2bl w:val="nil"/>
            </w:tcBorders>
            <w:noWrap w:val="0"/>
            <w:vAlign w:val="center"/>
          </w:tcPr>
          <w:p w14:paraId="34E45A66">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55D4CE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tcBorders>
              <w:tl2br w:val="nil"/>
              <w:tr2bl w:val="nil"/>
            </w:tcBorders>
            <w:noWrap w:val="0"/>
            <w:vAlign w:val="center"/>
          </w:tcPr>
          <w:p w14:paraId="60BA47BE">
            <w:pPr>
              <w:keepNext w:val="0"/>
              <w:keepLines w:val="0"/>
              <w:pageBreakBefore w:val="0"/>
              <w:widowControl w:val="0"/>
              <w:numPr>
                <w:ilvl w:val="0"/>
                <w:numId w:val="133"/>
              </w:numPr>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sz w:val="21"/>
                <w:szCs w:val="21"/>
              </w:rPr>
            </w:pPr>
          </w:p>
        </w:tc>
        <w:tc>
          <w:tcPr>
            <w:tcW w:w="3059" w:type="dxa"/>
            <w:tcBorders>
              <w:tl2br w:val="nil"/>
              <w:tr2bl w:val="nil"/>
            </w:tcBorders>
            <w:noWrap w:val="0"/>
            <w:vAlign w:val="center"/>
          </w:tcPr>
          <w:p w14:paraId="43F7C0EB">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用人单位应当在可能发生急性职业损伤的有毒、有害工作场所配备应急劳动防护用品，放置于现场临近位置并有醒目标识。</w:t>
            </w:r>
          </w:p>
          <w:p w14:paraId="68CCE48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用人单位应当为巡检等流动性作业的劳动者配备随身携带的个人应急防护用品。</w:t>
            </w:r>
          </w:p>
        </w:tc>
        <w:tc>
          <w:tcPr>
            <w:tcW w:w="2118" w:type="dxa"/>
            <w:tcBorders>
              <w:tl2br w:val="nil"/>
              <w:tr2bl w:val="nil"/>
            </w:tcBorders>
            <w:noWrap w:val="0"/>
            <w:vAlign w:val="center"/>
          </w:tcPr>
          <w:p w14:paraId="27BE4330">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《国家安全监管总局办公厅关于修改用人单位劳动防护用品管理规范的通知》（安监总厅安健〔2018〕3号）第十四条</w:t>
            </w:r>
          </w:p>
        </w:tc>
        <w:tc>
          <w:tcPr>
            <w:tcW w:w="2479" w:type="dxa"/>
            <w:tcBorders>
              <w:tl2br w:val="nil"/>
              <w:tr2bl w:val="nil"/>
            </w:tcBorders>
            <w:noWrap w:val="0"/>
            <w:vAlign w:val="center"/>
          </w:tcPr>
          <w:p w14:paraId="498453AB">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车间相应场所配置有劳动防护用品及警示标识。</w:t>
            </w:r>
          </w:p>
        </w:tc>
        <w:tc>
          <w:tcPr>
            <w:tcW w:w="432" w:type="dxa"/>
            <w:tcBorders>
              <w:tl2br w:val="nil"/>
              <w:tr2bl w:val="nil"/>
            </w:tcBorders>
            <w:noWrap w:val="0"/>
            <w:vAlign w:val="center"/>
          </w:tcPr>
          <w:p w14:paraId="6DEB55C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1C3B1A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tcBorders>
              <w:tl2br w:val="nil"/>
              <w:tr2bl w:val="nil"/>
            </w:tcBorders>
            <w:noWrap w:val="0"/>
            <w:vAlign w:val="center"/>
          </w:tcPr>
          <w:p w14:paraId="63B2E573">
            <w:pPr>
              <w:keepNext w:val="0"/>
              <w:keepLines w:val="0"/>
              <w:pageBreakBefore w:val="0"/>
              <w:widowControl w:val="0"/>
              <w:numPr>
                <w:ilvl w:val="0"/>
                <w:numId w:val="133"/>
              </w:numPr>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sz w:val="21"/>
                <w:szCs w:val="21"/>
              </w:rPr>
            </w:pPr>
          </w:p>
        </w:tc>
        <w:tc>
          <w:tcPr>
            <w:tcW w:w="3059" w:type="dxa"/>
            <w:tcBorders>
              <w:tl2br w:val="nil"/>
              <w:tr2bl w:val="nil"/>
            </w:tcBorders>
            <w:noWrap w:val="0"/>
            <w:vAlign w:val="center"/>
          </w:tcPr>
          <w:p w14:paraId="59D3DEB4">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用人单位应当根据劳动者工作场所中存在的</w:t>
            </w:r>
            <w:r>
              <w:rPr>
                <w:rFonts w:hint="eastAsia" w:ascii="宋体" w:hAnsi="宋体" w:eastAsia="宋体" w:cs="宋体"/>
                <w:sz w:val="21"/>
                <w:szCs w:val="21"/>
                <w:lang w:eastAsia="zh-CN"/>
              </w:rPr>
              <w:t>危险有害因素</w:t>
            </w:r>
            <w:r>
              <w:rPr>
                <w:rFonts w:hint="eastAsia" w:ascii="宋体" w:hAnsi="宋体" w:eastAsia="宋体" w:cs="宋体"/>
                <w:sz w:val="21"/>
                <w:szCs w:val="21"/>
              </w:rPr>
              <w:t>种类及危害程度、劳动环境条件、劳动防护用品有效使用时间制定适合本单位的劳动防护用品配备标准（见附件3）。</w:t>
            </w:r>
          </w:p>
        </w:tc>
        <w:tc>
          <w:tcPr>
            <w:tcW w:w="2118" w:type="dxa"/>
            <w:tcBorders>
              <w:tl2br w:val="nil"/>
              <w:tr2bl w:val="nil"/>
            </w:tcBorders>
            <w:noWrap w:val="0"/>
            <w:vAlign w:val="center"/>
          </w:tcPr>
          <w:p w14:paraId="3BA2C5B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《国家安全监管总局办公厅关于修改用人单位劳动防护用品管理规范的通知》（安监总厅安健〔2018〕3号）第十五条</w:t>
            </w:r>
          </w:p>
        </w:tc>
        <w:tc>
          <w:tcPr>
            <w:tcW w:w="2479" w:type="dxa"/>
            <w:tcBorders>
              <w:tl2br w:val="nil"/>
              <w:tr2bl w:val="nil"/>
            </w:tcBorders>
            <w:noWrap w:val="0"/>
            <w:vAlign w:val="center"/>
          </w:tcPr>
          <w:p w14:paraId="7076E732">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该公司为从业人员购买、提供相应场所的劳动防护用品。</w:t>
            </w:r>
          </w:p>
        </w:tc>
        <w:tc>
          <w:tcPr>
            <w:tcW w:w="432" w:type="dxa"/>
            <w:tcBorders>
              <w:tl2br w:val="nil"/>
              <w:tr2bl w:val="nil"/>
            </w:tcBorders>
            <w:noWrap w:val="0"/>
            <w:vAlign w:val="center"/>
          </w:tcPr>
          <w:p w14:paraId="5F2EA886">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1225EC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tcBorders>
              <w:tl2br w:val="nil"/>
              <w:tr2bl w:val="nil"/>
            </w:tcBorders>
            <w:noWrap w:val="0"/>
            <w:vAlign w:val="center"/>
          </w:tcPr>
          <w:p w14:paraId="3C459525">
            <w:pPr>
              <w:keepNext w:val="0"/>
              <w:keepLines w:val="0"/>
              <w:pageBreakBefore w:val="0"/>
              <w:widowControl w:val="0"/>
              <w:numPr>
                <w:ilvl w:val="0"/>
                <w:numId w:val="133"/>
              </w:numPr>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sz w:val="21"/>
                <w:szCs w:val="21"/>
              </w:rPr>
            </w:pPr>
          </w:p>
        </w:tc>
        <w:tc>
          <w:tcPr>
            <w:tcW w:w="3059" w:type="dxa"/>
            <w:tcBorders>
              <w:tl2br w:val="nil"/>
              <w:tr2bl w:val="nil"/>
            </w:tcBorders>
            <w:noWrap w:val="0"/>
            <w:vAlign w:val="center"/>
          </w:tcPr>
          <w:p w14:paraId="22B00BC6">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用人单位应当按照本单位制定的配备标准发放劳动防护用品，并</w:t>
            </w:r>
            <w:r>
              <w:rPr>
                <w:rFonts w:hint="eastAsia" w:cs="宋体"/>
                <w:sz w:val="21"/>
                <w:szCs w:val="21"/>
                <w:lang w:eastAsia="zh-CN"/>
              </w:rPr>
              <w:t>做好</w:t>
            </w:r>
            <w:r>
              <w:rPr>
                <w:rFonts w:hint="eastAsia" w:ascii="宋体" w:hAnsi="宋体" w:eastAsia="宋体" w:cs="宋体"/>
                <w:sz w:val="21"/>
                <w:szCs w:val="21"/>
              </w:rPr>
              <w:t>登记（见附件4）。</w:t>
            </w:r>
          </w:p>
        </w:tc>
        <w:tc>
          <w:tcPr>
            <w:tcW w:w="2118" w:type="dxa"/>
            <w:tcBorders>
              <w:tl2br w:val="nil"/>
              <w:tr2bl w:val="nil"/>
            </w:tcBorders>
            <w:noWrap w:val="0"/>
            <w:vAlign w:val="center"/>
          </w:tcPr>
          <w:p w14:paraId="6847063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《国家安全监管总局办公厅关于修改用人单位劳动防护用品管理规范的通知》（安监总厅安健〔2018〕3号）第十八条</w:t>
            </w:r>
          </w:p>
        </w:tc>
        <w:tc>
          <w:tcPr>
            <w:tcW w:w="2479" w:type="dxa"/>
            <w:tcBorders>
              <w:tl2br w:val="nil"/>
              <w:tr2bl w:val="nil"/>
            </w:tcBorders>
            <w:noWrap w:val="0"/>
            <w:vAlign w:val="center"/>
          </w:tcPr>
          <w:p w14:paraId="6B51173B">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该公司有劳动防护用品发放记录。</w:t>
            </w:r>
          </w:p>
        </w:tc>
        <w:tc>
          <w:tcPr>
            <w:tcW w:w="432" w:type="dxa"/>
            <w:tcBorders>
              <w:tl2br w:val="nil"/>
              <w:tr2bl w:val="nil"/>
            </w:tcBorders>
            <w:noWrap w:val="0"/>
            <w:vAlign w:val="center"/>
          </w:tcPr>
          <w:p w14:paraId="208CC630">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7ACBA5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tcBorders>
              <w:tl2br w:val="nil"/>
              <w:tr2bl w:val="nil"/>
            </w:tcBorders>
            <w:noWrap w:val="0"/>
            <w:vAlign w:val="center"/>
          </w:tcPr>
          <w:p w14:paraId="46B1BC15">
            <w:pPr>
              <w:keepNext w:val="0"/>
              <w:keepLines w:val="0"/>
              <w:pageBreakBefore w:val="0"/>
              <w:widowControl w:val="0"/>
              <w:numPr>
                <w:ilvl w:val="0"/>
                <w:numId w:val="133"/>
              </w:numPr>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sz w:val="21"/>
                <w:szCs w:val="21"/>
              </w:rPr>
            </w:pPr>
          </w:p>
        </w:tc>
        <w:tc>
          <w:tcPr>
            <w:tcW w:w="3059" w:type="dxa"/>
            <w:tcBorders>
              <w:tl2br w:val="nil"/>
              <w:tr2bl w:val="nil"/>
            </w:tcBorders>
            <w:noWrap w:val="0"/>
            <w:vAlign w:val="center"/>
          </w:tcPr>
          <w:p w14:paraId="293E04BE">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用人单位应当对劳动者进行劳动防护用品的使用、维护等专业知识的培训。</w:t>
            </w:r>
          </w:p>
        </w:tc>
        <w:tc>
          <w:tcPr>
            <w:tcW w:w="2118" w:type="dxa"/>
            <w:tcBorders>
              <w:tl2br w:val="nil"/>
              <w:tr2bl w:val="nil"/>
            </w:tcBorders>
            <w:noWrap w:val="0"/>
            <w:vAlign w:val="center"/>
          </w:tcPr>
          <w:p w14:paraId="57DC3897">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《国家安全监管总局办公厅关于修改用人单位劳动防护用品管理规范的通知》（安监总厅安健〔2018〕3号）第十九条</w:t>
            </w:r>
          </w:p>
        </w:tc>
        <w:tc>
          <w:tcPr>
            <w:tcW w:w="2479" w:type="dxa"/>
            <w:tcBorders>
              <w:tl2br w:val="nil"/>
              <w:tr2bl w:val="nil"/>
            </w:tcBorders>
            <w:noWrap w:val="0"/>
            <w:vAlign w:val="center"/>
          </w:tcPr>
          <w:p w14:paraId="504F0AE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该公司对从业人员进行劳动防护教育及培训。</w:t>
            </w:r>
          </w:p>
        </w:tc>
        <w:tc>
          <w:tcPr>
            <w:tcW w:w="432" w:type="dxa"/>
            <w:tcBorders>
              <w:tl2br w:val="nil"/>
              <w:tr2bl w:val="nil"/>
            </w:tcBorders>
            <w:noWrap w:val="0"/>
            <w:vAlign w:val="center"/>
          </w:tcPr>
          <w:p w14:paraId="61C922B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11C0A3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tcBorders>
              <w:tl2br w:val="nil"/>
              <w:tr2bl w:val="nil"/>
            </w:tcBorders>
            <w:noWrap w:val="0"/>
            <w:vAlign w:val="center"/>
          </w:tcPr>
          <w:p w14:paraId="12647E6C">
            <w:pPr>
              <w:keepNext w:val="0"/>
              <w:keepLines w:val="0"/>
              <w:pageBreakBefore w:val="0"/>
              <w:widowControl w:val="0"/>
              <w:numPr>
                <w:ilvl w:val="0"/>
                <w:numId w:val="133"/>
              </w:numPr>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sz w:val="21"/>
                <w:szCs w:val="21"/>
              </w:rPr>
            </w:pPr>
          </w:p>
        </w:tc>
        <w:tc>
          <w:tcPr>
            <w:tcW w:w="3059" w:type="dxa"/>
            <w:tcBorders>
              <w:tl2br w:val="nil"/>
              <w:tr2bl w:val="nil"/>
            </w:tcBorders>
            <w:noWrap w:val="0"/>
            <w:vAlign w:val="center"/>
          </w:tcPr>
          <w:p w14:paraId="377D40B7">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用人单位应当督促劳动者在使用劳动防护用品前，对劳动防护用品进行检查，确保外观完好、部件齐全、功能正常。</w:t>
            </w:r>
          </w:p>
        </w:tc>
        <w:tc>
          <w:tcPr>
            <w:tcW w:w="2118" w:type="dxa"/>
            <w:tcBorders>
              <w:tl2br w:val="nil"/>
              <w:tr2bl w:val="nil"/>
            </w:tcBorders>
            <w:noWrap w:val="0"/>
            <w:vAlign w:val="center"/>
          </w:tcPr>
          <w:p w14:paraId="1ABA1762">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《国家安全监管总局办公厅关于修改用人单位劳动防护用品管理规范的通知》（安监总厅安健〔2018〕3号）第二十条</w:t>
            </w:r>
          </w:p>
        </w:tc>
        <w:tc>
          <w:tcPr>
            <w:tcW w:w="2479" w:type="dxa"/>
            <w:tcBorders>
              <w:tl2br w:val="nil"/>
              <w:tr2bl w:val="nil"/>
            </w:tcBorders>
            <w:noWrap w:val="0"/>
            <w:vAlign w:val="center"/>
          </w:tcPr>
          <w:p w14:paraId="0C0A3332">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该公司对从业人员进行劳动防护用品使用监督。</w:t>
            </w:r>
          </w:p>
        </w:tc>
        <w:tc>
          <w:tcPr>
            <w:tcW w:w="432" w:type="dxa"/>
            <w:tcBorders>
              <w:tl2br w:val="nil"/>
              <w:tr2bl w:val="nil"/>
            </w:tcBorders>
            <w:noWrap w:val="0"/>
            <w:vAlign w:val="center"/>
          </w:tcPr>
          <w:p w14:paraId="549410E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0A127A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tcBorders>
              <w:tl2br w:val="nil"/>
              <w:tr2bl w:val="nil"/>
            </w:tcBorders>
            <w:noWrap w:val="0"/>
            <w:vAlign w:val="center"/>
          </w:tcPr>
          <w:p w14:paraId="29E51F5C">
            <w:pPr>
              <w:keepNext w:val="0"/>
              <w:keepLines w:val="0"/>
              <w:pageBreakBefore w:val="0"/>
              <w:widowControl w:val="0"/>
              <w:numPr>
                <w:ilvl w:val="0"/>
                <w:numId w:val="133"/>
              </w:numPr>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sz w:val="21"/>
                <w:szCs w:val="21"/>
              </w:rPr>
            </w:pPr>
          </w:p>
        </w:tc>
        <w:tc>
          <w:tcPr>
            <w:tcW w:w="3059" w:type="dxa"/>
            <w:tcBorders>
              <w:tl2br w:val="nil"/>
              <w:tr2bl w:val="nil"/>
            </w:tcBorders>
            <w:noWrap w:val="0"/>
            <w:vAlign w:val="center"/>
          </w:tcPr>
          <w:p w14:paraId="792656A1">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用人单位应当定期对劳动防护用品的使用情况进行检查，确保劳动者正确使用。</w:t>
            </w:r>
          </w:p>
        </w:tc>
        <w:tc>
          <w:tcPr>
            <w:tcW w:w="2118" w:type="dxa"/>
            <w:tcBorders>
              <w:tl2br w:val="nil"/>
              <w:tr2bl w:val="nil"/>
            </w:tcBorders>
            <w:noWrap w:val="0"/>
            <w:vAlign w:val="center"/>
          </w:tcPr>
          <w:p w14:paraId="4574119B">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《国家安全监管总局办公厅关于修改用人单位劳动防护用品管理规范的通知》（安监总厅安健〔2018〕3号）第二十一条</w:t>
            </w:r>
          </w:p>
        </w:tc>
        <w:tc>
          <w:tcPr>
            <w:tcW w:w="2479" w:type="dxa"/>
            <w:tcBorders>
              <w:tl2br w:val="nil"/>
              <w:tr2bl w:val="nil"/>
            </w:tcBorders>
            <w:noWrap w:val="0"/>
            <w:vAlign w:val="center"/>
          </w:tcPr>
          <w:p w14:paraId="4401211C">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该公司对从业人员进行劳动防护用品使用监督。</w:t>
            </w:r>
          </w:p>
        </w:tc>
        <w:tc>
          <w:tcPr>
            <w:tcW w:w="432" w:type="dxa"/>
            <w:tcBorders>
              <w:tl2br w:val="nil"/>
              <w:tr2bl w:val="nil"/>
            </w:tcBorders>
            <w:noWrap w:val="0"/>
            <w:vAlign w:val="center"/>
          </w:tcPr>
          <w:p w14:paraId="5862C551">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4DE527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tcBorders>
              <w:tl2br w:val="nil"/>
              <w:tr2bl w:val="nil"/>
            </w:tcBorders>
            <w:noWrap w:val="0"/>
            <w:vAlign w:val="center"/>
          </w:tcPr>
          <w:p w14:paraId="7D8E9101">
            <w:pPr>
              <w:keepNext w:val="0"/>
              <w:keepLines w:val="0"/>
              <w:pageBreakBefore w:val="0"/>
              <w:widowControl w:val="0"/>
              <w:numPr>
                <w:ilvl w:val="0"/>
                <w:numId w:val="133"/>
              </w:numPr>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sz w:val="21"/>
                <w:szCs w:val="21"/>
              </w:rPr>
            </w:pPr>
          </w:p>
        </w:tc>
        <w:tc>
          <w:tcPr>
            <w:tcW w:w="3059" w:type="dxa"/>
            <w:tcBorders>
              <w:tl2br w:val="nil"/>
              <w:tr2bl w:val="nil"/>
            </w:tcBorders>
            <w:noWrap w:val="0"/>
            <w:vAlign w:val="center"/>
          </w:tcPr>
          <w:p w14:paraId="687C1026">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用人单位应建立健全个体防护装备管理制度，至少应包括采购、验收、保管、选择、发放、使用、报废、培训等内容，并应建立健全个体防护装备管理档案。</w:t>
            </w:r>
          </w:p>
        </w:tc>
        <w:tc>
          <w:tcPr>
            <w:tcW w:w="2118" w:type="dxa"/>
            <w:tcBorders>
              <w:tl2br w:val="nil"/>
              <w:tr2bl w:val="nil"/>
            </w:tcBorders>
            <w:noWrap w:val="0"/>
            <w:vAlign w:val="center"/>
          </w:tcPr>
          <w:p w14:paraId="5A889FB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《个体防护装备配备规范第1部分：总则》</w:t>
            </w:r>
          </w:p>
          <w:p w14:paraId="6E6B83A0">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（GB39800.1-2020）</w:t>
            </w:r>
          </w:p>
          <w:p w14:paraId="13E3E44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6.1.1</w:t>
            </w:r>
          </w:p>
        </w:tc>
        <w:tc>
          <w:tcPr>
            <w:tcW w:w="2479" w:type="dxa"/>
            <w:tcBorders>
              <w:tl2br w:val="nil"/>
              <w:tr2bl w:val="nil"/>
            </w:tcBorders>
            <w:noWrap w:val="0"/>
            <w:vAlign w:val="center"/>
          </w:tcPr>
          <w:p w14:paraId="557F256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企业已建立劳动防护用品管理制度，并建立健全个体防护装备管理档案。</w:t>
            </w:r>
          </w:p>
        </w:tc>
        <w:tc>
          <w:tcPr>
            <w:tcW w:w="432" w:type="dxa"/>
            <w:tcBorders>
              <w:tl2br w:val="nil"/>
              <w:tr2bl w:val="nil"/>
            </w:tcBorders>
            <w:noWrap w:val="0"/>
            <w:vAlign w:val="center"/>
          </w:tcPr>
          <w:p w14:paraId="38A5FC0D">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r w14:paraId="3B911F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5" w:type="dxa"/>
            <w:tcBorders>
              <w:tl2br w:val="nil"/>
              <w:tr2bl w:val="nil"/>
            </w:tcBorders>
            <w:noWrap w:val="0"/>
            <w:vAlign w:val="center"/>
          </w:tcPr>
          <w:p w14:paraId="6802D46A">
            <w:pPr>
              <w:keepNext w:val="0"/>
              <w:keepLines w:val="0"/>
              <w:pageBreakBefore w:val="0"/>
              <w:widowControl w:val="0"/>
              <w:numPr>
                <w:ilvl w:val="0"/>
                <w:numId w:val="133"/>
              </w:numPr>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sz w:val="21"/>
                <w:szCs w:val="21"/>
              </w:rPr>
            </w:pPr>
          </w:p>
        </w:tc>
        <w:tc>
          <w:tcPr>
            <w:tcW w:w="3059" w:type="dxa"/>
            <w:tcBorders>
              <w:tl2br w:val="nil"/>
              <w:tr2bl w:val="nil"/>
            </w:tcBorders>
            <w:noWrap w:val="0"/>
            <w:vAlign w:val="center"/>
          </w:tcPr>
          <w:p w14:paraId="58E403F0">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用人单位应在入库前对个体防护装备进行进货验收，确定产品是否符合国家或行业标准</w:t>
            </w:r>
            <w:r>
              <w:rPr>
                <w:rFonts w:hint="eastAsia" w:ascii="宋体" w:hAnsi="宋体" w:eastAsia="宋体" w:cs="宋体"/>
                <w:sz w:val="21"/>
                <w:szCs w:val="21"/>
                <w:lang w:eastAsia="zh-CN"/>
              </w:rPr>
              <w:t>；</w:t>
            </w:r>
            <w:r>
              <w:rPr>
                <w:rFonts w:hint="eastAsia" w:ascii="宋体" w:hAnsi="宋体" w:eastAsia="宋体" w:cs="宋体"/>
                <w:sz w:val="21"/>
                <w:szCs w:val="21"/>
              </w:rPr>
              <w:t>对国家规定应进行定期强检的个体防护装备，用人单位应按相关规定，委托具有检测资质的检验检测机构进行定期检验。</w:t>
            </w:r>
          </w:p>
        </w:tc>
        <w:tc>
          <w:tcPr>
            <w:tcW w:w="2118" w:type="dxa"/>
            <w:tcBorders>
              <w:tl2br w:val="nil"/>
              <w:tr2bl w:val="nil"/>
            </w:tcBorders>
            <w:noWrap w:val="0"/>
            <w:vAlign w:val="center"/>
          </w:tcPr>
          <w:p w14:paraId="12A1D01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《个体防护装备配备规范第1部分：总则》</w:t>
            </w:r>
          </w:p>
          <w:p w14:paraId="74C1D671">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（GB39800.1-2020）</w:t>
            </w:r>
          </w:p>
          <w:p w14:paraId="062184AF">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6.1.2</w:t>
            </w:r>
          </w:p>
        </w:tc>
        <w:tc>
          <w:tcPr>
            <w:tcW w:w="2479" w:type="dxa"/>
            <w:tcBorders>
              <w:tl2br w:val="nil"/>
              <w:tr2bl w:val="nil"/>
            </w:tcBorders>
            <w:noWrap w:val="0"/>
            <w:vAlign w:val="center"/>
          </w:tcPr>
          <w:p w14:paraId="0DABB131">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sz w:val="21"/>
                <w:szCs w:val="21"/>
              </w:rPr>
              <w:t>该公司发放的个人防护用品满足要求。</w:t>
            </w:r>
          </w:p>
        </w:tc>
        <w:tc>
          <w:tcPr>
            <w:tcW w:w="432" w:type="dxa"/>
            <w:tcBorders>
              <w:tl2br w:val="nil"/>
              <w:tr2bl w:val="nil"/>
            </w:tcBorders>
            <w:noWrap w:val="0"/>
            <w:vAlign w:val="center"/>
          </w:tcPr>
          <w:p w14:paraId="00E4EC42">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符合</w:t>
            </w:r>
          </w:p>
        </w:tc>
      </w:tr>
    </w:tbl>
    <w:p w14:paraId="7EC1F767">
      <w:pPr>
        <w:keepNext w:val="0"/>
        <w:keepLines w:val="0"/>
        <w:pageBreakBefore w:val="0"/>
        <w:widowControl w:val="0"/>
        <w:kinsoku/>
        <w:wordWrap/>
        <w:topLinePunct/>
        <w:bidi w:val="0"/>
        <w:ind w:firstLine="560"/>
      </w:pPr>
      <w:r>
        <w:rPr>
          <w:rFonts w:hint="eastAsia"/>
        </w:rPr>
        <w:t>根据以上检查结果可知，本项目个人安全防护符合《中华人民共和国安全生产法</w:t>
      </w:r>
      <w:r>
        <w:rPr>
          <w:rFonts w:hint="eastAsia"/>
          <w:lang w:eastAsia="zh-CN"/>
        </w:rPr>
        <w:t>》《</w:t>
      </w:r>
      <w:r>
        <w:rPr>
          <w:rFonts w:hint="eastAsia"/>
        </w:rPr>
        <w:t>国家安全监管总局办公厅关于修改用人单位劳动防护用品管理规范的通知》（安监总厅安健〔2018〕3号）、《个体防护装备配备规范第1部分：总则》（GB39800.1-2020）等国家标准、规范的要求。</w:t>
      </w:r>
    </w:p>
    <w:p w14:paraId="14B1AB97">
      <w:pPr>
        <w:pStyle w:val="4"/>
        <w:keepNext w:val="0"/>
        <w:keepLines w:val="0"/>
        <w:pageBreakBefore w:val="0"/>
        <w:widowControl w:val="0"/>
        <w:kinsoku/>
        <w:bidi w:val="0"/>
        <w:ind w:left="720" w:leftChars="0" w:hanging="720" w:firstLineChars="0"/>
      </w:pPr>
      <w:bookmarkStart w:id="1149" w:name="_Toc3217"/>
      <w:bookmarkStart w:id="1150" w:name="_Toc29818"/>
      <w:r>
        <w:rPr>
          <w:rFonts w:hint="eastAsia"/>
        </w:rPr>
        <w:t>安全标志</w:t>
      </w:r>
      <w:bookmarkEnd w:id="1143"/>
      <w:bookmarkEnd w:id="1144"/>
      <w:bookmarkEnd w:id="1145"/>
      <w:bookmarkEnd w:id="1146"/>
      <w:bookmarkEnd w:id="1147"/>
      <w:bookmarkEnd w:id="1148"/>
      <w:bookmarkEnd w:id="1149"/>
      <w:bookmarkEnd w:id="1150"/>
    </w:p>
    <w:p w14:paraId="3897BA26">
      <w:pPr>
        <w:pStyle w:val="12"/>
        <w:keepNext w:val="0"/>
        <w:keepLines w:val="0"/>
        <w:pageBreakBefore w:val="0"/>
        <w:widowControl w:val="0"/>
        <w:kinsoku/>
        <w:wordWrap/>
        <w:bidi w:val="0"/>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19</w:t>
      </w:r>
      <w:r>
        <w:rPr>
          <w:rFonts w:hint="eastAsia"/>
          <w:lang w:val="en-US" w:eastAsia="zh-CN"/>
        </w:rPr>
        <w:fldChar w:fldCharType="end"/>
      </w:r>
      <w:r>
        <w:rPr>
          <w:rFonts w:hint="eastAsia"/>
        </w:rPr>
        <w:t>安全标志设置情况安全检查表</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73"/>
        <w:gridCol w:w="2737"/>
        <w:gridCol w:w="2377"/>
        <w:gridCol w:w="2200"/>
        <w:gridCol w:w="636"/>
      </w:tblGrid>
      <w:tr w14:paraId="17E55A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36" w:type="pct"/>
            <w:tcBorders>
              <w:tl2br w:val="nil"/>
              <w:tr2bl w:val="nil"/>
            </w:tcBorders>
            <w:noWrap w:val="0"/>
            <w:vAlign w:val="center"/>
          </w:tcPr>
          <w:p w14:paraId="6DED03B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序号</w:t>
            </w:r>
          </w:p>
        </w:tc>
        <w:tc>
          <w:tcPr>
            <w:tcW w:w="1605" w:type="pct"/>
            <w:tcBorders>
              <w:tl2br w:val="nil"/>
              <w:tr2bl w:val="nil"/>
            </w:tcBorders>
            <w:noWrap w:val="0"/>
            <w:vAlign w:val="center"/>
          </w:tcPr>
          <w:p w14:paraId="6FABA87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检查内容</w:t>
            </w:r>
          </w:p>
        </w:tc>
        <w:tc>
          <w:tcPr>
            <w:tcW w:w="1394" w:type="pct"/>
            <w:tcBorders>
              <w:tl2br w:val="nil"/>
              <w:tr2bl w:val="nil"/>
            </w:tcBorders>
            <w:noWrap w:val="0"/>
            <w:vAlign w:val="center"/>
          </w:tcPr>
          <w:p w14:paraId="39A4AC8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依据标准</w:t>
            </w:r>
          </w:p>
        </w:tc>
        <w:tc>
          <w:tcPr>
            <w:tcW w:w="1290" w:type="pct"/>
            <w:tcBorders>
              <w:tl2br w:val="nil"/>
              <w:tr2bl w:val="nil"/>
            </w:tcBorders>
            <w:noWrap w:val="0"/>
            <w:vAlign w:val="center"/>
          </w:tcPr>
          <w:p w14:paraId="1C1BD74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检查情况</w:t>
            </w:r>
          </w:p>
        </w:tc>
        <w:tc>
          <w:tcPr>
            <w:tcW w:w="373" w:type="pct"/>
            <w:tcBorders>
              <w:tl2br w:val="nil"/>
              <w:tr2bl w:val="nil"/>
            </w:tcBorders>
            <w:noWrap w:val="0"/>
            <w:vAlign w:val="center"/>
          </w:tcPr>
          <w:p w14:paraId="0CA3884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结论</w:t>
            </w:r>
          </w:p>
        </w:tc>
      </w:tr>
      <w:tr w14:paraId="63A46D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 w:type="pct"/>
            <w:tcBorders>
              <w:tl2br w:val="nil"/>
              <w:tr2bl w:val="nil"/>
            </w:tcBorders>
            <w:noWrap w:val="0"/>
            <w:vAlign w:val="center"/>
          </w:tcPr>
          <w:p w14:paraId="0AF7D68C">
            <w:pPr>
              <w:keepNext w:val="0"/>
              <w:keepLines w:val="0"/>
              <w:pageBreakBefore w:val="0"/>
              <w:widowControl w:val="0"/>
              <w:numPr>
                <w:ilvl w:val="0"/>
                <w:numId w:val="134"/>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605" w:type="pct"/>
            <w:tcBorders>
              <w:tl2br w:val="nil"/>
              <w:tr2bl w:val="nil"/>
            </w:tcBorders>
            <w:noWrap w:val="0"/>
            <w:vAlign w:val="center"/>
          </w:tcPr>
          <w:p w14:paraId="691C7DC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生产经营单位应当在有较大危险因素的生产经营场所和有关设施、设备上，设置明显的安全警示标志。</w:t>
            </w:r>
          </w:p>
        </w:tc>
        <w:tc>
          <w:tcPr>
            <w:tcW w:w="1394" w:type="pct"/>
            <w:tcBorders>
              <w:tl2br w:val="nil"/>
              <w:tr2bl w:val="nil"/>
            </w:tcBorders>
            <w:noWrap w:val="0"/>
            <w:vAlign w:val="center"/>
          </w:tcPr>
          <w:p w14:paraId="3FF69D5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《中华人民共和国安全生产法》</w:t>
            </w:r>
          </w:p>
          <w:p w14:paraId="2DEE39C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第三十五条</w:t>
            </w:r>
          </w:p>
        </w:tc>
        <w:tc>
          <w:tcPr>
            <w:tcW w:w="1290" w:type="pct"/>
            <w:tcBorders>
              <w:tl2br w:val="nil"/>
              <w:tr2bl w:val="nil"/>
            </w:tcBorders>
            <w:noWrap w:val="0"/>
            <w:vAlign w:val="center"/>
          </w:tcPr>
          <w:p w14:paraId="7B71569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本项目在较大危险因素的生产经营场所和有关设施、设备上，设置了明显的安全警示标志。</w:t>
            </w:r>
          </w:p>
        </w:tc>
        <w:tc>
          <w:tcPr>
            <w:tcW w:w="373" w:type="pct"/>
            <w:tcBorders>
              <w:tl2br w:val="nil"/>
              <w:tr2bl w:val="nil"/>
            </w:tcBorders>
            <w:noWrap w:val="0"/>
            <w:vAlign w:val="center"/>
          </w:tcPr>
          <w:p w14:paraId="0E21833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586290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 w:type="pct"/>
            <w:tcBorders>
              <w:tl2br w:val="nil"/>
              <w:tr2bl w:val="nil"/>
            </w:tcBorders>
            <w:noWrap w:val="0"/>
            <w:vAlign w:val="center"/>
          </w:tcPr>
          <w:p w14:paraId="62EE4E1F">
            <w:pPr>
              <w:keepNext w:val="0"/>
              <w:keepLines w:val="0"/>
              <w:pageBreakBefore w:val="0"/>
              <w:widowControl w:val="0"/>
              <w:numPr>
                <w:ilvl w:val="0"/>
                <w:numId w:val="134"/>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605" w:type="pct"/>
            <w:tcBorders>
              <w:tl2br w:val="nil"/>
              <w:tr2bl w:val="nil"/>
            </w:tcBorders>
            <w:noWrap w:val="0"/>
            <w:vAlign w:val="center"/>
          </w:tcPr>
          <w:p w14:paraId="423A653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标志牌应设在与安全有关的醒目地方</w:t>
            </w:r>
            <w:r>
              <w:rPr>
                <w:rFonts w:hint="eastAsia" w:ascii="宋体" w:hAnsi="宋体" w:cs="宋体"/>
                <w:sz w:val="21"/>
                <w:szCs w:val="21"/>
                <w:lang w:eastAsia="zh-CN"/>
              </w:rPr>
              <w:t>，</w:t>
            </w:r>
            <w:r>
              <w:rPr>
                <w:rFonts w:hint="eastAsia" w:ascii="宋体" w:hAnsi="宋体" w:eastAsia="宋体" w:cs="宋体"/>
                <w:sz w:val="21"/>
                <w:szCs w:val="21"/>
              </w:rPr>
              <w:t>并使大家看见后</w:t>
            </w:r>
            <w:r>
              <w:rPr>
                <w:rFonts w:hint="eastAsia" w:ascii="宋体" w:hAnsi="宋体" w:cs="宋体"/>
                <w:sz w:val="21"/>
                <w:szCs w:val="21"/>
                <w:lang w:eastAsia="zh-CN"/>
              </w:rPr>
              <w:t>，</w:t>
            </w:r>
            <w:r>
              <w:rPr>
                <w:rFonts w:hint="eastAsia" w:ascii="宋体" w:hAnsi="宋体" w:eastAsia="宋体" w:cs="宋体"/>
                <w:sz w:val="21"/>
                <w:szCs w:val="21"/>
              </w:rPr>
              <w:t>有足够的时间来注意它所表示的内容。环境信息标志宜设在有关场所</w:t>
            </w:r>
            <w:r>
              <w:rPr>
                <w:rFonts w:hint="eastAsia" w:ascii="宋体" w:hAnsi="宋体" w:cs="宋体"/>
                <w:sz w:val="21"/>
                <w:szCs w:val="21"/>
                <w:lang w:eastAsia="zh-CN"/>
              </w:rPr>
              <w:t>的入口处</w:t>
            </w:r>
            <w:r>
              <w:rPr>
                <w:rFonts w:hint="eastAsia" w:ascii="宋体" w:hAnsi="宋体" w:eastAsia="宋体" w:cs="宋体"/>
                <w:sz w:val="21"/>
                <w:szCs w:val="21"/>
              </w:rPr>
              <w:t>和醒目处</w:t>
            </w:r>
            <w:r>
              <w:rPr>
                <w:rFonts w:hint="eastAsia" w:ascii="宋体" w:hAnsi="宋体" w:cs="宋体"/>
                <w:sz w:val="21"/>
                <w:szCs w:val="21"/>
                <w:lang w:eastAsia="zh-CN"/>
              </w:rPr>
              <w:t>；</w:t>
            </w:r>
            <w:r>
              <w:rPr>
                <w:rFonts w:hint="eastAsia" w:ascii="宋体" w:hAnsi="宋体" w:eastAsia="宋体" w:cs="宋体"/>
                <w:sz w:val="21"/>
                <w:szCs w:val="21"/>
              </w:rPr>
              <w:t>局部信息标志应设在所涉及的相应危险地点或设备</w:t>
            </w:r>
            <w:r>
              <w:rPr>
                <w:rFonts w:hint="eastAsia" w:cs="宋体"/>
                <w:sz w:val="21"/>
                <w:szCs w:val="21"/>
                <w:lang w:eastAsia="zh-CN"/>
              </w:rPr>
              <w:t>（</w:t>
            </w:r>
            <w:r>
              <w:rPr>
                <w:rFonts w:hint="eastAsia" w:ascii="宋体" w:hAnsi="宋体" w:eastAsia="宋体" w:cs="宋体"/>
                <w:sz w:val="21"/>
                <w:szCs w:val="21"/>
              </w:rPr>
              <w:t>部件</w:t>
            </w:r>
            <w:r>
              <w:rPr>
                <w:rFonts w:hint="eastAsia" w:cs="宋体"/>
                <w:sz w:val="21"/>
                <w:szCs w:val="21"/>
                <w:lang w:eastAsia="zh-CN"/>
              </w:rPr>
              <w:t>）</w:t>
            </w:r>
            <w:r>
              <w:rPr>
                <w:rFonts w:hint="eastAsia" w:ascii="宋体" w:hAnsi="宋体" w:eastAsia="宋体" w:cs="宋体"/>
                <w:sz w:val="21"/>
                <w:szCs w:val="21"/>
              </w:rPr>
              <w:t>附近的醒目处。激光产品和激光作业场所安全标志的使用见附录C。</w:t>
            </w:r>
          </w:p>
        </w:tc>
        <w:tc>
          <w:tcPr>
            <w:tcW w:w="1394" w:type="pct"/>
            <w:tcBorders>
              <w:tl2br w:val="nil"/>
              <w:tr2bl w:val="nil"/>
            </w:tcBorders>
            <w:noWrap w:val="0"/>
            <w:vAlign w:val="center"/>
          </w:tcPr>
          <w:p w14:paraId="673F416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《安全标志及其使用导则》（GB2894-2008）</w:t>
            </w:r>
          </w:p>
          <w:p w14:paraId="12468D1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9.1</w:t>
            </w:r>
          </w:p>
        </w:tc>
        <w:tc>
          <w:tcPr>
            <w:tcW w:w="1290" w:type="pct"/>
            <w:tcBorders>
              <w:tl2br w:val="nil"/>
              <w:tr2bl w:val="nil"/>
            </w:tcBorders>
            <w:noWrap w:val="0"/>
            <w:vAlign w:val="center"/>
          </w:tcPr>
          <w:p w14:paraId="2FAFC9B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厂区安全标志设置符合要求。</w:t>
            </w:r>
          </w:p>
        </w:tc>
        <w:tc>
          <w:tcPr>
            <w:tcW w:w="373" w:type="pct"/>
            <w:tcBorders>
              <w:tl2br w:val="nil"/>
              <w:tr2bl w:val="nil"/>
            </w:tcBorders>
            <w:noWrap w:val="0"/>
            <w:vAlign w:val="center"/>
          </w:tcPr>
          <w:p w14:paraId="4F8E454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68A31F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6" w:type="pct"/>
            <w:tcBorders>
              <w:tl2br w:val="nil"/>
              <w:tr2bl w:val="nil"/>
            </w:tcBorders>
            <w:noWrap w:val="0"/>
            <w:vAlign w:val="center"/>
          </w:tcPr>
          <w:p w14:paraId="3C8DF6FA">
            <w:pPr>
              <w:keepNext w:val="0"/>
              <w:keepLines w:val="0"/>
              <w:pageBreakBefore w:val="0"/>
              <w:widowControl w:val="0"/>
              <w:numPr>
                <w:ilvl w:val="0"/>
                <w:numId w:val="134"/>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1605" w:type="pct"/>
            <w:tcBorders>
              <w:tl2br w:val="nil"/>
              <w:tr2bl w:val="nil"/>
            </w:tcBorders>
            <w:noWrap w:val="0"/>
            <w:vAlign w:val="center"/>
          </w:tcPr>
          <w:p w14:paraId="1259266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应对安全标志进行定期目视检查和清洁</w:t>
            </w:r>
            <w:r>
              <w:rPr>
                <w:rFonts w:hint="eastAsia" w:ascii="宋体" w:hAnsi="宋体" w:cs="宋体"/>
                <w:sz w:val="21"/>
                <w:szCs w:val="21"/>
                <w:lang w:eastAsia="zh-CN"/>
              </w:rPr>
              <w:t>，</w:t>
            </w:r>
            <w:r>
              <w:rPr>
                <w:rFonts w:hint="eastAsia" w:ascii="宋体" w:hAnsi="宋体" w:eastAsia="宋体" w:cs="宋体"/>
                <w:sz w:val="21"/>
                <w:szCs w:val="21"/>
              </w:rPr>
              <w:t>对于发现的问题宜及时整改。</w:t>
            </w:r>
          </w:p>
        </w:tc>
        <w:tc>
          <w:tcPr>
            <w:tcW w:w="1394" w:type="pct"/>
            <w:tcBorders>
              <w:tl2br w:val="nil"/>
              <w:tr2bl w:val="nil"/>
            </w:tcBorders>
            <w:noWrap w:val="0"/>
            <w:vAlign w:val="center"/>
          </w:tcPr>
          <w:p w14:paraId="1C6EAD4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《图形符号安全色和安全标志第5部分：安全标志使用原则与要求》（GB/T2893.5-2020）6.2.1</w:t>
            </w:r>
          </w:p>
        </w:tc>
        <w:tc>
          <w:tcPr>
            <w:tcW w:w="1290" w:type="pct"/>
            <w:tcBorders>
              <w:tl2br w:val="nil"/>
              <w:tr2bl w:val="nil"/>
            </w:tcBorders>
            <w:noWrap w:val="0"/>
            <w:vAlign w:val="center"/>
          </w:tcPr>
          <w:p w14:paraId="5AE536B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本项目安全标志已定期清洁维护。</w:t>
            </w:r>
          </w:p>
        </w:tc>
        <w:tc>
          <w:tcPr>
            <w:tcW w:w="373" w:type="pct"/>
            <w:tcBorders>
              <w:tl2br w:val="nil"/>
              <w:tr2bl w:val="nil"/>
            </w:tcBorders>
            <w:noWrap w:val="0"/>
            <w:vAlign w:val="center"/>
          </w:tcPr>
          <w:p w14:paraId="0797B23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bl>
    <w:p w14:paraId="45D0E700">
      <w:pPr>
        <w:keepNext w:val="0"/>
        <w:keepLines w:val="0"/>
        <w:pageBreakBefore w:val="0"/>
        <w:widowControl w:val="0"/>
        <w:kinsoku/>
        <w:wordWrap/>
        <w:overflowPunct/>
        <w:topLinePunct/>
        <w:autoSpaceDE/>
        <w:autoSpaceDN/>
        <w:bidi w:val="0"/>
        <w:adjustRightInd w:val="0"/>
        <w:snapToGrid/>
        <w:ind w:firstLine="560"/>
        <w:textAlignment w:val="auto"/>
      </w:pPr>
      <w:r>
        <w:rPr>
          <w:rFonts w:hint="eastAsia"/>
        </w:rPr>
        <w:t>根据以上检查结果可知，本项目安全标志符合《中华人民共和国安全生产法</w:t>
      </w:r>
      <w:r>
        <w:rPr>
          <w:rFonts w:hint="eastAsia"/>
          <w:lang w:eastAsia="zh-CN"/>
        </w:rPr>
        <w:t>》《</w:t>
      </w:r>
      <w:r>
        <w:rPr>
          <w:rFonts w:hint="eastAsia"/>
        </w:rPr>
        <w:t>安全标志及其使用导则》（GB2894-2008）、《图形符号安全色和安全标志第5部分：安全标志使用原则与要求》（GB/T2893.5-2020）等国家标准规范的要求。</w:t>
      </w:r>
    </w:p>
    <w:p w14:paraId="0212A807">
      <w:pPr>
        <w:pStyle w:val="4"/>
        <w:keepNext w:val="0"/>
        <w:keepLines w:val="0"/>
        <w:pageBreakBefore w:val="0"/>
        <w:widowControl w:val="0"/>
        <w:kinsoku/>
        <w:bidi w:val="0"/>
        <w:ind w:left="720" w:leftChars="0" w:hanging="720" w:firstLineChars="0"/>
      </w:pPr>
      <w:bookmarkStart w:id="1151" w:name="_Toc46697273"/>
      <w:bookmarkStart w:id="1152" w:name="_Toc60925445"/>
      <w:bookmarkStart w:id="1153" w:name="_Toc31943"/>
      <w:bookmarkStart w:id="1154" w:name="_Toc55945336"/>
      <w:bookmarkStart w:id="1155" w:name="_Toc500007203"/>
      <w:bookmarkStart w:id="1156" w:name="_Toc21146"/>
      <w:r>
        <w:rPr>
          <w:rFonts w:hint="eastAsia"/>
        </w:rPr>
        <w:t>事故应急救援预案及演练</w:t>
      </w:r>
      <w:bookmarkEnd w:id="1151"/>
      <w:bookmarkEnd w:id="1152"/>
      <w:bookmarkEnd w:id="1153"/>
      <w:bookmarkEnd w:id="1154"/>
      <w:bookmarkEnd w:id="1155"/>
      <w:bookmarkEnd w:id="1156"/>
    </w:p>
    <w:p w14:paraId="547386AB">
      <w:pPr>
        <w:pStyle w:val="12"/>
        <w:keepNext w:val="0"/>
        <w:keepLines w:val="0"/>
        <w:pageBreakBefore w:val="0"/>
        <w:widowControl w:val="0"/>
        <w:kinsoku/>
        <w:wordWrap/>
        <w:bidi w:val="0"/>
        <w:rPr>
          <w:kern w:val="0"/>
        </w:rPr>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20</w:t>
      </w:r>
      <w:r>
        <w:rPr>
          <w:rFonts w:hint="eastAsia"/>
          <w:lang w:val="en-US" w:eastAsia="zh-CN"/>
        </w:rPr>
        <w:fldChar w:fldCharType="end"/>
      </w:r>
      <w:r>
        <w:rPr>
          <w:rFonts w:hint="eastAsia"/>
        </w:rPr>
        <w:t>事故应急救援预案及演练安全检查表</w:t>
      </w:r>
    </w:p>
    <w:tbl>
      <w:tblPr>
        <w:tblStyle w:val="32"/>
        <w:tblW w:w="85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2"/>
        <w:gridCol w:w="2977"/>
        <w:gridCol w:w="2331"/>
        <w:gridCol w:w="1780"/>
        <w:gridCol w:w="767"/>
      </w:tblGrid>
      <w:tr w14:paraId="5B58A7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82" w:type="dxa"/>
            <w:tcBorders>
              <w:tl2br w:val="nil"/>
              <w:tr2bl w:val="nil"/>
            </w:tcBorders>
            <w:noWrap w:val="0"/>
            <w:vAlign w:val="center"/>
          </w:tcPr>
          <w:p w14:paraId="74514B2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序号</w:t>
            </w:r>
          </w:p>
        </w:tc>
        <w:tc>
          <w:tcPr>
            <w:tcW w:w="2977" w:type="dxa"/>
            <w:tcBorders>
              <w:tl2br w:val="nil"/>
              <w:tr2bl w:val="nil"/>
            </w:tcBorders>
            <w:noWrap w:val="0"/>
            <w:vAlign w:val="center"/>
          </w:tcPr>
          <w:p w14:paraId="19643AE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检查内容</w:t>
            </w:r>
          </w:p>
        </w:tc>
        <w:tc>
          <w:tcPr>
            <w:tcW w:w="2331" w:type="dxa"/>
            <w:tcBorders>
              <w:tl2br w:val="nil"/>
              <w:tr2bl w:val="nil"/>
            </w:tcBorders>
            <w:noWrap w:val="0"/>
            <w:vAlign w:val="center"/>
          </w:tcPr>
          <w:p w14:paraId="1995201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依据标准</w:t>
            </w:r>
          </w:p>
        </w:tc>
        <w:tc>
          <w:tcPr>
            <w:tcW w:w="1780" w:type="dxa"/>
            <w:tcBorders>
              <w:tl2br w:val="nil"/>
              <w:tr2bl w:val="nil"/>
            </w:tcBorders>
            <w:noWrap w:val="0"/>
            <w:vAlign w:val="center"/>
          </w:tcPr>
          <w:p w14:paraId="7D91FE6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检查情况</w:t>
            </w:r>
          </w:p>
        </w:tc>
        <w:tc>
          <w:tcPr>
            <w:tcW w:w="767" w:type="dxa"/>
            <w:tcBorders>
              <w:tl2br w:val="nil"/>
              <w:tr2bl w:val="nil"/>
            </w:tcBorders>
            <w:noWrap w:val="0"/>
            <w:vAlign w:val="center"/>
          </w:tcPr>
          <w:p w14:paraId="4C94269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结论</w:t>
            </w:r>
          </w:p>
        </w:tc>
      </w:tr>
      <w:tr w14:paraId="1610FE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tcBorders>
              <w:tl2br w:val="nil"/>
              <w:tr2bl w:val="nil"/>
            </w:tcBorders>
            <w:noWrap w:val="0"/>
            <w:vAlign w:val="center"/>
          </w:tcPr>
          <w:p w14:paraId="4D165A59">
            <w:pPr>
              <w:keepNext w:val="0"/>
              <w:keepLines w:val="0"/>
              <w:pageBreakBefore w:val="0"/>
              <w:widowControl w:val="0"/>
              <w:numPr>
                <w:ilvl w:val="0"/>
                <w:numId w:val="135"/>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2977" w:type="dxa"/>
            <w:tcBorders>
              <w:tl2br w:val="nil"/>
              <w:tr2bl w:val="nil"/>
            </w:tcBorders>
            <w:noWrap w:val="0"/>
            <w:vAlign w:val="center"/>
          </w:tcPr>
          <w:p w14:paraId="5E02491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生产经营单位应当制定本单位生产安全事故应急救援预案，与所在地县级以上地方人民政府组织制定的生产安全事故应急救援预案相衔接，并定期组织演练。</w:t>
            </w:r>
          </w:p>
        </w:tc>
        <w:tc>
          <w:tcPr>
            <w:tcW w:w="2331" w:type="dxa"/>
            <w:tcBorders>
              <w:tl2br w:val="nil"/>
              <w:tr2bl w:val="nil"/>
            </w:tcBorders>
            <w:noWrap w:val="0"/>
            <w:vAlign w:val="center"/>
          </w:tcPr>
          <w:p w14:paraId="77B1579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《中华人民共和国安全生产法》</w:t>
            </w:r>
          </w:p>
          <w:p w14:paraId="7E5F56D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kern w:val="0"/>
                <w:sz w:val="21"/>
                <w:szCs w:val="21"/>
              </w:rPr>
              <w:t>第七十八条</w:t>
            </w:r>
          </w:p>
        </w:tc>
        <w:tc>
          <w:tcPr>
            <w:tcW w:w="1780" w:type="dxa"/>
            <w:tcBorders>
              <w:tl2br w:val="nil"/>
              <w:tr2bl w:val="nil"/>
            </w:tcBorders>
            <w:noWrap w:val="0"/>
            <w:vAlign w:val="center"/>
          </w:tcPr>
          <w:p w14:paraId="494DAE7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企业编制了《</w:t>
            </w:r>
            <w:r>
              <w:rPr>
                <w:rFonts w:hint="eastAsia" w:cs="宋体"/>
                <w:sz w:val="21"/>
                <w:szCs w:val="21"/>
                <w:lang w:eastAsia="zh-CN"/>
              </w:rPr>
              <w:t>云南东锆新材料有限公司</w:t>
            </w:r>
            <w:r>
              <w:rPr>
                <w:rFonts w:hint="eastAsia" w:ascii="宋体" w:hAnsi="宋体" w:eastAsia="宋体" w:cs="宋体"/>
                <w:sz w:val="21"/>
                <w:szCs w:val="21"/>
              </w:rPr>
              <w:t>生产安全事故综合应急预案》，并定期组织事故应急演练。</w:t>
            </w:r>
          </w:p>
        </w:tc>
        <w:tc>
          <w:tcPr>
            <w:tcW w:w="767" w:type="dxa"/>
            <w:tcBorders>
              <w:tl2br w:val="nil"/>
              <w:tr2bl w:val="nil"/>
            </w:tcBorders>
            <w:noWrap w:val="0"/>
            <w:vAlign w:val="center"/>
          </w:tcPr>
          <w:p w14:paraId="5ABCA07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016754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tcBorders>
              <w:tl2br w:val="nil"/>
              <w:tr2bl w:val="nil"/>
            </w:tcBorders>
            <w:noWrap w:val="0"/>
            <w:vAlign w:val="center"/>
          </w:tcPr>
          <w:p w14:paraId="1EF3E029">
            <w:pPr>
              <w:keepNext w:val="0"/>
              <w:keepLines w:val="0"/>
              <w:pageBreakBefore w:val="0"/>
              <w:widowControl w:val="0"/>
              <w:numPr>
                <w:ilvl w:val="0"/>
                <w:numId w:val="135"/>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2977" w:type="dxa"/>
            <w:tcBorders>
              <w:tl2br w:val="nil"/>
              <w:tr2bl w:val="nil"/>
            </w:tcBorders>
            <w:noWrap w:val="0"/>
            <w:vAlign w:val="center"/>
          </w:tcPr>
          <w:p w14:paraId="6094A29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生产经营单位应当在编制应急预案的基础上，针对工作场所、岗位的特点，编制简明、实用、有效的应急处置卡。</w:t>
            </w:r>
          </w:p>
          <w:p w14:paraId="27BD493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应急处置卡应当规定重点岗位、人员的应急处置程序和措施，以及相关联络人员和联系方式，便于从业人员携带。</w:t>
            </w:r>
          </w:p>
        </w:tc>
        <w:tc>
          <w:tcPr>
            <w:tcW w:w="2331" w:type="dxa"/>
            <w:tcBorders>
              <w:tl2br w:val="nil"/>
              <w:tr2bl w:val="nil"/>
            </w:tcBorders>
            <w:noWrap w:val="0"/>
            <w:vAlign w:val="center"/>
          </w:tcPr>
          <w:p w14:paraId="771F0DF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《生产安全事故应急预案管理办法》</w:t>
            </w:r>
          </w:p>
          <w:p w14:paraId="0EAF1A3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（国家安全生产监督管理总局令第88号，应急管理部2号令修正）</w:t>
            </w:r>
          </w:p>
          <w:p w14:paraId="6BE6D94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第十九条</w:t>
            </w:r>
          </w:p>
        </w:tc>
        <w:tc>
          <w:tcPr>
            <w:tcW w:w="1780" w:type="dxa"/>
            <w:tcBorders>
              <w:tl2br w:val="nil"/>
              <w:tr2bl w:val="nil"/>
            </w:tcBorders>
            <w:noWrap w:val="0"/>
            <w:vAlign w:val="center"/>
          </w:tcPr>
          <w:p w14:paraId="075E784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企业按要求编制了应急处置卡。</w:t>
            </w:r>
          </w:p>
        </w:tc>
        <w:tc>
          <w:tcPr>
            <w:tcW w:w="767" w:type="dxa"/>
            <w:tcBorders>
              <w:tl2br w:val="nil"/>
              <w:tr2bl w:val="nil"/>
            </w:tcBorders>
            <w:noWrap w:val="0"/>
            <w:vAlign w:val="center"/>
          </w:tcPr>
          <w:p w14:paraId="27E4F9A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69037D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tcBorders>
              <w:tl2br w:val="nil"/>
              <w:tr2bl w:val="nil"/>
            </w:tcBorders>
            <w:noWrap w:val="0"/>
            <w:vAlign w:val="center"/>
          </w:tcPr>
          <w:p w14:paraId="56F1E96B">
            <w:pPr>
              <w:keepNext w:val="0"/>
              <w:keepLines w:val="0"/>
              <w:pageBreakBefore w:val="0"/>
              <w:widowControl w:val="0"/>
              <w:numPr>
                <w:ilvl w:val="0"/>
                <w:numId w:val="135"/>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2977" w:type="dxa"/>
            <w:tcBorders>
              <w:tl2br w:val="nil"/>
              <w:tr2bl w:val="nil"/>
            </w:tcBorders>
            <w:noWrap w:val="0"/>
            <w:vAlign w:val="center"/>
          </w:tcPr>
          <w:p w14:paraId="74CC0C1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矿山、金属冶炼、建筑施工企业和易燃易爆物品、危险化学品的生产、经营（带储存设施的，下同）、储存企业，以及使用危险化学品达到国家规定数量的化工企业、烟花爆竹生产、批发经营企业和中型规模以上的其他生产经营单位，应当对本单位编制的应急预案进行评审，并形成书面评审纪要。</w:t>
            </w:r>
          </w:p>
          <w:p w14:paraId="6723E11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前款规定以外的其他生产经营单位应当对本单位编制的应急预案进行论证。</w:t>
            </w:r>
          </w:p>
        </w:tc>
        <w:tc>
          <w:tcPr>
            <w:tcW w:w="2331" w:type="dxa"/>
            <w:tcBorders>
              <w:tl2br w:val="nil"/>
              <w:tr2bl w:val="nil"/>
            </w:tcBorders>
            <w:noWrap w:val="0"/>
            <w:vAlign w:val="center"/>
          </w:tcPr>
          <w:p w14:paraId="557AD73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《生产安全事故应急预案管理办法》</w:t>
            </w:r>
          </w:p>
          <w:p w14:paraId="265867F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（国家安全生产监督管理总局令第88号，应急管理部2号令修正）</w:t>
            </w:r>
          </w:p>
          <w:p w14:paraId="1ECDD45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第二十一条</w:t>
            </w:r>
          </w:p>
        </w:tc>
        <w:tc>
          <w:tcPr>
            <w:tcW w:w="1780" w:type="dxa"/>
            <w:tcBorders>
              <w:tl2br w:val="nil"/>
              <w:tr2bl w:val="nil"/>
            </w:tcBorders>
            <w:noWrap w:val="0"/>
            <w:vAlign w:val="center"/>
          </w:tcPr>
          <w:p w14:paraId="49C617A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企业编制生产安全应急预案，并进行了评审，形成书面评审纪要。</w:t>
            </w:r>
          </w:p>
        </w:tc>
        <w:tc>
          <w:tcPr>
            <w:tcW w:w="767" w:type="dxa"/>
            <w:tcBorders>
              <w:tl2br w:val="nil"/>
              <w:tr2bl w:val="nil"/>
            </w:tcBorders>
            <w:noWrap w:val="0"/>
            <w:vAlign w:val="center"/>
          </w:tcPr>
          <w:p w14:paraId="73D145B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31342B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tcBorders>
              <w:tl2br w:val="nil"/>
              <w:tr2bl w:val="nil"/>
            </w:tcBorders>
            <w:noWrap w:val="0"/>
            <w:vAlign w:val="center"/>
          </w:tcPr>
          <w:p w14:paraId="1BD3EE4F">
            <w:pPr>
              <w:keepNext w:val="0"/>
              <w:keepLines w:val="0"/>
              <w:pageBreakBefore w:val="0"/>
              <w:widowControl w:val="0"/>
              <w:numPr>
                <w:ilvl w:val="0"/>
                <w:numId w:val="135"/>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2977" w:type="dxa"/>
            <w:tcBorders>
              <w:tl2br w:val="nil"/>
              <w:tr2bl w:val="nil"/>
            </w:tcBorders>
            <w:noWrap w:val="0"/>
            <w:vAlign w:val="center"/>
          </w:tcPr>
          <w:p w14:paraId="5C9A3FE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tc>
        <w:tc>
          <w:tcPr>
            <w:tcW w:w="2331" w:type="dxa"/>
            <w:tcBorders>
              <w:tl2br w:val="nil"/>
              <w:tr2bl w:val="nil"/>
            </w:tcBorders>
            <w:noWrap w:val="0"/>
            <w:vAlign w:val="center"/>
          </w:tcPr>
          <w:p w14:paraId="5504E70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《生产安全事故应急预案管理办法》</w:t>
            </w:r>
          </w:p>
          <w:p w14:paraId="288F5B6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（国家安全生产监督管理总局令第88号，应急管理部2号令修正）</w:t>
            </w:r>
          </w:p>
          <w:p w14:paraId="785CB25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第二十六条</w:t>
            </w:r>
          </w:p>
        </w:tc>
        <w:tc>
          <w:tcPr>
            <w:tcW w:w="1780" w:type="dxa"/>
            <w:tcBorders>
              <w:tl2br w:val="nil"/>
              <w:tr2bl w:val="nil"/>
            </w:tcBorders>
            <w:noWrap w:val="0"/>
            <w:vAlign w:val="center"/>
          </w:tcPr>
          <w:p w14:paraId="0F62708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ascii="宋体" w:hAnsi="宋体" w:eastAsia="宋体" w:cs="宋体"/>
                <w:sz w:val="21"/>
                <w:szCs w:val="21"/>
                <w:lang w:val="en-US" w:eastAsia="zh-CN"/>
              </w:rPr>
            </w:pPr>
            <w:r>
              <w:rPr>
                <w:rFonts w:hint="eastAsia" w:ascii="宋体" w:hAnsi="宋体" w:eastAsia="宋体" w:cs="宋体"/>
                <w:sz w:val="21"/>
                <w:szCs w:val="21"/>
              </w:rPr>
              <w:t>企业编制了《</w:t>
            </w:r>
            <w:r>
              <w:rPr>
                <w:rFonts w:hint="eastAsia" w:cs="宋体"/>
                <w:sz w:val="21"/>
                <w:szCs w:val="21"/>
                <w:lang w:eastAsia="zh-CN"/>
              </w:rPr>
              <w:t>云南东锆新材料有限公司</w:t>
            </w:r>
            <w:r>
              <w:rPr>
                <w:rFonts w:hint="eastAsia" w:ascii="宋体" w:hAnsi="宋体" w:eastAsia="宋体" w:cs="宋体"/>
                <w:sz w:val="21"/>
                <w:szCs w:val="21"/>
              </w:rPr>
              <w:t>生产安全事故应急预案》</w:t>
            </w:r>
            <w:r>
              <w:rPr>
                <w:rFonts w:hint="eastAsia" w:cs="宋体"/>
                <w:sz w:val="21"/>
                <w:szCs w:val="21"/>
                <w:lang w:eastAsia="zh-CN"/>
              </w:rPr>
              <w:t>，</w:t>
            </w:r>
            <w:r>
              <w:rPr>
                <w:rFonts w:hint="eastAsia" w:cs="宋体"/>
                <w:sz w:val="21"/>
                <w:szCs w:val="21"/>
                <w:lang w:val="en-US" w:eastAsia="zh-CN"/>
              </w:rPr>
              <w:t>并按要求进行了备案。</w:t>
            </w:r>
          </w:p>
        </w:tc>
        <w:tc>
          <w:tcPr>
            <w:tcW w:w="767" w:type="dxa"/>
            <w:tcBorders>
              <w:tl2br w:val="nil"/>
              <w:tr2bl w:val="nil"/>
            </w:tcBorders>
            <w:noWrap w:val="0"/>
            <w:vAlign w:val="center"/>
          </w:tcPr>
          <w:p w14:paraId="0117BC1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4CA968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tcBorders>
              <w:tl2br w:val="nil"/>
              <w:tr2bl w:val="nil"/>
            </w:tcBorders>
            <w:noWrap w:val="0"/>
            <w:vAlign w:val="center"/>
          </w:tcPr>
          <w:p w14:paraId="7EABA6E3">
            <w:pPr>
              <w:keepNext w:val="0"/>
              <w:keepLines w:val="0"/>
              <w:pageBreakBefore w:val="0"/>
              <w:widowControl w:val="0"/>
              <w:numPr>
                <w:ilvl w:val="0"/>
                <w:numId w:val="135"/>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2977" w:type="dxa"/>
            <w:tcBorders>
              <w:tl2br w:val="nil"/>
              <w:tr2bl w:val="nil"/>
            </w:tcBorders>
            <w:noWrap w:val="0"/>
            <w:vAlign w:val="center"/>
          </w:tcPr>
          <w:p w14:paraId="5DFB704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各级应急管理部门应当将本部门应急预案的培训纳入安全生产培训工作计划，并组织实施本行政区域内重点生产经营单位的应急预案培训工作。</w:t>
            </w:r>
          </w:p>
          <w:p w14:paraId="1605535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生产经营单位应当组织开展本单位的应急预案、应急知识、自救互救和避险逃生技能的培训活动，使有关人员了解应急预案内容，熟悉应急职责、应急处置程序和措施。</w:t>
            </w:r>
          </w:p>
          <w:p w14:paraId="069227D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应急培训的时间、地点、内容、师资、参加人员和考核结果等情况应当如实记入本单位的安全生产教育和培训档案。</w:t>
            </w:r>
          </w:p>
        </w:tc>
        <w:tc>
          <w:tcPr>
            <w:tcW w:w="2331" w:type="dxa"/>
            <w:tcBorders>
              <w:tl2br w:val="nil"/>
              <w:tr2bl w:val="nil"/>
            </w:tcBorders>
            <w:noWrap w:val="0"/>
            <w:vAlign w:val="center"/>
          </w:tcPr>
          <w:p w14:paraId="72B44F2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《生产安全事故应急预案管理办法》</w:t>
            </w:r>
          </w:p>
          <w:p w14:paraId="73AC520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（国家安全生产监督管理总局令第88号，应急管理部2号令修正）</w:t>
            </w:r>
          </w:p>
          <w:p w14:paraId="5F8BAA8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bookmarkStart w:id="1157" w:name="_Toc523950027"/>
            <w:bookmarkStart w:id="1158" w:name="_Toc2253647"/>
            <w:bookmarkStart w:id="1159" w:name="_Toc494296193"/>
            <w:bookmarkStart w:id="1160" w:name="_Toc510859842"/>
            <w:r>
              <w:rPr>
                <w:rFonts w:hint="eastAsia" w:ascii="宋体" w:hAnsi="宋体" w:eastAsia="宋体" w:cs="宋体"/>
                <w:sz w:val="21"/>
                <w:szCs w:val="21"/>
              </w:rPr>
              <w:t>第三十一条</w:t>
            </w:r>
            <w:bookmarkEnd w:id="1157"/>
            <w:bookmarkEnd w:id="1158"/>
            <w:bookmarkEnd w:id="1159"/>
            <w:bookmarkEnd w:id="1160"/>
          </w:p>
        </w:tc>
        <w:tc>
          <w:tcPr>
            <w:tcW w:w="1780" w:type="dxa"/>
            <w:tcBorders>
              <w:tl2br w:val="nil"/>
              <w:tr2bl w:val="nil"/>
            </w:tcBorders>
            <w:noWrap w:val="0"/>
            <w:vAlign w:val="center"/>
          </w:tcPr>
          <w:p w14:paraId="1248495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企业按要求组织开展了本单位的应急预案、应急知识、自救互救和避险逃生技能的培训活动。</w:t>
            </w:r>
          </w:p>
        </w:tc>
        <w:tc>
          <w:tcPr>
            <w:tcW w:w="767" w:type="dxa"/>
            <w:tcBorders>
              <w:tl2br w:val="nil"/>
              <w:tr2bl w:val="nil"/>
            </w:tcBorders>
            <w:noWrap w:val="0"/>
            <w:vAlign w:val="center"/>
          </w:tcPr>
          <w:p w14:paraId="3A0360D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bookmarkStart w:id="1161" w:name="_Toc523950028"/>
            <w:bookmarkStart w:id="1162" w:name="_Toc2253648"/>
            <w:bookmarkStart w:id="1163" w:name="_Toc494296194"/>
            <w:bookmarkStart w:id="1164" w:name="_Toc510859843"/>
            <w:r>
              <w:rPr>
                <w:rFonts w:hint="eastAsia" w:ascii="宋体" w:hAnsi="宋体" w:eastAsia="宋体" w:cs="宋体"/>
                <w:sz w:val="21"/>
                <w:szCs w:val="21"/>
              </w:rPr>
              <w:t>符合</w:t>
            </w:r>
            <w:bookmarkEnd w:id="1161"/>
            <w:bookmarkEnd w:id="1162"/>
            <w:bookmarkEnd w:id="1163"/>
            <w:bookmarkEnd w:id="1164"/>
          </w:p>
        </w:tc>
      </w:tr>
      <w:tr w14:paraId="6E7C3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tcBorders>
              <w:tl2br w:val="nil"/>
              <w:tr2bl w:val="nil"/>
            </w:tcBorders>
            <w:noWrap w:val="0"/>
            <w:vAlign w:val="center"/>
          </w:tcPr>
          <w:p w14:paraId="4FE10884">
            <w:pPr>
              <w:keepNext w:val="0"/>
              <w:keepLines w:val="0"/>
              <w:pageBreakBefore w:val="0"/>
              <w:widowControl w:val="0"/>
              <w:numPr>
                <w:ilvl w:val="0"/>
                <w:numId w:val="135"/>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2977" w:type="dxa"/>
            <w:tcBorders>
              <w:tl2br w:val="nil"/>
              <w:tr2bl w:val="nil"/>
            </w:tcBorders>
            <w:noWrap w:val="0"/>
            <w:vAlign w:val="center"/>
          </w:tcPr>
          <w:p w14:paraId="594E444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易燃易爆物品、危险化学品等危险物品的生产、经营、储存、运输单位，矿山、金属冶炼、城市轨道交通运营、建筑施工单位，以及宾馆、商场、娱乐场所、旅游景区等人员密集场所经营单位，应当至少每半年组织一次生产安全事故应急预案演练，并将演练情况报送所在地县级以上地方人民政府负有安全生产监督管理职责的部门。</w:t>
            </w:r>
          </w:p>
        </w:tc>
        <w:tc>
          <w:tcPr>
            <w:tcW w:w="2331" w:type="dxa"/>
            <w:tcBorders>
              <w:tl2br w:val="nil"/>
              <w:tr2bl w:val="nil"/>
            </w:tcBorders>
            <w:noWrap w:val="0"/>
            <w:vAlign w:val="center"/>
          </w:tcPr>
          <w:p w14:paraId="682FC3E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bookmarkStart w:id="1165" w:name="_Toc523950025"/>
            <w:bookmarkStart w:id="1166" w:name="_Toc494296191"/>
            <w:bookmarkStart w:id="1167" w:name="_Toc510859840"/>
            <w:bookmarkStart w:id="1168" w:name="_Toc2253645"/>
            <w:r>
              <w:rPr>
                <w:rFonts w:hint="eastAsia" w:ascii="宋体" w:hAnsi="宋体" w:eastAsia="宋体" w:cs="宋体"/>
                <w:sz w:val="21"/>
                <w:szCs w:val="21"/>
              </w:rPr>
              <w:t>《生产安全事故应急预案管理办法》</w:t>
            </w:r>
            <w:bookmarkEnd w:id="1165"/>
            <w:bookmarkEnd w:id="1166"/>
            <w:bookmarkEnd w:id="1167"/>
            <w:bookmarkEnd w:id="1168"/>
          </w:p>
          <w:p w14:paraId="4C82A5C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（国家安全生产监督管理总局令第88号，应急管理部2号令修正）</w:t>
            </w:r>
          </w:p>
          <w:p w14:paraId="2C55C49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第三十三条</w:t>
            </w:r>
          </w:p>
        </w:tc>
        <w:tc>
          <w:tcPr>
            <w:tcW w:w="1780" w:type="dxa"/>
            <w:tcBorders>
              <w:tl2br w:val="nil"/>
              <w:tr2bl w:val="nil"/>
            </w:tcBorders>
            <w:noWrap w:val="0"/>
            <w:vAlign w:val="center"/>
          </w:tcPr>
          <w:p w14:paraId="6A68ACB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企业根据要求进行</w:t>
            </w:r>
            <w:r>
              <w:rPr>
                <w:rFonts w:hint="eastAsia" w:ascii="宋体" w:hAnsi="宋体" w:cs="宋体"/>
                <w:sz w:val="21"/>
                <w:szCs w:val="21"/>
                <w:lang w:eastAsia="zh-CN"/>
              </w:rPr>
              <w:t>生产</w:t>
            </w:r>
            <w:r>
              <w:rPr>
                <w:rFonts w:hint="eastAsia" w:ascii="宋体" w:hAnsi="宋体" w:eastAsia="宋体" w:cs="宋体"/>
                <w:sz w:val="21"/>
                <w:szCs w:val="21"/>
              </w:rPr>
              <w:t>安全事故应急预案演练。</w:t>
            </w:r>
          </w:p>
        </w:tc>
        <w:tc>
          <w:tcPr>
            <w:tcW w:w="767" w:type="dxa"/>
            <w:tcBorders>
              <w:tl2br w:val="nil"/>
              <w:tr2bl w:val="nil"/>
            </w:tcBorders>
            <w:noWrap w:val="0"/>
            <w:vAlign w:val="center"/>
          </w:tcPr>
          <w:p w14:paraId="6A31885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bookmarkStart w:id="1169" w:name="_Toc2253646"/>
            <w:bookmarkStart w:id="1170" w:name="_Toc494296192"/>
            <w:bookmarkStart w:id="1171" w:name="_Toc523950026"/>
            <w:bookmarkStart w:id="1172" w:name="_Toc510859841"/>
            <w:r>
              <w:rPr>
                <w:rFonts w:hint="eastAsia" w:ascii="宋体" w:hAnsi="宋体" w:eastAsia="宋体" w:cs="宋体"/>
                <w:sz w:val="21"/>
                <w:szCs w:val="21"/>
              </w:rPr>
              <w:t>符合</w:t>
            </w:r>
            <w:bookmarkEnd w:id="1169"/>
            <w:bookmarkEnd w:id="1170"/>
            <w:bookmarkEnd w:id="1171"/>
            <w:bookmarkEnd w:id="1172"/>
          </w:p>
        </w:tc>
      </w:tr>
      <w:tr w14:paraId="5DC9ED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2" w:type="dxa"/>
            <w:tcBorders>
              <w:tl2br w:val="nil"/>
              <w:tr2bl w:val="nil"/>
            </w:tcBorders>
            <w:noWrap w:val="0"/>
            <w:vAlign w:val="center"/>
          </w:tcPr>
          <w:p w14:paraId="76CFECB3">
            <w:pPr>
              <w:keepNext w:val="0"/>
              <w:keepLines w:val="0"/>
              <w:pageBreakBefore w:val="0"/>
              <w:widowControl w:val="0"/>
              <w:numPr>
                <w:ilvl w:val="0"/>
                <w:numId w:val="135"/>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eastAsia" w:ascii="宋体" w:hAnsi="宋体" w:eastAsia="宋体" w:cs="宋体"/>
                <w:sz w:val="21"/>
                <w:szCs w:val="21"/>
              </w:rPr>
            </w:pPr>
          </w:p>
        </w:tc>
        <w:tc>
          <w:tcPr>
            <w:tcW w:w="2977" w:type="dxa"/>
            <w:tcBorders>
              <w:tl2br w:val="nil"/>
              <w:tr2bl w:val="nil"/>
            </w:tcBorders>
            <w:noWrap w:val="0"/>
            <w:vAlign w:val="center"/>
          </w:tcPr>
          <w:p w14:paraId="37EB05E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生产经营单位应当按照应急预案的规定，落实应急指挥体系、应急救援队伍、应急物资及装备，建立应急物资、装备配备及其使用档案，并对应急物资、装备进行定期检测和维护，使其处于适用状态。</w:t>
            </w:r>
          </w:p>
        </w:tc>
        <w:tc>
          <w:tcPr>
            <w:tcW w:w="2331" w:type="dxa"/>
            <w:tcBorders>
              <w:tl2br w:val="nil"/>
              <w:tr2bl w:val="nil"/>
            </w:tcBorders>
            <w:noWrap w:val="0"/>
            <w:vAlign w:val="center"/>
          </w:tcPr>
          <w:p w14:paraId="0CE6DCC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《生产安全事故应急预案管理办法》</w:t>
            </w:r>
          </w:p>
          <w:p w14:paraId="50268E5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（国家安全生产监督管理总局令第88号，应急管理部2号令修正）</w:t>
            </w:r>
          </w:p>
          <w:p w14:paraId="4FEFB8E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bookmarkStart w:id="1173" w:name="_Toc523950029"/>
            <w:bookmarkStart w:id="1174" w:name="_Toc494296195"/>
            <w:bookmarkStart w:id="1175" w:name="_Toc510859844"/>
            <w:bookmarkStart w:id="1176" w:name="_Toc2253649"/>
            <w:r>
              <w:rPr>
                <w:rFonts w:hint="eastAsia" w:ascii="宋体" w:hAnsi="宋体" w:eastAsia="宋体" w:cs="宋体"/>
                <w:sz w:val="21"/>
                <w:szCs w:val="21"/>
              </w:rPr>
              <w:t>第三十八条</w:t>
            </w:r>
            <w:bookmarkEnd w:id="1173"/>
            <w:bookmarkEnd w:id="1174"/>
            <w:bookmarkEnd w:id="1175"/>
            <w:bookmarkEnd w:id="1176"/>
          </w:p>
        </w:tc>
        <w:tc>
          <w:tcPr>
            <w:tcW w:w="1780" w:type="dxa"/>
            <w:tcBorders>
              <w:tl2br w:val="nil"/>
              <w:tr2bl w:val="nil"/>
            </w:tcBorders>
            <w:noWrap w:val="0"/>
            <w:vAlign w:val="center"/>
          </w:tcPr>
          <w:p w14:paraId="6F4C7B6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企业按要求对应急物资、装备进行定期检测和维护，使其处于适用状态。</w:t>
            </w:r>
          </w:p>
        </w:tc>
        <w:tc>
          <w:tcPr>
            <w:tcW w:w="767" w:type="dxa"/>
            <w:tcBorders>
              <w:tl2br w:val="nil"/>
              <w:tr2bl w:val="nil"/>
            </w:tcBorders>
            <w:noWrap w:val="0"/>
            <w:vAlign w:val="center"/>
          </w:tcPr>
          <w:p w14:paraId="08DD170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bookmarkStart w:id="1177" w:name="_Toc523950030"/>
            <w:bookmarkStart w:id="1178" w:name="_Toc494296196"/>
            <w:bookmarkStart w:id="1179" w:name="_Toc2253650"/>
            <w:bookmarkStart w:id="1180" w:name="_Toc510859845"/>
            <w:r>
              <w:rPr>
                <w:rFonts w:hint="eastAsia" w:ascii="宋体" w:hAnsi="宋体" w:eastAsia="宋体" w:cs="宋体"/>
                <w:sz w:val="21"/>
                <w:szCs w:val="21"/>
              </w:rPr>
              <w:t>符合</w:t>
            </w:r>
            <w:bookmarkEnd w:id="1177"/>
            <w:bookmarkEnd w:id="1178"/>
            <w:bookmarkEnd w:id="1179"/>
            <w:bookmarkEnd w:id="1180"/>
          </w:p>
        </w:tc>
      </w:tr>
    </w:tbl>
    <w:p w14:paraId="753476BA">
      <w:pPr>
        <w:keepNext w:val="0"/>
        <w:keepLines w:val="0"/>
        <w:pageBreakBefore w:val="0"/>
        <w:widowControl w:val="0"/>
        <w:kinsoku/>
        <w:wordWrap/>
        <w:overflowPunct/>
        <w:topLinePunct/>
        <w:autoSpaceDE/>
        <w:autoSpaceDN/>
        <w:bidi w:val="0"/>
        <w:adjustRightInd w:val="0"/>
        <w:snapToGrid/>
        <w:ind w:firstLine="560"/>
        <w:textAlignment w:val="auto"/>
      </w:pPr>
      <w:r>
        <w:rPr>
          <w:rFonts w:hint="eastAsia"/>
        </w:rPr>
        <w:t>根据以上检查结果可知，本项目事故应急救援预案及演练符合《中华人民共和国安全生产法</w:t>
      </w:r>
      <w:r>
        <w:rPr>
          <w:rFonts w:hint="eastAsia"/>
          <w:lang w:eastAsia="zh-CN"/>
        </w:rPr>
        <w:t>》《</w:t>
      </w:r>
      <w:r>
        <w:rPr>
          <w:rFonts w:hint="eastAsia"/>
        </w:rPr>
        <w:t>生产安全事故应急预案管理办法》等法律、标准规范的要求。</w:t>
      </w:r>
    </w:p>
    <w:p w14:paraId="3B5C1F13">
      <w:pPr>
        <w:pStyle w:val="4"/>
        <w:keepNext w:val="0"/>
        <w:keepLines w:val="0"/>
        <w:pageBreakBefore w:val="0"/>
        <w:widowControl w:val="0"/>
        <w:kinsoku/>
        <w:bidi w:val="0"/>
        <w:ind w:left="720" w:leftChars="0" w:hanging="720" w:firstLineChars="0"/>
      </w:pPr>
      <w:bookmarkStart w:id="1181" w:name="_Toc498299399"/>
      <w:bookmarkStart w:id="1182" w:name="_Toc16498"/>
      <w:bookmarkStart w:id="1183" w:name="_Toc498519869"/>
      <w:bookmarkStart w:id="1184" w:name="_Toc55945337"/>
      <w:bookmarkStart w:id="1185" w:name="_Toc60925446"/>
      <w:bookmarkStart w:id="1186" w:name="_Toc46697280"/>
      <w:bookmarkStart w:id="1187" w:name="_Toc500007204"/>
      <w:bookmarkStart w:id="1188" w:name="_Toc3340"/>
      <w:r>
        <w:rPr>
          <w:rFonts w:hint="eastAsia"/>
        </w:rPr>
        <w:t>事故</w:t>
      </w:r>
      <w:bookmarkEnd w:id="1181"/>
      <w:r>
        <w:rPr>
          <w:rFonts w:hint="eastAsia"/>
        </w:rPr>
        <w:t>管理</w:t>
      </w:r>
      <w:bookmarkEnd w:id="1182"/>
      <w:bookmarkEnd w:id="1183"/>
      <w:bookmarkEnd w:id="1184"/>
      <w:bookmarkEnd w:id="1185"/>
      <w:bookmarkEnd w:id="1186"/>
      <w:bookmarkEnd w:id="1187"/>
      <w:bookmarkEnd w:id="1188"/>
    </w:p>
    <w:p w14:paraId="69B95F53">
      <w:pPr>
        <w:pStyle w:val="12"/>
        <w:keepNext w:val="0"/>
        <w:keepLines w:val="0"/>
        <w:pageBreakBefore w:val="0"/>
        <w:widowControl w:val="0"/>
        <w:kinsoku/>
        <w:wordWrap/>
        <w:bidi w:val="0"/>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21</w:t>
      </w:r>
      <w:r>
        <w:rPr>
          <w:rFonts w:hint="eastAsia"/>
          <w:lang w:val="en-US" w:eastAsia="zh-CN"/>
        </w:rPr>
        <w:fldChar w:fldCharType="end"/>
      </w:r>
      <w:r>
        <w:rPr>
          <w:rFonts w:hint="eastAsia"/>
        </w:rPr>
        <w:t>事故管理安全检查表</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2840"/>
        <w:gridCol w:w="1967"/>
        <w:gridCol w:w="2301"/>
        <w:gridCol w:w="737"/>
      </w:tblGrid>
      <w:tr w14:paraId="1173C1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98" w:type="pct"/>
            <w:tcBorders>
              <w:tl2br w:val="nil"/>
              <w:tr2bl w:val="nil"/>
            </w:tcBorders>
            <w:noWrap w:val="0"/>
            <w:vAlign w:val="center"/>
          </w:tcPr>
          <w:p w14:paraId="3524C10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b/>
                <w:sz w:val="21"/>
                <w:szCs w:val="21"/>
              </w:rPr>
            </w:pPr>
            <w:r>
              <w:rPr>
                <w:rFonts w:hint="default"/>
                <w:b/>
                <w:sz w:val="21"/>
                <w:szCs w:val="21"/>
              </w:rPr>
              <w:t>序号</w:t>
            </w:r>
          </w:p>
        </w:tc>
        <w:tc>
          <w:tcPr>
            <w:tcW w:w="1666" w:type="pct"/>
            <w:tcBorders>
              <w:tl2br w:val="nil"/>
              <w:tr2bl w:val="nil"/>
            </w:tcBorders>
            <w:noWrap w:val="0"/>
            <w:vAlign w:val="center"/>
          </w:tcPr>
          <w:p w14:paraId="74DDE76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b/>
                <w:sz w:val="21"/>
                <w:szCs w:val="21"/>
              </w:rPr>
            </w:pPr>
            <w:r>
              <w:rPr>
                <w:rFonts w:hint="default"/>
                <w:b/>
                <w:sz w:val="21"/>
                <w:szCs w:val="21"/>
              </w:rPr>
              <w:t>检查内容</w:t>
            </w:r>
          </w:p>
        </w:tc>
        <w:tc>
          <w:tcPr>
            <w:tcW w:w="1154" w:type="pct"/>
            <w:tcBorders>
              <w:tl2br w:val="nil"/>
              <w:tr2bl w:val="nil"/>
            </w:tcBorders>
            <w:noWrap w:val="0"/>
            <w:vAlign w:val="center"/>
          </w:tcPr>
          <w:p w14:paraId="1F7D936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b/>
                <w:sz w:val="21"/>
                <w:szCs w:val="21"/>
              </w:rPr>
            </w:pPr>
            <w:r>
              <w:rPr>
                <w:rFonts w:hint="default"/>
                <w:b/>
                <w:sz w:val="21"/>
                <w:szCs w:val="21"/>
              </w:rPr>
              <w:t>依据标准</w:t>
            </w:r>
          </w:p>
        </w:tc>
        <w:tc>
          <w:tcPr>
            <w:tcW w:w="1350" w:type="pct"/>
            <w:tcBorders>
              <w:tl2br w:val="nil"/>
              <w:tr2bl w:val="nil"/>
            </w:tcBorders>
            <w:noWrap w:val="0"/>
            <w:vAlign w:val="center"/>
          </w:tcPr>
          <w:p w14:paraId="21A6824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b/>
                <w:sz w:val="21"/>
                <w:szCs w:val="21"/>
              </w:rPr>
            </w:pPr>
            <w:r>
              <w:rPr>
                <w:rFonts w:hint="default"/>
                <w:b/>
                <w:sz w:val="21"/>
                <w:szCs w:val="21"/>
              </w:rPr>
              <w:t>检查情况</w:t>
            </w:r>
          </w:p>
        </w:tc>
        <w:tc>
          <w:tcPr>
            <w:tcW w:w="432" w:type="pct"/>
            <w:tcBorders>
              <w:tl2br w:val="nil"/>
              <w:tr2bl w:val="nil"/>
            </w:tcBorders>
            <w:noWrap w:val="0"/>
            <w:vAlign w:val="center"/>
          </w:tcPr>
          <w:p w14:paraId="3E263BC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b/>
                <w:sz w:val="21"/>
                <w:szCs w:val="21"/>
              </w:rPr>
            </w:pPr>
            <w:r>
              <w:rPr>
                <w:rFonts w:hint="default"/>
                <w:b/>
                <w:sz w:val="21"/>
                <w:szCs w:val="21"/>
              </w:rPr>
              <w:t>结论</w:t>
            </w:r>
          </w:p>
        </w:tc>
      </w:tr>
      <w:tr w14:paraId="0FB1C9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8" w:type="pct"/>
            <w:tcBorders>
              <w:tl2br w:val="nil"/>
              <w:tr2bl w:val="nil"/>
            </w:tcBorders>
            <w:noWrap w:val="0"/>
            <w:vAlign w:val="center"/>
          </w:tcPr>
          <w:p w14:paraId="46A2FF6A">
            <w:pPr>
              <w:keepNext w:val="0"/>
              <w:keepLines w:val="0"/>
              <w:pageBreakBefore w:val="0"/>
              <w:widowControl w:val="0"/>
              <w:numPr>
                <w:ilvl w:val="0"/>
                <w:numId w:val="136"/>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default"/>
                <w:sz w:val="21"/>
                <w:szCs w:val="21"/>
              </w:rPr>
            </w:pPr>
          </w:p>
        </w:tc>
        <w:tc>
          <w:tcPr>
            <w:tcW w:w="1666" w:type="pct"/>
            <w:tcBorders>
              <w:tl2br w:val="nil"/>
              <w:tr2bl w:val="nil"/>
            </w:tcBorders>
            <w:noWrap w:val="0"/>
            <w:vAlign w:val="center"/>
          </w:tcPr>
          <w:p w14:paraId="4A5BD36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eastAsia"/>
                <w:sz w:val="21"/>
                <w:szCs w:val="21"/>
              </w:rPr>
              <w:t>生产经营单位应当建立安全风险分级管控制度，按照安全风险分级采取相应的管控措施。</w:t>
            </w:r>
          </w:p>
          <w:p w14:paraId="1A6CDC4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eastAsia"/>
                <w:sz w:val="21"/>
                <w:szCs w:val="21"/>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14:paraId="38C7751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eastAsia"/>
                <w:sz w:val="21"/>
                <w:szCs w:val="21"/>
              </w:rPr>
              <w:t>县级以上地方各级人民政府负有安全生产监督管理职责的部门应当将重大事故隐患纳入相关信息系统，建立健全重大事故隐患治理督办制度，督促生产经营单位消除重大事故隐患。</w:t>
            </w:r>
          </w:p>
        </w:tc>
        <w:tc>
          <w:tcPr>
            <w:tcW w:w="1154" w:type="pct"/>
            <w:tcBorders>
              <w:tl2br w:val="nil"/>
              <w:tr2bl w:val="nil"/>
            </w:tcBorders>
            <w:noWrap w:val="0"/>
            <w:vAlign w:val="center"/>
          </w:tcPr>
          <w:p w14:paraId="5788D6D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《中华人民共和国安全生产法》</w:t>
            </w:r>
          </w:p>
          <w:p w14:paraId="6A5E8A6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第</w:t>
            </w:r>
            <w:r>
              <w:rPr>
                <w:rFonts w:hint="eastAsia"/>
                <w:sz w:val="21"/>
                <w:szCs w:val="21"/>
              </w:rPr>
              <w:t>四十一</w:t>
            </w:r>
            <w:r>
              <w:rPr>
                <w:rFonts w:hint="default"/>
                <w:sz w:val="21"/>
                <w:szCs w:val="21"/>
              </w:rPr>
              <w:t>条</w:t>
            </w:r>
          </w:p>
        </w:tc>
        <w:tc>
          <w:tcPr>
            <w:tcW w:w="1350" w:type="pct"/>
            <w:tcBorders>
              <w:tl2br w:val="nil"/>
              <w:tr2bl w:val="nil"/>
            </w:tcBorders>
            <w:noWrap w:val="0"/>
            <w:vAlign w:val="center"/>
          </w:tcPr>
          <w:p w14:paraId="3B2D02D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default"/>
                <w:sz w:val="21"/>
                <w:szCs w:val="21"/>
              </w:rPr>
              <w:t>该</w:t>
            </w:r>
            <w:r>
              <w:rPr>
                <w:rFonts w:hint="eastAsia"/>
                <w:sz w:val="21"/>
                <w:szCs w:val="21"/>
              </w:rPr>
              <w:t>公司</w:t>
            </w:r>
            <w:r>
              <w:rPr>
                <w:rFonts w:hint="default"/>
                <w:sz w:val="21"/>
                <w:szCs w:val="21"/>
              </w:rPr>
              <w:t>建立了生产安全事故隐患排查治理制度。</w:t>
            </w:r>
          </w:p>
        </w:tc>
        <w:tc>
          <w:tcPr>
            <w:tcW w:w="432" w:type="pct"/>
            <w:tcBorders>
              <w:tl2br w:val="nil"/>
              <w:tr2bl w:val="nil"/>
            </w:tcBorders>
            <w:noWrap w:val="0"/>
            <w:vAlign w:val="center"/>
          </w:tcPr>
          <w:p w14:paraId="088A49F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符合</w:t>
            </w:r>
          </w:p>
        </w:tc>
      </w:tr>
      <w:tr w14:paraId="2A846F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8" w:type="pct"/>
            <w:tcBorders>
              <w:tl2br w:val="nil"/>
              <w:tr2bl w:val="nil"/>
            </w:tcBorders>
            <w:noWrap w:val="0"/>
            <w:vAlign w:val="center"/>
          </w:tcPr>
          <w:p w14:paraId="320FA615">
            <w:pPr>
              <w:keepNext w:val="0"/>
              <w:keepLines w:val="0"/>
              <w:pageBreakBefore w:val="0"/>
              <w:widowControl w:val="0"/>
              <w:numPr>
                <w:ilvl w:val="0"/>
                <w:numId w:val="136"/>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default"/>
                <w:sz w:val="21"/>
                <w:szCs w:val="21"/>
              </w:rPr>
            </w:pPr>
          </w:p>
        </w:tc>
        <w:tc>
          <w:tcPr>
            <w:tcW w:w="3011" w:type="dxa"/>
            <w:tcBorders>
              <w:tl2br w:val="nil"/>
              <w:tr2bl w:val="nil"/>
            </w:tcBorders>
            <w:noWrap w:val="0"/>
            <w:vAlign w:val="center"/>
          </w:tcPr>
          <w:p w14:paraId="5AD629A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default"/>
                <w:sz w:val="21"/>
                <w:szCs w:val="21"/>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14:paraId="523F888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default"/>
                <w:sz w:val="21"/>
                <w:szCs w:val="21"/>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2086" w:type="dxa"/>
            <w:tcBorders>
              <w:tl2br w:val="nil"/>
              <w:tr2bl w:val="nil"/>
            </w:tcBorders>
            <w:noWrap w:val="0"/>
            <w:vAlign w:val="center"/>
          </w:tcPr>
          <w:p w14:paraId="4880C95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sz w:val="21"/>
                <w:szCs w:val="21"/>
              </w:rPr>
            </w:pPr>
            <w:r>
              <w:rPr>
                <w:rFonts w:hint="default"/>
                <w:sz w:val="21"/>
                <w:szCs w:val="21"/>
              </w:rPr>
              <w:t>《中华人民共和国安全生产法》</w:t>
            </w:r>
          </w:p>
          <w:p w14:paraId="1E5A44F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eastAsia"/>
                <w:sz w:val="21"/>
                <w:szCs w:val="21"/>
              </w:rPr>
              <w:t>第四十六条</w:t>
            </w:r>
          </w:p>
        </w:tc>
        <w:tc>
          <w:tcPr>
            <w:tcW w:w="2440" w:type="dxa"/>
            <w:tcBorders>
              <w:tl2br w:val="nil"/>
              <w:tr2bl w:val="nil"/>
            </w:tcBorders>
            <w:noWrap w:val="0"/>
            <w:vAlign w:val="center"/>
          </w:tcPr>
          <w:p w14:paraId="46E3A42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default"/>
                <w:sz w:val="21"/>
                <w:szCs w:val="21"/>
              </w:rPr>
              <w:t>该</w:t>
            </w:r>
            <w:r>
              <w:rPr>
                <w:rFonts w:hint="eastAsia"/>
                <w:sz w:val="21"/>
                <w:szCs w:val="21"/>
              </w:rPr>
              <w:t>公司</w:t>
            </w:r>
            <w:r>
              <w:rPr>
                <w:rFonts w:hint="default"/>
                <w:sz w:val="21"/>
                <w:szCs w:val="21"/>
              </w:rPr>
              <w:t>建立了安全检查制度，对安全生产状况进行经常性检查。</w:t>
            </w:r>
          </w:p>
        </w:tc>
        <w:tc>
          <w:tcPr>
            <w:tcW w:w="781" w:type="dxa"/>
            <w:tcBorders>
              <w:tl2br w:val="nil"/>
              <w:tr2bl w:val="nil"/>
            </w:tcBorders>
            <w:noWrap w:val="0"/>
            <w:vAlign w:val="center"/>
          </w:tcPr>
          <w:p w14:paraId="237CEE0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符合</w:t>
            </w:r>
          </w:p>
        </w:tc>
      </w:tr>
      <w:tr w14:paraId="55D806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8" w:type="pct"/>
            <w:tcBorders>
              <w:tl2br w:val="nil"/>
              <w:tr2bl w:val="nil"/>
            </w:tcBorders>
            <w:noWrap w:val="0"/>
            <w:vAlign w:val="center"/>
          </w:tcPr>
          <w:p w14:paraId="33B00011">
            <w:pPr>
              <w:keepNext w:val="0"/>
              <w:keepLines w:val="0"/>
              <w:pageBreakBefore w:val="0"/>
              <w:widowControl w:val="0"/>
              <w:numPr>
                <w:ilvl w:val="0"/>
                <w:numId w:val="136"/>
              </w:numPr>
              <w:suppressLineNumbers w:val="0"/>
              <w:kinsoku/>
              <w:wordWrap/>
              <w:overflowPunct/>
              <w:topLinePunct/>
              <w:autoSpaceDE/>
              <w:autoSpaceDN/>
              <w:bidi w:val="0"/>
              <w:adjustRightInd/>
              <w:snapToGrid/>
              <w:spacing w:before="0" w:beforeAutospacing="0" w:after="0" w:afterAutospacing="0" w:line="240" w:lineRule="auto"/>
              <w:ind w:right="0" w:firstLine="0" w:firstLineChars="0"/>
              <w:jc w:val="center"/>
              <w:textAlignment w:val="auto"/>
              <w:rPr>
                <w:rFonts w:hint="default"/>
                <w:sz w:val="21"/>
                <w:szCs w:val="21"/>
              </w:rPr>
            </w:pPr>
          </w:p>
        </w:tc>
        <w:tc>
          <w:tcPr>
            <w:tcW w:w="1666" w:type="pct"/>
            <w:tcBorders>
              <w:tl2br w:val="nil"/>
              <w:tr2bl w:val="nil"/>
            </w:tcBorders>
            <w:noWrap w:val="0"/>
            <w:vAlign w:val="center"/>
          </w:tcPr>
          <w:p w14:paraId="59178C8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eastAsia"/>
                <w:sz w:val="21"/>
                <w:szCs w:val="21"/>
              </w:rPr>
              <w:t>生产经营单位发生生产安全事故后，事故现场有关人员应当立即报告本单位负责人。</w:t>
            </w:r>
          </w:p>
          <w:p w14:paraId="3D15B79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eastAsia"/>
                <w:sz w:val="21"/>
                <w:szCs w:val="21"/>
              </w:rPr>
              <w:t>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tc>
        <w:tc>
          <w:tcPr>
            <w:tcW w:w="1154" w:type="pct"/>
            <w:tcBorders>
              <w:tl2br w:val="nil"/>
              <w:tr2bl w:val="nil"/>
            </w:tcBorders>
            <w:noWrap w:val="0"/>
            <w:vAlign w:val="center"/>
          </w:tcPr>
          <w:p w14:paraId="442154C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《中华人民共和国安全生产法》</w:t>
            </w:r>
          </w:p>
          <w:p w14:paraId="0FB87EE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第八十</w:t>
            </w:r>
            <w:r>
              <w:rPr>
                <w:rFonts w:hint="eastAsia"/>
                <w:sz w:val="21"/>
                <w:szCs w:val="21"/>
              </w:rPr>
              <w:t>三</w:t>
            </w:r>
            <w:r>
              <w:rPr>
                <w:rFonts w:hint="default"/>
                <w:sz w:val="21"/>
                <w:szCs w:val="21"/>
              </w:rPr>
              <w:t>条</w:t>
            </w:r>
          </w:p>
        </w:tc>
        <w:tc>
          <w:tcPr>
            <w:tcW w:w="1350" w:type="pct"/>
            <w:tcBorders>
              <w:tl2br w:val="nil"/>
              <w:tr2bl w:val="nil"/>
            </w:tcBorders>
            <w:noWrap w:val="0"/>
            <w:vAlign w:val="center"/>
          </w:tcPr>
          <w:p w14:paraId="7CC7671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sz w:val="21"/>
                <w:szCs w:val="21"/>
              </w:rPr>
            </w:pPr>
            <w:r>
              <w:rPr>
                <w:rFonts w:hint="default"/>
                <w:sz w:val="21"/>
                <w:szCs w:val="21"/>
              </w:rPr>
              <w:t>该</w:t>
            </w:r>
            <w:r>
              <w:rPr>
                <w:rFonts w:hint="eastAsia"/>
                <w:sz w:val="21"/>
                <w:szCs w:val="21"/>
              </w:rPr>
              <w:t>公司已制定相应管理制度，明确事故发生后上报程序</w:t>
            </w:r>
            <w:r>
              <w:rPr>
                <w:rFonts w:hint="default"/>
                <w:sz w:val="21"/>
                <w:szCs w:val="21"/>
              </w:rPr>
              <w:t>。</w:t>
            </w:r>
          </w:p>
        </w:tc>
        <w:tc>
          <w:tcPr>
            <w:tcW w:w="432" w:type="pct"/>
            <w:tcBorders>
              <w:tl2br w:val="nil"/>
              <w:tr2bl w:val="nil"/>
            </w:tcBorders>
            <w:noWrap w:val="0"/>
            <w:vAlign w:val="center"/>
          </w:tcPr>
          <w:p w14:paraId="58DA2CC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sz w:val="21"/>
                <w:szCs w:val="21"/>
              </w:rPr>
            </w:pPr>
            <w:r>
              <w:rPr>
                <w:rFonts w:hint="default"/>
                <w:sz w:val="21"/>
                <w:szCs w:val="21"/>
              </w:rPr>
              <w:t>符合</w:t>
            </w:r>
          </w:p>
        </w:tc>
      </w:tr>
    </w:tbl>
    <w:p w14:paraId="262F210E">
      <w:pPr>
        <w:keepNext w:val="0"/>
        <w:keepLines w:val="0"/>
        <w:pageBreakBefore w:val="0"/>
        <w:widowControl w:val="0"/>
        <w:kinsoku/>
        <w:wordWrap/>
        <w:topLinePunct/>
        <w:bidi w:val="0"/>
        <w:ind w:firstLine="560"/>
        <w:rPr>
          <w:sz w:val="32"/>
          <w:szCs w:val="32"/>
        </w:rPr>
      </w:pPr>
      <w:bookmarkStart w:id="1189" w:name="_Toc498299400"/>
      <w:bookmarkStart w:id="1190" w:name="_Toc500007205"/>
      <w:bookmarkStart w:id="1191" w:name="_Toc498519870"/>
      <w:r>
        <w:rPr>
          <w:rFonts w:hint="eastAsia"/>
        </w:rPr>
        <w:t>根据以上检查结果可知，本项目事故管理符合《中华人民共和国安全生产法》的要求。</w:t>
      </w:r>
    </w:p>
    <w:p w14:paraId="6B6395F4">
      <w:pPr>
        <w:pStyle w:val="3"/>
        <w:keepNext w:val="0"/>
        <w:keepLines w:val="0"/>
        <w:pageBreakBefore w:val="0"/>
        <w:widowControl w:val="0"/>
        <w:kinsoku/>
        <w:bidi w:val="0"/>
        <w:ind w:left="575" w:leftChars="0" w:hanging="575" w:firstLineChars="0"/>
      </w:pPr>
      <w:bookmarkStart w:id="1192" w:name="_Toc55945338"/>
      <w:bookmarkStart w:id="1193" w:name="_Toc46697281"/>
      <w:bookmarkStart w:id="1194" w:name="_Toc60925447"/>
      <w:bookmarkStart w:id="1195" w:name="_Toc26109"/>
      <w:bookmarkStart w:id="1196" w:name="_Toc12721"/>
      <w:r>
        <w:rPr>
          <w:rFonts w:hint="eastAsia"/>
        </w:rPr>
        <w:t>其他安全设施单元</w:t>
      </w:r>
      <w:bookmarkEnd w:id="1189"/>
      <w:bookmarkEnd w:id="1190"/>
      <w:bookmarkEnd w:id="1191"/>
      <w:bookmarkEnd w:id="1192"/>
      <w:bookmarkEnd w:id="1193"/>
      <w:bookmarkEnd w:id="1194"/>
      <w:bookmarkEnd w:id="1195"/>
      <w:bookmarkEnd w:id="1196"/>
    </w:p>
    <w:p w14:paraId="30D5DD91">
      <w:pPr>
        <w:keepNext w:val="0"/>
        <w:keepLines w:val="0"/>
        <w:pageBreakBefore w:val="0"/>
        <w:widowControl w:val="0"/>
        <w:kinsoku/>
        <w:wordWrap/>
        <w:overflowPunct/>
        <w:topLinePunct/>
        <w:autoSpaceDE/>
        <w:autoSpaceDN/>
        <w:bidi w:val="0"/>
        <w:adjustRightInd w:val="0"/>
        <w:snapToGrid/>
        <w:ind w:firstLine="560"/>
        <w:jc w:val="both"/>
        <w:textAlignment w:val="auto"/>
        <w:rPr>
          <w:rFonts w:hint="eastAsia"/>
          <w:lang w:val="en-US" w:eastAsia="zh-CN"/>
        </w:rPr>
      </w:pPr>
      <w:r>
        <w:rPr>
          <w:rFonts w:hint="eastAsia"/>
          <w:szCs w:val="28"/>
        </w:rPr>
        <w:t>依据《安全色》（</w:t>
      </w:r>
      <w:r>
        <w:rPr>
          <w:szCs w:val="28"/>
        </w:rPr>
        <w:t>GB2893-2008</w:t>
      </w:r>
      <w:r>
        <w:rPr>
          <w:rFonts w:hint="eastAsia"/>
          <w:szCs w:val="28"/>
        </w:rPr>
        <w:t>）、《工业管道的基本识别色、识别符号和安全标识》（</w:t>
      </w:r>
      <w:r>
        <w:rPr>
          <w:szCs w:val="28"/>
        </w:rPr>
        <w:t>GB7231-2003</w:t>
      </w:r>
      <w:r>
        <w:rPr>
          <w:rFonts w:hint="eastAsia"/>
          <w:szCs w:val="28"/>
        </w:rPr>
        <w:t>）、《安全标志及其使用导则》（</w:t>
      </w:r>
      <w:r>
        <w:rPr>
          <w:szCs w:val="28"/>
        </w:rPr>
        <w:t>GB2894-2008</w:t>
      </w:r>
      <w:r>
        <w:rPr>
          <w:rFonts w:hint="eastAsia"/>
          <w:szCs w:val="28"/>
        </w:rPr>
        <w:t>）、《固定式钢梯及平台安全要求第</w:t>
      </w:r>
      <w:r>
        <w:rPr>
          <w:szCs w:val="28"/>
        </w:rPr>
        <w:t>1</w:t>
      </w:r>
      <w:r>
        <w:rPr>
          <w:rFonts w:hint="eastAsia"/>
          <w:szCs w:val="28"/>
        </w:rPr>
        <w:t>部分：钢直梯》</w:t>
      </w:r>
      <w:r>
        <w:rPr>
          <w:szCs w:val="28"/>
        </w:rPr>
        <w:t>(GB4053.1-2009)</w:t>
      </w:r>
      <w:r>
        <w:rPr>
          <w:rFonts w:hint="eastAsia"/>
          <w:szCs w:val="28"/>
        </w:rPr>
        <w:t>、《固定式钢梯及平台安全要求第</w:t>
      </w:r>
      <w:r>
        <w:rPr>
          <w:szCs w:val="28"/>
        </w:rPr>
        <w:t>2</w:t>
      </w:r>
      <w:r>
        <w:rPr>
          <w:rFonts w:hint="eastAsia"/>
          <w:szCs w:val="28"/>
        </w:rPr>
        <w:t>部分：钢斜梯》</w:t>
      </w:r>
      <w:r>
        <w:rPr>
          <w:szCs w:val="28"/>
        </w:rPr>
        <w:t>(GB4053.2-2009)</w:t>
      </w:r>
      <w:r>
        <w:rPr>
          <w:rFonts w:hint="eastAsia"/>
          <w:szCs w:val="28"/>
        </w:rPr>
        <w:t>、《固定式钢梯及平台安全要求第</w:t>
      </w:r>
      <w:r>
        <w:rPr>
          <w:szCs w:val="28"/>
        </w:rPr>
        <w:t>3</w:t>
      </w:r>
      <w:r>
        <w:rPr>
          <w:rFonts w:hint="eastAsia"/>
          <w:szCs w:val="28"/>
        </w:rPr>
        <w:t>部分：工业防护栏杆及钢平台》（</w:t>
      </w:r>
      <w:r>
        <w:rPr>
          <w:szCs w:val="28"/>
        </w:rPr>
        <w:t>GB4053.3-2009</w:t>
      </w:r>
      <w:r>
        <w:rPr>
          <w:rFonts w:hint="eastAsia"/>
          <w:szCs w:val="28"/>
        </w:rPr>
        <w:t>）的相关要求，对本项目采取的常规防护设施和措施进行检查，检查结果见表5-</w:t>
      </w:r>
      <w:r>
        <w:rPr>
          <w:rFonts w:hint="eastAsia"/>
          <w:szCs w:val="28"/>
          <w:lang w:val="en-US" w:eastAsia="zh-CN"/>
        </w:rPr>
        <w:t>22</w:t>
      </w:r>
      <w:r>
        <w:rPr>
          <w:rFonts w:hint="eastAsia"/>
          <w:szCs w:val="28"/>
        </w:rPr>
        <w:t>。</w:t>
      </w:r>
      <w:bookmarkStart w:id="1197" w:name="_Toc519341235"/>
      <w:bookmarkStart w:id="1198" w:name="_Toc370739916"/>
      <w:bookmarkStart w:id="1199" w:name="_Toc350170742"/>
      <w:bookmarkStart w:id="1200" w:name="_Toc360030600"/>
    </w:p>
    <w:p w14:paraId="390E5512">
      <w:pPr>
        <w:pStyle w:val="12"/>
        <w:keepNext w:val="0"/>
        <w:keepLines w:val="0"/>
        <w:pageBreakBefore w:val="0"/>
        <w:widowControl w:val="0"/>
        <w:kinsoku/>
        <w:wordWrap/>
        <w:bidi w:val="0"/>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22</w:t>
      </w:r>
      <w:r>
        <w:rPr>
          <w:rFonts w:hint="eastAsia"/>
          <w:lang w:val="en-US" w:eastAsia="zh-CN"/>
        </w:rPr>
        <w:fldChar w:fldCharType="end"/>
      </w:r>
      <w:r>
        <w:rPr>
          <w:rFonts w:hint="eastAsia"/>
        </w:rPr>
        <w:t>其他常规防护设施评价单元</w:t>
      </w:r>
      <w:bookmarkEnd w:id="1197"/>
    </w:p>
    <w:tbl>
      <w:tblPr>
        <w:tblStyle w:val="32"/>
        <w:tblW w:w="846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48"/>
        <w:gridCol w:w="3119"/>
        <w:gridCol w:w="2292"/>
        <w:gridCol w:w="1843"/>
        <w:gridCol w:w="567"/>
      </w:tblGrid>
      <w:tr w14:paraId="646988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48" w:type="dxa"/>
            <w:tcBorders>
              <w:tl2br w:val="nil"/>
              <w:tr2bl w:val="nil"/>
            </w:tcBorders>
            <w:noWrap w:val="0"/>
            <w:vAlign w:val="center"/>
          </w:tcPr>
          <w:p w14:paraId="409C3AD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119" w:type="dxa"/>
            <w:tcBorders>
              <w:tl2br w:val="nil"/>
              <w:tr2bl w:val="nil"/>
            </w:tcBorders>
            <w:noWrap w:val="0"/>
            <w:vAlign w:val="center"/>
          </w:tcPr>
          <w:p w14:paraId="7895C98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检查内容</w:t>
            </w:r>
          </w:p>
        </w:tc>
        <w:tc>
          <w:tcPr>
            <w:tcW w:w="2292" w:type="dxa"/>
            <w:tcBorders>
              <w:tl2br w:val="nil"/>
              <w:tr2bl w:val="nil"/>
            </w:tcBorders>
            <w:noWrap w:val="0"/>
            <w:vAlign w:val="center"/>
          </w:tcPr>
          <w:p w14:paraId="62C5C67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依据标准</w:t>
            </w:r>
          </w:p>
        </w:tc>
        <w:tc>
          <w:tcPr>
            <w:tcW w:w="1843" w:type="dxa"/>
            <w:tcBorders>
              <w:tl2br w:val="nil"/>
              <w:tr2bl w:val="nil"/>
            </w:tcBorders>
            <w:noWrap w:val="0"/>
            <w:vAlign w:val="center"/>
          </w:tcPr>
          <w:p w14:paraId="7B855B9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567" w:type="dxa"/>
            <w:tcBorders>
              <w:tl2br w:val="nil"/>
              <w:tr2bl w:val="nil"/>
            </w:tcBorders>
            <w:noWrap w:val="0"/>
            <w:vAlign w:val="center"/>
          </w:tcPr>
          <w:p w14:paraId="328C34B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结论</w:t>
            </w:r>
          </w:p>
        </w:tc>
      </w:tr>
      <w:tr w14:paraId="1C93C0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9" w:type="dxa"/>
            <w:gridSpan w:val="5"/>
            <w:tcBorders>
              <w:tl2br w:val="nil"/>
              <w:tr2bl w:val="nil"/>
            </w:tcBorders>
            <w:noWrap w:val="0"/>
            <w:vAlign w:val="center"/>
          </w:tcPr>
          <w:p w14:paraId="3F3603B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安全色与安全标识</w:t>
            </w:r>
          </w:p>
        </w:tc>
      </w:tr>
      <w:tr w14:paraId="0751E5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1BBACF5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bookmarkStart w:id="1201" w:name="_Hlk530843876"/>
            <w:r>
              <w:rPr>
                <w:rFonts w:hint="eastAsia" w:ascii="宋体" w:hAnsi="宋体" w:eastAsia="宋体" w:cs="宋体"/>
                <w:sz w:val="21"/>
                <w:szCs w:val="21"/>
              </w:rPr>
              <w:t>1</w:t>
            </w:r>
          </w:p>
        </w:tc>
        <w:tc>
          <w:tcPr>
            <w:tcW w:w="3119" w:type="dxa"/>
            <w:tcBorders>
              <w:tl2br w:val="nil"/>
              <w:tr2bl w:val="nil"/>
            </w:tcBorders>
            <w:noWrap w:val="0"/>
            <w:vAlign w:val="center"/>
          </w:tcPr>
          <w:p w14:paraId="4B18C4E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厂内设置的安全标识应符合标准《安全色》GB2893-2008和《安全标志及其使用导则》GB2894-2008的相关要求。</w:t>
            </w:r>
          </w:p>
        </w:tc>
        <w:tc>
          <w:tcPr>
            <w:tcW w:w="2292" w:type="dxa"/>
            <w:tcBorders>
              <w:tl2br w:val="nil"/>
              <w:tr2bl w:val="nil"/>
            </w:tcBorders>
            <w:noWrap w:val="0"/>
            <w:vAlign w:val="center"/>
          </w:tcPr>
          <w:p w14:paraId="74C2E6E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《安全色》（GB2893-2008）</w:t>
            </w:r>
          </w:p>
          <w:p w14:paraId="381DBA6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《安全标志及其使用导则》</w:t>
            </w:r>
          </w:p>
          <w:p w14:paraId="1A33B68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（GB2894-2008）</w:t>
            </w:r>
          </w:p>
        </w:tc>
        <w:tc>
          <w:tcPr>
            <w:tcW w:w="1843" w:type="dxa"/>
            <w:tcBorders>
              <w:tl2br w:val="nil"/>
              <w:tr2bl w:val="nil"/>
            </w:tcBorders>
            <w:noWrap w:val="0"/>
            <w:vAlign w:val="center"/>
          </w:tcPr>
          <w:p w14:paraId="127E261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警示标志及安全色设置符合要求。</w:t>
            </w:r>
          </w:p>
        </w:tc>
        <w:tc>
          <w:tcPr>
            <w:tcW w:w="567" w:type="dxa"/>
            <w:tcBorders>
              <w:tl2br w:val="nil"/>
              <w:tr2bl w:val="nil"/>
            </w:tcBorders>
            <w:noWrap w:val="0"/>
            <w:vAlign w:val="center"/>
          </w:tcPr>
          <w:p w14:paraId="2B77D2E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7ED24D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7AE920F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3119" w:type="dxa"/>
            <w:tcBorders>
              <w:tl2br w:val="nil"/>
              <w:tr2bl w:val="nil"/>
            </w:tcBorders>
            <w:noWrap w:val="0"/>
            <w:vAlign w:val="center"/>
          </w:tcPr>
          <w:p w14:paraId="05DDE832">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kern w:val="0"/>
                <w:sz w:val="21"/>
                <w:szCs w:val="21"/>
              </w:rPr>
            </w:pPr>
            <w:r>
              <w:rPr>
                <w:rFonts w:hint="eastAsia" w:ascii="宋体" w:hAnsi="宋体" w:eastAsia="宋体" w:cs="宋体"/>
                <w:kern w:val="0"/>
                <w:sz w:val="21"/>
                <w:szCs w:val="21"/>
              </w:rPr>
              <w:t>厂内工艺管道应标明基本识别色、识别符号和安全标识</w:t>
            </w:r>
          </w:p>
        </w:tc>
        <w:tc>
          <w:tcPr>
            <w:tcW w:w="2292" w:type="dxa"/>
            <w:tcBorders>
              <w:tl2br w:val="nil"/>
              <w:tr2bl w:val="nil"/>
            </w:tcBorders>
            <w:noWrap w:val="0"/>
            <w:vAlign w:val="center"/>
          </w:tcPr>
          <w:p w14:paraId="2E49F9C3">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kern w:val="0"/>
                <w:sz w:val="21"/>
                <w:szCs w:val="21"/>
              </w:rPr>
            </w:pPr>
            <w:r>
              <w:rPr>
                <w:rFonts w:hint="eastAsia" w:ascii="宋体" w:hAnsi="宋体" w:eastAsia="宋体" w:cs="宋体"/>
                <w:kern w:val="0"/>
                <w:sz w:val="21"/>
                <w:szCs w:val="21"/>
              </w:rPr>
              <w:t>《工业管道的基本识别色、识别符号和安全标识》（GB7231－2003）</w:t>
            </w:r>
          </w:p>
        </w:tc>
        <w:tc>
          <w:tcPr>
            <w:tcW w:w="1843" w:type="dxa"/>
            <w:tcBorders>
              <w:tl2br w:val="nil"/>
              <w:tr2bl w:val="nil"/>
            </w:tcBorders>
            <w:noWrap w:val="0"/>
            <w:vAlign w:val="center"/>
          </w:tcPr>
          <w:p w14:paraId="4AF05002">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工艺管道标明了色标、色环和介质流向。</w:t>
            </w:r>
          </w:p>
        </w:tc>
        <w:tc>
          <w:tcPr>
            <w:tcW w:w="567" w:type="dxa"/>
            <w:tcBorders>
              <w:tl2br w:val="nil"/>
              <w:tr2bl w:val="nil"/>
            </w:tcBorders>
            <w:noWrap w:val="0"/>
            <w:vAlign w:val="center"/>
          </w:tcPr>
          <w:p w14:paraId="2C1DD5F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341BF0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9" w:type="dxa"/>
            <w:gridSpan w:val="5"/>
            <w:tcBorders>
              <w:tl2br w:val="nil"/>
              <w:tr2bl w:val="nil"/>
            </w:tcBorders>
            <w:noWrap w:val="0"/>
            <w:vAlign w:val="center"/>
          </w:tcPr>
          <w:p w14:paraId="766751C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固定式钢斜梯</w:t>
            </w:r>
          </w:p>
        </w:tc>
      </w:tr>
      <w:tr w14:paraId="11F710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6286A1B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3119" w:type="dxa"/>
            <w:tcBorders>
              <w:tl2br w:val="nil"/>
              <w:tr2bl w:val="nil"/>
            </w:tcBorders>
            <w:noWrap w:val="0"/>
            <w:vAlign w:val="center"/>
          </w:tcPr>
          <w:p w14:paraId="3AB0CE8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制造安装工艺应确保梯子及其所有部件的表面光滑、无锐边、尖角、毛刺或其他可能对梯子使用者造成伤害或妨碍其通过的外部缺陷。</w:t>
            </w:r>
          </w:p>
        </w:tc>
        <w:tc>
          <w:tcPr>
            <w:tcW w:w="2292" w:type="dxa"/>
            <w:tcBorders>
              <w:tl2br w:val="nil"/>
              <w:tr2bl w:val="nil"/>
            </w:tcBorders>
            <w:noWrap w:val="0"/>
            <w:vAlign w:val="center"/>
          </w:tcPr>
          <w:p w14:paraId="0AED130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《固定式钢梯及平台安全要求第2部分：钢斜梯》（GB4053.2-2009）第4.4.2条</w:t>
            </w:r>
          </w:p>
        </w:tc>
        <w:tc>
          <w:tcPr>
            <w:tcW w:w="1843" w:type="dxa"/>
            <w:tcBorders>
              <w:tl2br w:val="nil"/>
              <w:tr2bl w:val="nil"/>
            </w:tcBorders>
            <w:noWrap w:val="0"/>
            <w:vAlign w:val="center"/>
          </w:tcPr>
          <w:p w14:paraId="28EF630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钢楼梯采用焊接，现场查看时未发现明显缺陷。</w:t>
            </w:r>
          </w:p>
        </w:tc>
        <w:tc>
          <w:tcPr>
            <w:tcW w:w="567" w:type="dxa"/>
            <w:tcBorders>
              <w:tl2br w:val="nil"/>
              <w:tr2bl w:val="nil"/>
            </w:tcBorders>
            <w:noWrap w:val="0"/>
            <w:vAlign w:val="center"/>
          </w:tcPr>
          <w:p w14:paraId="4BB1B04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bookmarkEnd w:id="1201"/>
      <w:tr w14:paraId="621460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09DD960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3119" w:type="dxa"/>
            <w:tcBorders>
              <w:tl2br w:val="nil"/>
              <w:tr2bl w:val="nil"/>
            </w:tcBorders>
            <w:noWrap w:val="0"/>
            <w:vAlign w:val="center"/>
          </w:tcPr>
          <w:p w14:paraId="71A469F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梯高宜不大于5m，大于5m时，宜设梯间平台（休息平台），分段设梯。</w:t>
            </w:r>
          </w:p>
        </w:tc>
        <w:tc>
          <w:tcPr>
            <w:tcW w:w="2292" w:type="dxa"/>
            <w:tcBorders>
              <w:tl2br w:val="nil"/>
              <w:tr2bl w:val="nil"/>
            </w:tcBorders>
            <w:noWrap w:val="0"/>
            <w:vAlign w:val="center"/>
          </w:tcPr>
          <w:p w14:paraId="42D8DE0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《固定式钢梯及平台安全要求第2部分：钢斜梯》（GB4053.2-2009）第5.1.1条</w:t>
            </w:r>
          </w:p>
        </w:tc>
        <w:tc>
          <w:tcPr>
            <w:tcW w:w="1843" w:type="dxa"/>
            <w:tcBorders>
              <w:tl2br w:val="nil"/>
              <w:tr2bl w:val="nil"/>
            </w:tcBorders>
            <w:noWrap w:val="0"/>
            <w:vAlign w:val="center"/>
          </w:tcPr>
          <w:p w14:paraId="6FBC5CB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楼梯有相应设施。</w:t>
            </w:r>
          </w:p>
        </w:tc>
        <w:tc>
          <w:tcPr>
            <w:tcW w:w="567" w:type="dxa"/>
            <w:tcBorders>
              <w:tl2br w:val="nil"/>
              <w:tr2bl w:val="nil"/>
            </w:tcBorders>
            <w:noWrap w:val="0"/>
            <w:vAlign w:val="center"/>
          </w:tcPr>
          <w:p w14:paraId="02E6C28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7675D7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47C818D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3119" w:type="dxa"/>
            <w:tcBorders>
              <w:tl2br w:val="nil"/>
              <w:tr2bl w:val="nil"/>
            </w:tcBorders>
            <w:noWrap w:val="0"/>
            <w:vAlign w:val="center"/>
          </w:tcPr>
          <w:p w14:paraId="50781EE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单梯段的梯高不应大于6m，阶梯数不宜大于16。</w:t>
            </w:r>
          </w:p>
        </w:tc>
        <w:tc>
          <w:tcPr>
            <w:tcW w:w="2292" w:type="dxa"/>
            <w:tcBorders>
              <w:tl2br w:val="nil"/>
              <w:tr2bl w:val="nil"/>
            </w:tcBorders>
            <w:noWrap w:val="0"/>
            <w:vAlign w:val="center"/>
          </w:tcPr>
          <w:p w14:paraId="34AC73F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《固定式钢梯及平台安全要求第2部分：钢斜梯》（GB4053.2-2009）第5.1.2条</w:t>
            </w:r>
          </w:p>
        </w:tc>
        <w:tc>
          <w:tcPr>
            <w:tcW w:w="1843" w:type="dxa"/>
            <w:tcBorders>
              <w:tl2br w:val="nil"/>
              <w:tr2bl w:val="nil"/>
            </w:tcBorders>
            <w:noWrap w:val="0"/>
            <w:vAlign w:val="center"/>
          </w:tcPr>
          <w:p w14:paraId="3D37F41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楼梯设置符合相关要求。</w:t>
            </w:r>
          </w:p>
        </w:tc>
        <w:tc>
          <w:tcPr>
            <w:tcW w:w="567" w:type="dxa"/>
            <w:tcBorders>
              <w:tl2br w:val="nil"/>
              <w:tr2bl w:val="nil"/>
            </w:tcBorders>
            <w:noWrap w:val="0"/>
            <w:vAlign w:val="center"/>
          </w:tcPr>
          <w:p w14:paraId="4E1940B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246B00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1962ABE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3119" w:type="dxa"/>
            <w:tcBorders>
              <w:tl2br w:val="nil"/>
              <w:tr2bl w:val="nil"/>
            </w:tcBorders>
            <w:noWrap w:val="0"/>
            <w:vAlign w:val="center"/>
          </w:tcPr>
          <w:p w14:paraId="6F9B0CD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踏板前后深度不小于80mm，相邻踏板前后方向重叠不应小于10mm，不大于35mm</w:t>
            </w:r>
          </w:p>
        </w:tc>
        <w:tc>
          <w:tcPr>
            <w:tcW w:w="2292" w:type="dxa"/>
            <w:tcBorders>
              <w:tl2br w:val="nil"/>
              <w:tr2bl w:val="nil"/>
            </w:tcBorders>
            <w:noWrap w:val="0"/>
            <w:vAlign w:val="center"/>
          </w:tcPr>
          <w:p w14:paraId="0693336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《固定式钢梯及平台安全要求第2部分：钢斜梯》（GB4053.2-2009）第5.3.1条</w:t>
            </w:r>
          </w:p>
        </w:tc>
        <w:tc>
          <w:tcPr>
            <w:tcW w:w="1843" w:type="dxa"/>
            <w:tcBorders>
              <w:tl2br w:val="nil"/>
              <w:tr2bl w:val="nil"/>
            </w:tcBorders>
            <w:noWrap w:val="0"/>
            <w:vAlign w:val="center"/>
          </w:tcPr>
          <w:p w14:paraId="022A9AF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厂内楼梯踏板设置符合相应要求。</w:t>
            </w:r>
          </w:p>
        </w:tc>
        <w:tc>
          <w:tcPr>
            <w:tcW w:w="567" w:type="dxa"/>
            <w:tcBorders>
              <w:tl2br w:val="nil"/>
              <w:tr2bl w:val="nil"/>
            </w:tcBorders>
            <w:noWrap w:val="0"/>
            <w:vAlign w:val="center"/>
          </w:tcPr>
          <w:p w14:paraId="45AAD58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3A0D5B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1BA0396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3119" w:type="dxa"/>
            <w:tcBorders>
              <w:tl2br w:val="nil"/>
              <w:tr2bl w:val="nil"/>
            </w:tcBorders>
            <w:noWrap w:val="0"/>
            <w:vAlign w:val="center"/>
          </w:tcPr>
          <w:p w14:paraId="42D094C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梯宽不大于1100mm的两边敞开的斜梯，应在两边均安装扶手。</w:t>
            </w:r>
          </w:p>
        </w:tc>
        <w:tc>
          <w:tcPr>
            <w:tcW w:w="2292" w:type="dxa"/>
            <w:tcBorders>
              <w:tl2br w:val="nil"/>
              <w:tr2bl w:val="nil"/>
            </w:tcBorders>
            <w:noWrap w:val="0"/>
            <w:vAlign w:val="center"/>
          </w:tcPr>
          <w:p w14:paraId="6CDB1A5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《固定式钢梯及平台安全要求第2部分：钢斜梯》（GB4053.2-2009）第5.6.3条</w:t>
            </w:r>
          </w:p>
        </w:tc>
        <w:tc>
          <w:tcPr>
            <w:tcW w:w="1843" w:type="dxa"/>
            <w:tcBorders>
              <w:tl2br w:val="nil"/>
              <w:tr2bl w:val="nil"/>
            </w:tcBorders>
            <w:noWrap w:val="0"/>
            <w:vAlign w:val="center"/>
          </w:tcPr>
          <w:p w14:paraId="4C3A448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楼梯两侧安装有扶手。</w:t>
            </w:r>
          </w:p>
        </w:tc>
        <w:tc>
          <w:tcPr>
            <w:tcW w:w="567" w:type="dxa"/>
            <w:tcBorders>
              <w:tl2br w:val="nil"/>
              <w:tr2bl w:val="nil"/>
            </w:tcBorders>
            <w:noWrap w:val="0"/>
            <w:vAlign w:val="center"/>
          </w:tcPr>
          <w:p w14:paraId="306C25B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2F5053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2873598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6</w:t>
            </w:r>
          </w:p>
        </w:tc>
        <w:tc>
          <w:tcPr>
            <w:tcW w:w="3119" w:type="dxa"/>
            <w:tcBorders>
              <w:tl2br w:val="nil"/>
              <w:tr2bl w:val="nil"/>
            </w:tcBorders>
            <w:noWrap w:val="0"/>
            <w:vAlign w:val="center"/>
          </w:tcPr>
          <w:p w14:paraId="059BA19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钢斜梯与附在设备上的平台梁相联接时，联接处应采用开长圆孔的螺栓连接。</w:t>
            </w:r>
          </w:p>
        </w:tc>
        <w:tc>
          <w:tcPr>
            <w:tcW w:w="2292" w:type="dxa"/>
            <w:tcBorders>
              <w:tl2br w:val="nil"/>
              <w:tr2bl w:val="nil"/>
            </w:tcBorders>
            <w:noWrap w:val="0"/>
            <w:vAlign w:val="center"/>
          </w:tcPr>
          <w:p w14:paraId="4BF042F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cs="宋体"/>
                <w:sz w:val="21"/>
                <w:szCs w:val="21"/>
                <w:lang w:eastAsia="zh-CN"/>
              </w:rPr>
              <w:t>《</w:t>
            </w:r>
            <w:r>
              <w:rPr>
                <w:rFonts w:hint="eastAsia" w:ascii="宋体" w:hAnsi="宋体" w:eastAsia="宋体" w:cs="宋体"/>
                <w:sz w:val="21"/>
                <w:szCs w:val="21"/>
              </w:rPr>
              <w:t>固定式钢梯及平台安全要求第2部分：钢斜梯》（GB4053.2-2009）第4.4.3条</w:t>
            </w:r>
          </w:p>
        </w:tc>
        <w:tc>
          <w:tcPr>
            <w:tcW w:w="1843" w:type="dxa"/>
            <w:tcBorders>
              <w:tl2br w:val="nil"/>
              <w:tr2bl w:val="nil"/>
            </w:tcBorders>
            <w:noWrap w:val="0"/>
            <w:vAlign w:val="center"/>
          </w:tcPr>
          <w:p w14:paraId="5443EFF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钢斜梯与附在设备上的平台梁</w:t>
            </w:r>
            <w:r>
              <w:rPr>
                <w:rFonts w:hint="eastAsia" w:cs="宋体"/>
                <w:sz w:val="21"/>
                <w:szCs w:val="21"/>
                <w:lang w:eastAsia="zh-CN"/>
              </w:rPr>
              <w:t>连接</w:t>
            </w:r>
            <w:r>
              <w:rPr>
                <w:rFonts w:hint="eastAsia" w:ascii="宋体" w:hAnsi="宋体" w:eastAsia="宋体" w:cs="宋体"/>
                <w:sz w:val="21"/>
                <w:szCs w:val="21"/>
              </w:rPr>
              <w:t>采用开长圆孔的螺栓连。</w:t>
            </w:r>
          </w:p>
        </w:tc>
        <w:tc>
          <w:tcPr>
            <w:tcW w:w="567" w:type="dxa"/>
            <w:tcBorders>
              <w:tl2br w:val="nil"/>
              <w:tr2bl w:val="nil"/>
            </w:tcBorders>
            <w:noWrap w:val="0"/>
            <w:vAlign w:val="center"/>
          </w:tcPr>
          <w:p w14:paraId="5E445DE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11EDE6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0E16E27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7</w:t>
            </w:r>
          </w:p>
        </w:tc>
        <w:tc>
          <w:tcPr>
            <w:tcW w:w="3119" w:type="dxa"/>
            <w:tcBorders>
              <w:tl2br w:val="nil"/>
              <w:tr2bl w:val="nil"/>
            </w:tcBorders>
            <w:noWrap w:val="0"/>
            <w:vAlign w:val="center"/>
          </w:tcPr>
          <w:p w14:paraId="2982A4B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根据钢斜梯使用场合及环境条件，应对梯子进行合适的防锈及防腐涂装。</w:t>
            </w:r>
          </w:p>
        </w:tc>
        <w:tc>
          <w:tcPr>
            <w:tcW w:w="2292" w:type="dxa"/>
            <w:tcBorders>
              <w:tl2br w:val="nil"/>
              <w:tr2bl w:val="nil"/>
            </w:tcBorders>
            <w:noWrap w:val="0"/>
            <w:vAlign w:val="center"/>
          </w:tcPr>
          <w:p w14:paraId="09AB400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《固定式钢梯及平台安全要求第2部分：钢斜梯》（GB4053.2-2009）第4.5.2条</w:t>
            </w:r>
          </w:p>
        </w:tc>
        <w:tc>
          <w:tcPr>
            <w:tcW w:w="1843" w:type="dxa"/>
            <w:tcBorders>
              <w:tl2br w:val="nil"/>
              <w:tr2bl w:val="nil"/>
            </w:tcBorders>
            <w:noWrap w:val="0"/>
            <w:vAlign w:val="center"/>
          </w:tcPr>
          <w:p w14:paraId="5A7429D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对梯子进行了防腐处理。</w:t>
            </w:r>
          </w:p>
        </w:tc>
        <w:tc>
          <w:tcPr>
            <w:tcW w:w="567" w:type="dxa"/>
            <w:tcBorders>
              <w:tl2br w:val="nil"/>
              <w:tr2bl w:val="nil"/>
            </w:tcBorders>
            <w:noWrap w:val="0"/>
            <w:vAlign w:val="center"/>
          </w:tcPr>
          <w:p w14:paraId="2A1E3F8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6F001B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9" w:type="dxa"/>
            <w:gridSpan w:val="5"/>
            <w:tcBorders>
              <w:tl2br w:val="nil"/>
              <w:tr2bl w:val="nil"/>
            </w:tcBorders>
            <w:noWrap w:val="0"/>
            <w:vAlign w:val="center"/>
          </w:tcPr>
          <w:p w14:paraId="6B263AD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固定式钢直梯</w:t>
            </w:r>
          </w:p>
        </w:tc>
      </w:tr>
      <w:tr w14:paraId="2FA8D2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06FDBBA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3119" w:type="dxa"/>
            <w:tcBorders>
              <w:tl2br w:val="nil"/>
              <w:tr2bl w:val="nil"/>
            </w:tcBorders>
            <w:noWrap w:val="0"/>
            <w:vAlign w:val="center"/>
          </w:tcPr>
          <w:p w14:paraId="057C942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支撑应采用角钢、钢板或钢板组焊成T型钢制作，埋设或焊接时必须牢固可靠。</w:t>
            </w:r>
          </w:p>
        </w:tc>
        <w:tc>
          <w:tcPr>
            <w:tcW w:w="2292" w:type="dxa"/>
            <w:tcBorders>
              <w:tl2br w:val="nil"/>
              <w:tr2bl w:val="nil"/>
            </w:tcBorders>
            <w:noWrap w:val="0"/>
            <w:vAlign w:val="center"/>
          </w:tcPr>
          <w:p w14:paraId="05846D5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《固定式钢梯及平台安全要求第1部分：钢直梯》（GB4053.1-2009）第4.1.2条</w:t>
            </w:r>
          </w:p>
        </w:tc>
        <w:tc>
          <w:tcPr>
            <w:tcW w:w="1843" w:type="dxa"/>
            <w:tcBorders>
              <w:tl2br w:val="nil"/>
              <w:tr2bl w:val="nil"/>
            </w:tcBorders>
            <w:noWrap w:val="0"/>
            <w:vAlign w:val="center"/>
          </w:tcPr>
          <w:p w14:paraId="7396AC0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上述部位焊接牢固可靠。</w:t>
            </w:r>
          </w:p>
        </w:tc>
        <w:tc>
          <w:tcPr>
            <w:tcW w:w="567" w:type="dxa"/>
            <w:tcBorders>
              <w:tl2br w:val="nil"/>
              <w:tr2bl w:val="nil"/>
            </w:tcBorders>
            <w:noWrap w:val="0"/>
            <w:vAlign w:val="center"/>
          </w:tcPr>
          <w:p w14:paraId="1E3589E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56178E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392C649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3119" w:type="dxa"/>
            <w:tcBorders>
              <w:tl2br w:val="nil"/>
              <w:tr2bl w:val="nil"/>
            </w:tcBorders>
            <w:noWrap w:val="0"/>
            <w:vAlign w:val="center"/>
          </w:tcPr>
          <w:p w14:paraId="4B973F5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钢直梯应采用焊接连接，焊接要求应符合GB50205的规定。采用其他方式连接时，连接强度应不低于焊接。安装后的梯子不应有歪斜、扭曲、变形及其他缺陷。</w:t>
            </w:r>
          </w:p>
        </w:tc>
        <w:tc>
          <w:tcPr>
            <w:tcW w:w="2292" w:type="dxa"/>
            <w:tcBorders>
              <w:tl2br w:val="nil"/>
              <w:tr2bl w:val="nil"/>
            </w:tcBorders>
            <w:noWrap w:val="0"/>
            <w:vAlign w:val="center"/>
          </w:tcPr>
          <w:p w14:paraId="7D2E0B7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《固定式钢梯及平台安全要求第1部分：钢直梯》（GB4053.1-2009）第4.4.1条</w:t>
            </w:r>
          </w:p>
        </w:tc>
        <w:tc>
          <w:tcPr>
            <w:tcW w:w="1843" w:type="dxa"/>
            <w:tcBorders>
              <w:tl2br w:val="nil"/>
              <w:tr2bl w:val="nil"/>
            </w:tcBorders>
            <w:noWrap w:val="0"/>
            <w:vAlign w:val="center"/>
          </w:tcPr>
          <w:p w14:paraId="53E0F96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现场检查时未发现梯子歪斜、扭曲、变形及其他缺陷。</w:t>
            </w:r>
          </w:p>
        </w:tc>
        <w:tc>
          <w:tcPr>
            <w:tcW w:w="567" w:type="dxa"/>
            <w:tcBorders>
              <w:tl2br w:val="nil"/>
              <w:tr2bl w:val="nil"/>
            </w:tcBorders>
            <w:noWrap w:val="0"/>
            <w:vAlign w:val="center"/>
          </w:tcPr>
          <w:p w14:paraId="325C160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3D49BA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11BA6B9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3119" w:type="dxa"/>
            <w:tcBorders>
              <w:tl2br w:val="nil"/>
              <w:tr2bl w:val="nil"/>
            </w:tcBorders>
            <w:noWrap w:val="0"/>
            <w:vAlign w:val="center"/>
          </w:tcPr>
          <w:p w14:paraId="31002D9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根据钢直梯使用场合及环境条件，应对梯子进行合适的防锈及防腐涂装。</w:t>
            </w:r>
          </w:p>
        </w:tc>
        <w:tc>
          <w:tcPr>
            <w:tcW w:w="2292" w:type="dxa"/>
            <w:tcBorders>
              <w:tl2br w:val="nil"/>
              <w:tr2bl w:val="nil"/>
            </w:tcBorders>
            <w:noWrap w:val="0"/>
            <w:vAlign w:val="center"/>
          </w:tcPr>
          <w:p w14:paraId="6F1A430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《固定式钢梯及平台安全要求第1部分：钢直梯》（GB4053.1-2009）第4.5.2条</w:t>
            </w:r>
          </w:p>
        </w:tc>
        <w:tc>
          <w:tcPr>
            <w:tcW w:w="1843" w:type="dxa"/>
            <w:tcBorders>
              <w:tl2br w:val="nil"/>
              <w:tr2bl w:val="nil"/>
            </w:tcBorders>
            <w:noWrap w:val="0"/>
            <w:vAlign w:val="center"/>
          </w:tcPr>
          <w:p w14:paraId="1D47864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梯子进行了防腐处理。</w:t>
            </w:r>
          </w:p>
        </w:tc>
        <w:tc>
          <w:tcPr>
            <w:tcW w:w="567" w:type="dxa"/>
            <w:tcBorders>
              <w:tl2br w:val="nil"/>
              <w:tr2bl w:val="nil"/>
            </w:tcBorders>
            <w:noWrap w:val="0"/>
            <w:vAlign w:val="center"/>
          </w:tcPr>
          <w:p w14:paraId="18A85C7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003C98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6848288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3119" w:type="dxa"/>
            <w:tcBorders>
              <w:tl2br w:val="nil"/>
              <w:tr2bl w:val="nil"/>
            </w:tcBorders>
            <w:noWrap w:val="0"/>
            <w:vAlign w:val="center"/>
          </w:tcPr>
          <w:p w14:paraId="24F0EB9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default" w:ascii="宋体" w:hAnsi="宋体" w:eastAsia="宋体" w:cs="宋体"/>
                <w:sz w:val="21"/>
                <w:szCs w:val="21"/>
                <w:lang w:val="en-US" w:eastAsia="zh-CN"/>
              </w:rPr>
            </w:pPr>
            <w:r>
              <w:rPr>
                <w:rFonts w:hint="eastAsia" w:ascii="宋体" w:hAnsi="宋体" w:eastAsia="宋体" w:cs="宋体"/>
                <w:sz w:val="21"/>
                <w:szCs w:val="21"/>
              </w:rPr>
              <w:t>由踏棍中心线到梯子后侧建筑物、结构或设备的连续性表面垂直距离应不小于180mm。对非连续性障碍物，垂直距离应不小于150</w:t>
            </w:r>
            <w:r>
              <w:rPr>
                <w:rFonts w:hint="eastAsia" w:cs="宋体"/>
                <w:sz w:val="21"/>
                <w:szCs w:val="21"/>
                <w:lang w:val="en-US" w:eastAsia="zh-CN"/>
              </w:rPr>
              <w:t>mm。</w:t>
            </w:r>
          </w:p>
        </w:tc>
        <w:tc>
          <w:tcPr>
            <w:tcW w:w="2292" w:type="dxa"/>
            <w:tcBorders>
              <w:tl2br w:val="nil"/>
              <w:tr2bl w:val="nil"/>
            </w:tcBorders>
            <w:noWrap w:val="0"/>
            <w:vAlign w:val="center"/>
          </w:tcPr>
          <w:p w14:paraId="1DF6F97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《固定式钢梯及平台安全要求第1部分：钢直梯》（GB4053.1-2009）第5.2.2条</w:t>
            </w:r>
          </w:p>
        </w:tc>
        <w:tc>
          <w:tcPr>
            <w:tcW w:w="1843" w:type="dxa"/>
            <w:tcBorders>
              <w:tl2br w:val="nil"/>
              <w:tr2bl w:val="nil"/>
            </w:tcBorders>
            <w:noWrap w:val="0"/>
            <w:vAlign w:val="center"/>
          </w:tcPr>
          <w:p w14:paraId="103F2C1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梯子的设置符合相关要求。</w:t>
            </w:r>
          </w:p>
        </w:tc>
        <w:tc>
          <w:tcPr>
            <w:tcW w:w="567" w:type="dxa"/>
            <w:tcBorders>
              <w:tl2br w:val="nil"/>
              <w:tr2bl w:val="nil"/>
            </w:tcBorders>
            <w:noWrap w:val="0"/>
            <w:vAlign w:val="center"/>
          </w:tcPr>
          <w:p w14:paraId="06EFE24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63246D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675AFCB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3119" w:type="dxa"/>
            <w:tcBorders>
              <w:tl2br w:val="nil"/>
              <w:tr2bl w:val="nil"/>
            </w:tcBorders>
            <w:noWrap w:val="0"/>
            <w:vAlign w:val="center"/>
          </w:tcPr>
          <w:p w14:paraId="6E801C6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单段梯高宜不大于10ｍ，攀登高度大于10ｍ时宜采用多段梯，梯段水平交错布置，并设梯间平台，平台的垂直间距宜为６ｍ。单段梯及多段梯的梯高均应不大于15ｍ。</w:t>
            </w:r>
          </w:p>
        </w:tc>
        <w:tc>
          <w:tcPr>
            <w:tcW w:w="2292" w:type="dxa"/>
            <w:tcBorders>
              <w:tl2br w:val="nil"/>
              <w:tr2bl w:val="nil"/>
            </w:tcBorders>
            <w:noWrap w:val="0"/>
            <w:vAlign w:val="center"/>
          </w:tcPr>
          <w:p w14:paraId="5740F1E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《固定式钢梯及平台安全要求第1部分：钢直梯》（GB4053.1-2009）第5.3.1条</w:t>
            </w:r>
          </w:p>
        </w:tc>
        <w:tc>
          <w:tcPr>
            <w:tcW w:w="1843" w:type="dxa"/>
            <w:tcBorders>
              <w:tl2br w:val="nil"/>
              <w:tr2bl w:val="nil"/>
            </w:tcBorders>
            <w:noWrap w:val="0"/>
            <w:vAlign w:val="center"/>
          </w:tcPr>
          <w:p w14:paraId="657C66F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梯子的设置符合相关要求。</w:t>
            </w:r>
          </w:p>
        </w:tc>
        <w:tc>
          <w:tcPr>
            <w:tcW w:w="567" w:type="dxa"/>
            <w:tcBorders>
              <w:tl2br w:val="nil"/>
              <w:tr2bl w:val="nil"/>
            </w:tcBorders>
            <w:noWrap w:val="0"/>
            <w:vAlign w:val="center"/>
          </w:tcPr>
          <w:p w14:paraId="2F07BBF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09C287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74EAADF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6</w:t>
            </w:r>
          </w:p>
        </w:tc>
        <w:tc>
          <w:tcPr>
            <w:tcW w:w="3119" w:type="dxa"/>
            <w:tcBorders>
              <w:tl2br w:val="nil"/>
              <w:tr2bl w:val="nil"/>
            </w:tcBorders>
            <w:noWrap w:val="0"/>
            <w:vAlign w:val="center"/>
          </w:tcPr>
          <w:p w14:paraId="33EEB8A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梯子的整个攀登高度上所有的踏棍垂直间距应相等，相邻踏棍垂直间距应为225</w:t>
            </w:r>
            <w:r>
              <w:rPr>
                <w:rFonts w:hint="eastAsia" w:cs="宋体"/>
                <w:sz w:val="21"/>
                <w:szCs w:val="21"/>
                <w:lang w:val="en-US" w:eastAsia="zh-CN"/>
              </w:rPr>
              <w:t>mm</w:t>
            </w:r>
            <w:r>
              <w:rPr>
                <w:rFonts w:hint="eastAsia" w:ascii="宋体" w:hAnsi="宋体" w:eastAsia="宋体" w:cs="宋体"/>
                <w:sz w:val="21"/>
                <w:szCs w:val="21"/>
              </w:rPr>
              <w:t>～300</w:t>
            </w:r>
            <w:r>
              <w:rPr>
                <w:rFonts w:hint="eastAsia" w:cs="宋体"/>
                <w:sz w:val="21"/>
                <w:szCs w:val="21"/>
                <w:lang w:val="en-US" w:eastAsia="zh-CN"/>
              </w:rPr>
              <w:t>mm</w:t>
            </w:r>
            <w:r>
              <w:rPr>
                <w:rFonts w:hint="eastAsia" w:ascii="宋体" w:hAnsi="宋体" w:eastAsia="宋体" w:cs="宋体"/>
                <w:sz w:val="21"/>
                <w:szCs w:val="21"/>
              </w:rPr>
              <w:t>，梯子下端的第一级踏棍距基准面距离应不大于450</w:t>
            </w:r>
            <w:r>
              <w:rPr>
                <w:rFonts w:hint="eastAsia" w:cs="宋体"/>
                <w:sz w:val="21"/>
                <w:szCs w:val="21"/>
                <w:lang w:val="en-US" w:eastAsia="zh-CN"/>
              </w:rPr>
              <w:t>mm。</w:t>
            </w:r>
          </w:p>
        </w:tc>
        <w:tc>
          <w:tcPr>
            <w:tcW w:w="2292" w:type="dxa"/>
            <w:tcBorders>
              <w:tl2br w:val="nil"/>
              <w:tr2bl w:val="nil"/>
            </w:tcBorders>
            <w:noWrap w:val="0"/>
            <w:vAlign w:val="center"/>
          </w:tcPr>
          <w:p w14:paraId="2BDE554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《固定式钢梯及平台安全要求第1部分：钢直梯》（GB4053.1-2009）第5.5.1条</w:t>
            </w:r>
          </w:p>
        </w:tc>
        <w:tc>
          <w:tcPr>
            <w:tcW w:w="1843" w:type="dxa"/>
            <w:tcBorders>
              <w:tl2br w:val="nil"/>
              <w:tr2bl w:val="nil"/>
            </w:tcBorders>
            <w:noWrap w:val="0"/>
            <w:vAlign w:val="center"/>
          </w:tcPr>
          <w:p w14:paraId="2542F97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梯子的设置符合相关要求。</w:t>
            </w:r>
          </w:p>
        </w:tc>
        <w:tc>
          <w:tcPr>
            <w:tcW w:w="567" w:type="dxa"/>
            <w:tcBorders>
              <w:tl2br w:val="nil"/>
              <w:tr2bl w:val="nil"/>
            </w:tcBorders>
            <w:noWrap w:val="0"/>
            <w:vAlign w:val="center"/>
          </w:tcPr>
          <w:p w14:paraId="01F72D2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571FB1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9" w:type="dxa"/>
            <w:gridSpan w:val="5"/>
            <w:tcBorders>
              <w:tl2br w:val="nil"/>
              <w:tr2bl w:val="nil"/>
            </w:tcBorders>
            <w:noWrap w:val="0"/>
            <w:vAlign w:val="center"/>
          </w:tcPr>
          <w:p w14:paraId="756C496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b/>
                <w:bCs/>
                <w:sz w:val="21"/>
                <w:szCs w:val="21"/>
              </w:rPr>
              <w:t>工业防护栏杆及钢平台</w:t>
            </w:r>
          </w:p>
        </w:tc>
      </w:tr>
      <w:tr w14:paraId="0034E1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583FD9C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3119" w:type="dxa"/>
            <w:tcBorders>
              <w:tl2br w:val="nil"/>
              <w:tr2bl w:val="nil"/>
            </w:tcBorders>
            <w:noWrap w:val="0"/>
            <w:vAlign w:val="center"/>
          </w:tcPr>
          <w:p w14:paraId="2824D85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距下方相邻地板或地面1.2m及以上的平台、通道或工作面的所有敞开边缘应设置防护栏杆。</w:t>
            </w:r>
          </w:p>
        </w:tc>
        <w:tc>
          <w:tcPr>
            <w:tcW w:w="2292" w:type="dxa"/>
            <w:tcBorders>
              <w:tl2br w:val="nil"/>
              <w:tr2bl w:val="nil"/>
            </w:tcBorders>
            <w:noWrap w:val="0"/>
            <w:vAlign w:val="center"/>
          </w:tcPr>
          <w:p w14:paraId="38A7383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eastAsia="zh-CN"/>
              </w:rPr>
              <w:t>固定式钢梯及平台安全要求第3部分：工业防护栏杆及钢平台</w:t>
            </w:r>
            <w:r>
              <w:rPr>
                <w:rFonts w:hint="eastAsia" w:ascii="宋体" w:hAnsi="宋体" w:eastAsia="宋体" w:cs="宋体"/>
                <w:sz w:val="21"/>
                <w:szCs w:val="21"/>
              </w:rPr>
              <w:t>》（GB4053.3-2009）</w:t>
            </w:r>
          </w:p>
          <w:p w14:paraId="057DE03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第4.1.1条</w:t>
            </w:r>
          </w:p>
        </w:tc>
        <w:tc>
          <w:tcPr>
            <w:tcW w:w="1843" w:type="dxa"/>
            <w:tcBorders>
              <w:tl2br w:val="nil"/>
              <w:tr2bl w:val="nil"/>
            </w:tcBorders>
            <w:noWrap w:val="0"/>
            <w:vAlign w:val="center"/>
          </w:tcPr>
          <w:p w14:paraId="27ECBD8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高处平台及通道设置有防护栏。</w:t>
            </w:r>
          </w:p>
        </w:tc>
        <w:tc>
          <w:tcPr>
            <w:tcW w:w="567" w:type="dxa"/>
            <w:tcBorders>
              <w:tl2br w:val="nil"/>
              <w:tr2bl w:val="nil"/>
            </w:tcBorders>
            <w:noWrap w:val="0"/>
            <w:vAlign w:val="center"/>
          </w:tcPr>
          <w:p w14:paraId="3C917CD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6B2DFB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7FD060D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3119" w:type="dxa"/>
            <w:tcBorders>
              <w:tl2br w:val="nil"/>
              <w:tr2bl w:val="nil"/>
            </w:tcBorders>
            <w:noWrap w:val="0"/>
            <w:vAlign w:val="center"/>
          </w:tcPr>
          <w:p w14:paraId="3708B17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在平台、通道或工作面上可能使用工具、机器部件或物品场合，应在所有敞开边缘设置带踢脚板的防护栏杆。</w:t>
            </w:r>
          </w:p>
        </w:tc>
        <w:tc>
          <w:tcPr>
            <w:tcW w:w="2292" w:type="dxa"/>
            <w:tcBorders>
              <w:tl2br w:val="nil"/>
              <w:tr2bl w:val="nil"/>
            </w:tcBorders>
            <w:noWrap w:val="0"/>
            <w:vAlign w:val="center"/>
          </w:tcPr>
          <w:p w14:paraId="01C7353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eastAsia="zh-CN"/>
              </w:rPr>
              <w:t>固定式钢梯及平台安全要求第3部分：工业防护栏杆及钢平台</w:t>
            </w:r>
            <w:r>
              <w:rPr>
                <w:rFonts w:hint="eastAsia" w:ascii="宋体" w:hAnsi="宋体" w:eastAsia="宋体" w:cs="宋体"/>
                <w:sz w:val="21"/>
                <w:szCs w:val="21"/>
              </w:rPr>
              <w:t>》（GB4053.3-2009）</w:t>
            </w:r>
          </w:p>
          <w:p w14:paraId="7F66DFB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第4.1.2条</w:t>
            </w:r>
          </w:p>
        </w:tc>
        <w:tc>
          <w:tcPr>
            <w:tcW w:w="1843" w:type="dxa"/>
            <w:tcBorders>
              <w:tl2br w:val="nil"/>
              <w:tr2bl w:val="nil"/>
            </w:tcBorders>
            <w:noWrap w:val="0"/>
            <w:vAlign w:val="center"/>
          </w:tcPr>
          <w:p w14:paraId="1D89A08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在平台、通道或工作面上可能使用工具、机器部件或物品场合敞开边缘设置了带踢脚板的防护栏杆。</w:t>
            </w:r>
          </w:p>
        </w:tc>
        <w:tc>
          <w:tcPr>
            <w:tcW w:w="567" w:type="dxa"/>
            <w:tcBorders>
              <w:tl2br w:val="nil"/>
              <w:tr2bl w:val="nil"/>
            </w:tcBorders>
            <w:noWrap w:val="0"/>
            <w:vAlign w:val="center"/>
          </w:tcPr>
          <w:p w14:paraId="57B707A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6091F4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04CDC04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3119" w:type="dxa"/>
            <w:tcBorders>
              <w:tl2br w:val="nil"/>
              <w:tr2bl w:val="nil"/>
            </w:tcBorders>
            <w:noWrap w:val="0"/>
            <w:vAlign w:val="center"/>
          </w:tcPr>
          <w:p w14:paraId="4DED49C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防护栏杆及钢平台应采用焊接连接，焊接要求应符合GB50205的规定。当不便焊接时，可用螺栓连接，但应保证设计的结构强度。安装后的防护栏杆及钢平台不应有歪斜、扭曲、变形</w:t>
            </w:r>
            <w:r>
              <w:rPr>
                <w:rFonts w:hint="eastAsia" w:cs="宋体"/>
                <w:sz w:val="21"/>
                <w:szCs w:val="21"/>
                <w:lang w:eastAsia="zh-CN"/>
              </w:rPr>
              <w:t>及其他</w:t>
            </w:r>
            <w:r>
              <w:rPr>
                <w:rFonts w:hint="eastAsia" w:ascii="宋体" w:hAnsi="宋体" w:eastAsia="宋体" w:cs="宋体"/>
                <w:sz w:val="21"/>
                <w:szCs w:val="21"/>
              </w:rPr>
              <w:t>缺陷。</w:t>
            </w:r>
          </w:p>
        </w:tc>
        <w:tc>
          <w:tcPr>
            <w:tcW w:w="2292" w:type="dxa"/>
            <w:tcBorders>
              <w:tl2br w:val="nil"/>
              <w:tr2bl w:val="nil"/>
            </w:tcBorders>
            <w:noWrap w:val="0"/>
            <w:vAlign w:val="center"/>
          </w:tcPr>
          <w:p w14:paraId="39DB6A1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eastAsia="zh-CN"/>
              </w:rPr>
              <w:t>固定式钢梯及平台安全要求第3部分：工业防护栏杆及钢平台</w:t>
            </w:r>
            <w:r>
              <w:rPr>
                <w:rFonts w:hint="eastAsia" w:ascii="宋体" w:hAnsi="宋体" w:eastAsia="宋体" w:cs="宋体"/>
                <w:sz w:val="21"/>
                <w:szCs w:val="21"/>
              </w:rPr>
              <w:t>》（GB4053.3-2009）</w:t>
            </w:r>
          </w:p>
          <w:p w14:paraId="1532C14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第4.5.1条</w:t>
            </w:r>
          </w:p>
        </w:tc>
        <w:tc>
          <w:tcPr>
            <w:tcW w:w="1843" w:type="dxa"/>
            <w:tcBorders>
              <w:tl2br w:val="nil"/>
              <w:tr2bl w:val="nil"/>
            </w:tcBorders>
            <w:noWrap w:val="0"/>
            <w:vAlign w:val="center"/>
          </w:tcPr>
          <w:p w14:paraId="2DD8897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防护栏杆及钢平台无歪斜、扭曲、变形</w:t>
            </w:r>
            <w:r>
              <w:rPr>
                <w:rFonts w:hint="eastAsia" w:cs="宋体"/>
                <w:sz w:val="21"/>
                <w:szCs w:val="21"/>
                <w:lang w:eastAsia="zh-CN"/>
              </w:rPr>
              <w:t>及其他</w:t>
            </w:r>
            <w:r>
              <w:rPr>
                <w:rFonts w:hint="eastAsia" w:ascii="宋体" w:hAnsi="宋体" w:eastAsia="宋体" w:cs="宋体"/>
                <w:sz w:val="21"/>
                <w:szCs w:val="21"/>
              </w:rPr>
              <w:t>缺陷，牢固可靠。</w:t>
            </w:r>
          </w:p>
        </w:tc>
        <w:tc>
          <w:tcPr>
            <w:tcW w:w="567" w:type="dxa"/>
            <w:tcBorders>
              <w:tl2br w:val="nil"/>
              <w:tr2bl w:val="nil"/>
            </w:tcBorders>
            <w:noWrap w:val="0"/>
            <w:vAlign w:val="center"/>
          </w:tcPr>
          <w:p w14:paraId="046F39F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3A1E53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4EA7491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3119" w:type="dxa"/>
            <w:tcBorders>
              <w:tl2br w:val="nil"/>
              <w:tr2bl w:val="nil"/>
            </w:tcBorders>
            <w:noWrap w:val="0"/>
            <w:vAlign w:val="center"/>
          </w:tcPr>
          <w:p w14:paraId="1F7F047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防护栏杆制造安装工艺应确保所有构件及其连接部分表面光滑，无锐边、尖角、毛刺</w:t>
            </w:r>
            <w:r>
              <w:rPr>
                <w:rFonts w:hint="eastAsia" w:cs="宋体"/>
                <w:sz w:val="21"/>
                <w:szCs w:val="21"/>
                <w:lang w:eastAsia="zh-CN"/>
              </w:rPr>
              <w:t>或其他</w:t>
            </w:r>
            <w:r>
              <w:rPr>
                <w:rFonts w:hint="eastAsia" w:ascii="宋体" w:hAnsi="宋体" w:eastAsia="宋体" w:cs="宋体"/>
                <w:sz w:val="21"/>
                <w:szCs w:val="21"/>
              </w:rPr>
              <w:t>可能对人员造成伤害或妨碍其通过的外部缺陷。</w:t>
            </w:r>
          </w:p>
        </w:tc>
        <w:tc>
          <w:tcPr>
            <w:tcW w:w="2292" w:type="dxa"/>
            <w:tcBorders>
              <w:tl2br w:val="nil"/>
              <w:tr2bl w:val="nil"/>
            </w:tcBorders>
            <w:noWrap w:val="0"/>
            <w:vAlign w:val="center"/>
          </w:tcPr>
          <w:p w14:paraId="31E8A4B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eastAsia="zh-CN"/>
              </w:rPr>
              <w:t>固定式钢梯及平台安全要求第3部分：工业防护栏杆及钢平台</w:t>
            </w:r>
            <w:r>
              <w:rPr>
                <w:rFonts w:hint="eastAsia" w:ascii="宋体" w:hAnsi="宋体" w:eastAsia="宋体" w:cs="宋体"/>
                <w:sz w:val="21"/>
                <w:szCs w:val="21"/>
              </w:rPr>
              <w:t>》（GB4053.3-2009）</w:t>
            </w:r>
          </w:p>
          <w:p w14:paraId="2238CB1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第4.5.2条</w:t>
            </w:r>
          </w:p>
        </w:tc>
        <w:tc>
          <w:tcPr>
            <w:tcW w:w="1843" w:type="dxa"/>
            <w:tcBorders>
              <w:tl2br w:val="nil"/>
              <w:tr2bl w:val="nil"/>
            </w:tcBorders>
            <w:noWrap w:val="0"/>
            <w:vAlign w:val="center"/>
          </w:tcPr>
          <w:p w14:paraId="04D181B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栏杆无锐边、尖角、毛刺</w:t>
            </w:r>
            <w:r>
              <w:rPr>
                <w:rFonts w:hint="eastAsia" w:cs="宋体"/>
                <w:sz w:val="21"/>
                <w:szCs w:val="21"/>
                <w:lang w:eastAsia="zh-CN"/>
              </w:rPr>
              <w:t>或其他</w:t>
            </w:r>
            <w:r>
              <w:rPr>
                <w:rFonts w:hint="eastAsia" w:ascii="宋体" w:hAnsi="宋体" w:eastAsia="宋体" w:cs="宋体"/>
                <w:sz w:val="21"/>
                <w:szCs w:val="21"/>
              </w:rPr>
              <w:t>可能对人员造成伤害或妨碍其通过的外部缺陷。</w:t>
            </w:r>
          </w:p>
        </w:tc>
        <w:tc>
          <w:tcPr>
            <w:tcW w:w="567" w:type="dxa"/>
            <w:tcBorders>
              <w:tl2br w:val="nil"/>
              <w:tr2bl w:val="nil"/>
            </w:tcBorders>
            <w:noWrap w:val="0"/>
            <w:vAlign w:val="center"/>
          </w:tcPr>
          <w:p w14:paraId="3781748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7F2778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0BEFBDB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3119" w:type="dxa"/>
            <w:tcBorders>
              <w:tl2br w:val="nil"/>
              <w:tr2bl w:val="nil"/>
            </w:tcBorders>
            <w:noWrap w:val="0"/>
            <w:vAlign w:val="center"/>
          </w:tcPr>
          <w:p w14:paraId="5539907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安装后的平台钢梁应平直，铺板应平整，不应有歪斜、翘曲、变形</w:t>
            </w:r>
            <w:r>
              <w:rPr>
                <w:rFonts w:hint="eastAsia" w:cs="宋体"/>
                <w:sz w:val="21"/>
                <w:szCs w:val="21"/>
                <w:lang w:eastAsia="zh-CN"/>
              </w:rPr>
              <w:t>及其他</w:t>
            </w:r>
            <w:r>
              <w:rPr>
                <w:rFonts w:hint="eastAsia" w:ascii="宋体" w:hAnsi="宋体" w:eastAsia="宋体" w:cs="宋体"/>
                <w:sz w:val="21"/>
                <w:szCs w:val="21"/>
              </w:rPr>
              <w:t>缺陷。</w:t>
            </w:r>
          </w:p>
        </w:tc>
        <w:tc>
          <w:tcPr>
            <w:tcW w:w="2292" w:type="dxa"/>
            <w:tcBorders>
              <w:tl2br w:val="nil"/>
              <w:tr2bl w:val="nil"/>
            </w:tcBorders>
            <w:noWrap w:val="0"/>
            <w:vAlign w:val="center"/>
          </w:tcPr>
          <w:p w14:paraId="075CE13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eastAsia="zh-CN"/>
              </w:rPr>
              <w:t>固定式钢梯及平台安全要求第3部分：工业防护栏杆及钢平台</w:t>
            </w:r>
            <w:r>
              <w:rPr>
                <w:rFonts w:hint="eastAsia" w:ascii="宋体" w:hAnsi="宋体" w:eastAsia="宋体" w:cs="宋体"/>
                <w:sz w:val="21"/>
                <w:szCs w:val="21"/>
              </w:rPr>
              <w:t>》（GB4053.3-2009）</w:t>
            </w:r>
          </w:p>
          <w:p w14:paraId="766BB5D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第4.5.4条</w:t>
            </w:r>
          </w:p>
        </w:tc>
        <w:tc>
          <w:tcPr>
            <w:tcW w:w="1843" w:type="dxa"/>
            <w:tcBorders>
              <w:tl2br w:val="nil"/>
              <w:tr2bl w:val="nil"/>
            </w:tcBorders>
            <w:noWrap w:val="0"/>
            <w:vAlign w:val="center"/>
          </w:tcPr>
          <w:p w14:paraId="1C2D196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平台钢梁平直，铺板平整。</w:t>
            </w:r>
          </w:p>
        </w:tc>
        <w:tc>
          <w:tcPr>
            <w:tcW w:w="567" w:type="dxa"/>
            <w:tcBorders>
              <w:tl2br w:val="nil"/>
              <w:tr2bl w:val="nil"/>
            </w:tcBorders>
            <w:noWrap w:val="0"/>
            <w:vAlign w:val="center"/>
          </w:tcPr>
          <w:p w14:paraId="76B4809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36F645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1781337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6</w:t>
            </w:r>
          </w:p>
        </w:tc>
        <w:tc>
          <w:tcPr>
            <w:tcW w:w="3119" w:type="dxa"/>
            <w:tcBorders>
              <w:tl2br w:val="nil"/>
              <w:tr2bl w:val="nil"/>
            </w:tcBorders>
            <w:noWrap w:val="0"/>
            <w:vAlign w:val="center"/>
          </w:tcPr>
          <w:p w14:paraId="629BADE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防护栏杆及钢平台安装后，应对其至少涂一层底漆和一层（或多层）面漆或采用等效的防锈防腐涂装</w:t>
            </w:r>
          </w:p>
        </w:tc>
        <w:tc>
          <w:tcPr>
            <w:tcW w:w="2292" w:type="dxa"/>
            <w:tcBorders>
              <w:tl2br w:val="nil"/>
              <w:tr2bl w:val="nil"/>
            </w:tcBorders>
            <w:noWrap w:val="0"/>
            <w:vAlign w:val="center"/>
          </w:tcPr>
          <w:p w14:paraId="6FDF76C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eastAsia="zh-CN"/>
              </w:rPr>
              <w:t>固定式钢梯及平台安全要求第3部分：工业防护栏杆及钢平台</w:t>
            </w:r>
            <w:r>
              <w:rPr>
                <w:rFonts w:hint="eastAsia" w:ascii="宋体" w:hAnsi="宋体" w:eastAsia="宋体" w:cs="宋体"/>
                <w:sz w:val="21"/>
                <w:szCs w:val="21"/>
              </w:rPr>
              <w:t>》（GB4053.3-2009）</w:t>
            </w:r>
          </w:p>
          <w:p w14:paraId="2A37258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第4.6.3条</w:t>
            </w:r>
          </w:p>
        </w:tc>
        <w:tc>
          <w:tcPr>
            <w:tcW w:w="1843" w:type="dxa"/>
            <w:tcBorders>
              <w:tl2br w:val="nil"/>
              <w:tr2bl w:val="nil"/>
            </w:tcBorders>
            <w:noWrap w:val="0"/>
            <w:vAlign w:val="center"/>
          </w:tcPr>
          <w:p w14:paraId="717CD6B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防护栏杆及钢平台进行了防腐处理。</w:t>
            </w:r>
          </w:p>
        </w:tc>
        <w:tc>
          <w:tcPr>
            <w:tcW w:w="567" w:type="dxa"/>
            <w:tcBorders>
              <w:tl2br w:val="nil"/>
              <w:tr2bl w:val="nil"/>
            </w:tcBorders>
            <w:noWrap w:val="0"/>
            <w:vAlign w:val="center"/>
          </w:tcPr>
          <w:p w14:paraId="4B1790D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3DFE42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5B88AD1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7</w:t>
            </w:r>
          </w:p>
        </w:tc>
        <w:tc>
          <w:tcPr>
            <w:tcW w:w="3119" w:type="dxa"/>
            <w:tcBorders>
              <w:tl2br w:val="nil"/>
              <w:tr2bl w:val="nil"/>
            </w:tcBorders>
            <w:noWrap w:val="0"/>
            <w:vAlign w:val="center"/>
          </w:tcPr>
          <w:p w14:paraId="111FD47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防护栏杆各构件的布置应确保中间栏杆（横杆）与上下构件间形成的空隙间距不大于500mm。构件设置方式应阻止攀爬。</w:t>
            </w:r>
          </w:p>
        </w:tc>
        <w:tc>
          <w:tcPr>
            <w:tcW w:w="2292" w:type="dxa"/>
            <w:tcBorders>
              <w:tl2br w:val="nil"/>
              <w:tr2bl w:val="nil"/>
            </w:tcBorders>
            <w:noWrap w:val="0"/>
            <w:vAlign w:val="center"/>
          </w:tcPr>
          <w:p w14:paraId="000840A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eastAsia="zh-CN"/>
              </w:rPr>
              <w:t>固定式钢梯及平台安全要求第3部分：工业防护栏杆及钢平台</w:t>
            </w:r>
            <w:r>
              <w:rPr>
                <w:rFonts w:hint="eastAsia" w:ascii="宋体" w:hAnsi="宋体" w:eastAsia="宋体" w:cs="宋体"/>
                <w:sz w:val="21"/>
                <w:szCs w:val="21"/>
              </w:rPr>
              <w:t>》（GB4053.3-2009）</w:t>
            </w:r>
          </w:p>
          <w:p w14:paraId="509D940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第5.1.2条</w:t>
            </w:r>
          </w:p>
        </w:tc>
        <w:tc>
          <w:tcPr>
            <w:tcW w:w="1843" w:type="dxa"/>
            <w:tcBorders>
              <w:tl2br w:val="nil"/>
              <w:tr2bl w:val="nil"/>
            </w:tcBorders>
            <w:noWrap w:val="0"/>
            <w:vAlign w:val="center"/>
          </w:tcPr>
          <w:p w14:paraId="777A942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防护栏杆各构件的布置符合上述要求。</w:t>
            </w:r>
          </w:p>
        </w:tc>
        <w:tc>
          <w:tcPr>
            <w:tcW w:w="567" w:type="dxa"/>
            <w:tcBorders>
              <w:tl2br w:val="nil"/>
              <w:tr2bl w:val="nil"/>
            </w:tcBorders>
            <w:noWrap w:val="0"/>
            <w:vAlign w:val="center"/>
          </w:tcPr>
          <w:p w14:paraId="4A4B45A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5F9E6B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05ED4E9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8</w:t>
            </w:r>
          </w:p>
        </w:tc>
        <w:tc>
          <w:tcPr>
            <w:tcW w:w="3119" w:type="dxa"/>
            <w:tcBorders>
              <w:tl2br w:val="nil"/>
              <w:tr2bl w:val="nil"/>
            </w:tcBorders>
            <w:noWrap w:val="0"/>
            <w:vAlign w:val="center"/>
          </w:tcPr>
          <w:p w14:paraId="71AD508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当平台、通道及作业场所距基准面高度小于2m时，防护栏杆高度应不低于900mm。</w:t>
            </w:r>
          </w:p>
          <w:p w14:paraId="2B823FE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在距基准面高度大于等于2m并小于20m的平台、通道及作业场所的防护栏杆高度应不低于1050mm。</w:t>
            </w:r>
          </w:p>
          <w:p w14:paraId="54E6EDC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在距基准面高度不小于20m的平台、通道及作业场所的防护栏杆高度应不低于1200mm。</w:t>
            </w:r>
          </w:p>
        </w:tc>
        <w:tc>
          <w:tcPr>
            <w:tcW w:w="2292" w:type="dxa"/>
            <w:tcBorders>
              <w:tl2br w:val="nil"/>
              <w:tr2bl w:val="nil"/>
            </w:tcBorders>
            <w:noWrap w:val="0"/>
            <w:vAlign w:val="center"/>
          </w:tcPr>
          <w:p w14:paraId="6AF34B7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eastAsia="zh-CN"/>
              </w:rPr>
              <w:t>固定式钢梯及平台安全要求第3部分：工业防护栏杆及钢平台</w:t>
            </w:r>
            <w:r>
              <w:rPr>
                <w:rFonts w:hint="eastAsia" w:ascii="宋体" w:hAnsi="宋体" w:eastAsia="宋体" w:cs="宋体"/>
                <w:sz w:val="21"/>
                <w:szCs w:val="21"/>
              </w:rPr>
              <w:t>》（GB4053.3-2009）</w:t>
            </w:r>
          </w:p>
          <w:p w14:paraId="2D6D9A8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第5.2条</w:t>
            </w:r>
          </w:p>
        </w:tc>
        <w:tc>
          <w:tcPr>
            <w:tcW w:w="1843" w:type="dxa"/>
            <w:tcBorders>
              <w:tl2br w:val="nil"/>
              <w:tr2bl w:val="nil"/>
            </w:tcBorders>
            <w:noWrap w:val="0"/>
            <w:vAlign w:val="center"/>
          </w:tcPr>
          <w:p w14:paraId="2C622F3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高处防护栏杆的设置符合上述要求。</w:t>
            </w:r>
          </w:p>
        </w:tc>
        <w:tc>
          <w:tcPr>
            <w:tcW w:w="567" w:type="dxa"/>
            <w:tcBorders>
              <w:tl2br w:val="nil"/>
              <w:tr2bl w:val="nil"/>
            </w:tcBorders>
            <w:noWrap w:val="0"/>
            <w:vAlign w:val="center"/>
          </w:tcPr>
          <w:p w14:paraId="482A53E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1FA8EE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04CC5E6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9</w:t>
            </w:r>
          </w:p>
        </w:tc>
        <w:tc>
          <w:tcPr>
            <w:tcW w:w="3119" w:type="dxa"/>
            <w:tcBorders>
              <w:tl2br w:val="nil"/>
              <w:tr2bl w:val="nil"/>
            </w:tcBorders>
            <w:noWrap w:val="0"/>
            <w:vAlign w:val="center"/>
          </w:tcPr>
          <w:p w14:paraId="1DC9692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在扶手和踢脚板之间，应至少设置一道中间栏杆。</w:t>
            </w:r>
          </w:p>
          <w:p w14:paraId="60B325E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中间栏杆宜采用不小于25mm×4mm扁钢或直径16mm的圆钢。中间栏杆与上、下方构件的空隙间距应不大于500mm。</w:t>
            </w:r>
          </w:p>
        </w:tc>
        <w:tc>
          <w:tcPr>
            <w:tcW w:w="2292" w:type="dxa"/>
            <w:tcBorders>
              <w:tl2br w:val="nil"/>
              <w:tr2bl w:val="nil"/>
            </w:tcBorders>
            <w:noWrap w:val="0"/>
            <w:vAlign w:val="center"/>
          </w:tcPr>
          <w:p w14:paraId="5275B5C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eastAsia="zh-CN"/>
              </w:rPr>
              <w:t>固定式钢梯及平台安全要求第3部分：工业防护栏杆及钢平台</w:t>
            </w:r>
            <w:r>
              <w:rPr>
                <w:rFonts w:hint="eastAsia" w:ascii="宋体" w:hAnsi="宋体" w:eastAsia="宋体" w:cs="宋体"/>
                <w:sz w:val="21"/>
                <w:szCs w:val="21"/>
              </w:rPr>
              <w:t>》（GB4053.3-2009）</w:t>
            </w:r>
          </w:p>
          <w:p w14:paraId="11E345B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第5.4条</w:t>
            </w:r>
          </w:p>
        </w:tc>
        <w:tc>
          <w:tcPr>
            <w:tcW w:w="1843" w:type="dxa"/>
            <w:tcBorders>
              <w:tl2br w:val="nil"/>
              <w:tr2bl w:val="nil"/>
            </w:tcBorders>
            <w:noWrap w:val="0"/>
            <w:vAlign w:val="center"/>
          </w:tcPr>
          <w:p w14:paraId="3976983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扶手和踢脚板符合上述要求。</w:t>
            </w:r>
          </w:p>
        </w:tc>
        <w:tc>
          <w:tcPr>
            <w:tcW w:w="567" w:type="dxa"/>
            <w:tcBorders>
              <w:tl2br w:val="nil"/>
              <w:tr2bl w:val="nil"/>
            </w:tcBorders>
            <w:noWrap w:val="0"/>
            <w:vAlign w:val="center"/>
          </w:tcPr>
          <w:p w14:paraId="3984ABC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187DF1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5C1032C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3119" w:type="dxa"/>
            <w:tcBorders>
              <w:tl2br w:val="nil"/>
              <w:tr2bl w:val="nil"/>
            </w:tcBorders>
            <w:noWrap w:val="0"/>
            <w:vAlign w:val="center"/>
          </w:tcPr>
          <w:p w14:paraId="372EB6B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防护栏杆端部应设置立柱或确保与建筑物或其它固定结构牢固连接，立柱间距应不大于1000mm。</w:t>
            </w:r>
          </w:p>
        </w:tc>
        <w:tc>
          <w:tcPr>
            <w:tcW w:w="2292" w:type="dxa"/>
            <w:tcBorders>
              <w:tl2br w:val="nil"/>
              <w:tr2bl w:val="nil"/>
            </w:tcBorders>
            <w:noWrap w:val="0"/>
            <w:vAlign w:val="center"/>
          </w:tcPr>
          <w:p w14:paraId="04C9D57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eastAsia="zh-CN"/>
              </w:rPr>
              <w:t>固定式钢梯及平台安全要求第3部分：工业防护栏杆及钢平台</w:t>
            </w:r>
            <w:r>
              <w:rPr>
                <w:rFonts w:hint="eastAsia" w:ascii="宋体" w:hAnsi="宋体" w:eastAsia="宋体" w:cs="宋体"/>
                <w:sz w:val="21"/>
                <w:szCs w:val="21"/>
              </w:rPr>
              <w:t>》（GB4053.3-2009）</w:t>
            </w:r>
          </w:p>
          <w:p w14:paraId="3E2E167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第5.5.1条</w:t>
            </w:r>
          </w:p>
        </w:tc>
        <w:tc>
          <w:tcPr>
            <w:tcW w:w="1843" w:type="dxa"/>
            <w:tcBorders>
              <w:tl2br w:val="nil"/>
              <w:tr2bl w:val="nil"/>
            </w:tcBorders>
            <w:noWrap w:val="0"/>
            <w:vAlign w:val="center"/>
          </w:tcPr>
          <w:p w14:paraId="68E4F66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防护栏杆立柱等的设置符合上述要求。</w:t>
            </w:r>
          </w:p>
        </w:tc>
        <w:tc>
          <w:tcPr>
            <w:tcW w:w="567" w:type="dxa"/>
            <w:tcBorders>
              <w:tl2br w:val="nil"/>
              <w:tr2bl w:val="nil"/>
            </w:tcBorders>
            <w:noWrap w:val="0"/>
            <w:vAlign w:val="center"/>
          </w:tcPr>
          <w:p w14:paraId="4291A7B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276941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69" w:type="dxa"/>
            <w:gridSpan w:val="5"/>
            <w:tcBorders>
              <w:tl2br w:val="nil"/>
              <w:tr2bl w:val="nil"/>
            </w:tcBorders>
            <w:noWrap w:val="0"/>
            <w:vAlign w:val="center"/>
          </w:tcPr>
          <w:p w14:paraId="122A09D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sz w:val="21"/>
                <w:szCs w:val="21"/>
              </w:rPr>
              <w:t>防护装置</w:t>
            </w:r>
          </w:p>
        </w:tc>
      </w:tr>
      <w:tr w14:paraId="4B1B1B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29993E2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3119" w:type="dxa"/>
            <w:tcBorders>
              <w:tl2br w:val="nil"/>
              <w:tr2bl w:val="nil"/>
            </w:tcBorders>
            <w:noWrap w:val="0"/>
            <w:vAlign w:val="top"/>
          </w:tcPr>
          <w:p w14:paraId="255DFB89">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kern w:val="0"/>
                <w:sz w:val="21"/>
                <w:szCs w:val="21"/>
              </w:rPr>
              <w:t>连接的牢固性：焊接、粘接或机械式紧固连接应有足够的强度，以承受正常的可预见的载荷。在使用粘接剂的场合，应使其与所采用的工艺和使用的材料相匹配。在使用机械紧固件的场合，其强度、数量和位置应足以保证防护装置的稳定性和刚度。</w:t>
            </w:r>
          </w:p>
        </w:tc>
        <w:tc>
          <w:tcPr>
            <w:tcW w:w="2292" w:type="dxa"/>
            <w:tcBorders>
              <w:tl2br w:val="nil"/>
              <w:tr2bl w:val="nil"/>
            </w:tcBorders>
            <w:noWrap w:val="0"/>
            <w:vAlign w:val="center"/>
          </w:tcPr>
          <w:p w14:paraId="18913E69">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eastAsia="zh-CN"/>
              </w:rPr>
              <w:t>机械安全防护装置固定式和活动式防护装置的设计与制造一般要求</w:t>
            </w:r>
            <w:r>
              <w:rPr>
                <w:rFonts w:hint="eastAsia" w:ascii="宋体" w:hAnsi="宋体" w:eastAsia="宋体" w:cs="宋体"/>
                <w:sz w:val="21"/>
                <w:szCs w:val="21"/>
              </w:rPr>
              <w:t>》（GB/T8196-2018）</w:t>
            </w:r>
          </w:p>
          <w:p w14:paraId="3D164458">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kern w:val="0"/>
                <w:sz w:val="21"/>
                <w:szCs w:val="21"/>
              </w:rPr>
              <w:t>第5.3.8条</w:t>
            </w:r>
          </w:p>
        </w:tc>
        <w:tc>
          <w:tcPr>
            <w:tcW w:w="1843" w:type="dxa"/>
            <w:tcBorders>
              <w:tl2br w:val="nil"/>
              <w:tr2bl w:val="nil"/>
            </w:tcBorders>
            <w:noWrap w:val="0"/>
            <w:vAlign w:val="center"/>
          </w:tcPr>
          <w:p w14:paraId="3B4A7126">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本项目防护装置连接牢固性符合要求，现场检查时未发现明显缺陷。</w:t>
            </w:r>
          </w:p>
        </w:tc>
        <w:tc>
          <w:tcPr>
            <w:tcW w:w="567" w:type="dxa"/>
            <w:tcBorders>
              <w:tl2br w:val="nil"/>
              <w:tr2bl w:val="nil"/>
            </w:tcBorders>
            <w:noWrap w:val="0"/>
            <w:vAlign w:val="center"/>
          </w:tcPr>
          <w:p w14:paraId="2513CFA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3315EC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4D06485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3119" w:type="dxa"/>
            <w:tcBorders>
              <w:tl2br w:val="nil"/>
              <w:tr2bl w:val="nil"/>
            </w:tcBorders>
            <w:noWrap w:val="0"/>
            <w:vAlign w:val="center"/>
          </w:tcPr>
          <w:p w14:paraId="095D170B">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kern w:val="0"/>
                <w:sz w:val="21"/>
                <w:szCs w:val="21"/>
              </w:rPr>
            </w:pPr>
            <w:r>
              <w:rPr>
                <w:rFonts w:hint="eastAsia" w:ascii="宋体" w:hAnsi="宋体" w:eastAsia="宋体" w:cs="宋体"/>
                <w:kern w:val="0"/>
                <w:sz w:val="21"/>
                <w:szCs w:val="21"/>
              </w:rPr>
              <w:t>固定式防护装置的拆卸：</w:t>
            </w:r>
          </w:p>
          <w:p w14:paraId="2B88409F">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kern w:val="0"/>
                <w:sz w:val="21"/>
                <w:szCs w:val="21"/>
              </w:rPr>
              <w:t>对于防护装置可拆卸的固定部件</w:t>
            </w:r>
            <w:r>
              <w:rPr>
                <w:rFonts w:hint="eastAsia" w:ascii="宋体" w:hAnsi="宋体" w:cs="宋体"/>
                <w:kern w:val="0"/>
                <w:sz w:val="21"/>
                <w:szCs w:val="21"/>
                <w:lang w:eastAsia="zh-CN"/>
              </w:rPr>
              <w:t>，应</w:t>
            </w:r>
            <w:r>
              <w:rPr>
                <w:rFonts w:hint="eastAsia" w:ascii="宋体" w:hAnsi="宋体" w:eastAsia="宋体" w:cs="宋体"/>
                <w:kern w:val="0"/>
                <w:sz w:val="21"/>
                <w:szCs w:val="21"/>
              </w:rPr>
              <w:t>只能借助工具</w:t>
            </w:r>
            <w:r>
              <w:rPr>
                <w:rFonts w:hint="eastAsia" w:cs="宋体"/>
                <w:kern w:val="0"/>
                <w:sz w:val="21"/>
                <w:szCs w:val="21"/>
                <w:lang w:eastAsia="zh-CN"/>
              </w:rPr>
              <w:t>（</w:t>
            </w:r>
            <w:r>
              <w:rPr>
                <w:rFonts w:hint="eastAsia" w:ascii="宋体" w:hAnsi="宋体" w:eastAsia="宋体" w:cs="宋体"/>
                <w:kern w:val="0"/>
                <w:sz w:val="21"/>
                <w:szCs w:val="21"/>
              </w:rPr>
              <w:t>见3.8</w:t>
            </w:r>
            <w:r>
              <w:rPr>
                <w:rFonts w:hint="eastAsia" w:cs="宋体"/>
                <w:kern w:val="0"/>
                <w:sz w:val="21"/>
                <w:szCs w:val="21"/>
                <w:lang w:eastAsia="zh-CN"/>
              </w:rPr>
              <w:t>）</w:t>
            </w:r>
            <w:r>
              <w:rPr>
                <w:rFonts w:hint="eastAsia" w:ascii="宋体" w:hAnsi="宋体" w:eastAsia="宋体" w:cs="宋体"/>
                <w:kern w:val="0"/>
                <w:sz w:val="21"/>
                <w:szCs w:val="21"/>
              </w:rPr>
              <w:t>才可以拆卸。也可见8.5和8.6。</w:t>
            </w:r>
          </w:p>
        </w:tc>
        <w:tc>
          <w:tcPr>
            <w:tcW w:w="2292" w:type="dxa"/>
            <w:tcBorders>
              <w:tl2br w:val="nil"/>
              <w:tr2bl w:val="nil"/>
            </w:tcBorders>
            <w:noWrap w:val="0"/>
            <w:vAlign w:val="center"/>
          </w:tcPr>
          <w:p w14:paraId="54E535A3">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eastAsia="zh-CN"/>
              </w:rPr>
              <w:t>机械安全防护装置固定式和活动式防护装置的设计与制造一般要求</w:t>
            </w:r>
            <w:r>
              <w:rPr>
                <w:rFonts w:hint="eastAsia" w:ascii="宋体" w:hAnsi="宋体" w:eastAsia="宋体" w:cs="宋体"/>
                <w:sz w:val="21"/>
                <w:szCs w:val="21"/>
              </w:rPr>
              <w:t>》（GB/T8196-2018）</w:t>
            </w:r>
          </w:p>
          <w:p w14:paraId="17C632B4">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kern w:val="0"/>
                <w:sz w:val="21"/>
                <w:szCs w:val="21"/>
              </w:rPr>
              <w:t>第5.3.9条</w:t>
            </w:r>
          </w:p>
        </w:tc>
        <w:tc>
          <w:tcPr>
            <w:tcW w:w="1843" w:type="dxa"/>
            <w:tcBorders>
              <w:tl2br w:val="nil"/>
              <w:tr2bl w:val="nil"/>
            </w:tcBorders>
            <w:noWrap w:val="0"/>
            <w:vAlign w:val="center"/>
          </w:tcPr>
          <w:p w14:paraId="733CEFB0">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本项目防护装置可拆卸部件设计符合相关要求。</w:t>
            </w:r>
          </w:p>
        </w:tc>
        <w:tc>
          <w:tcPr>
            <w:tcW w:w="567" w:type="dxa"/>
            <w:tcBorders>
              <w:tl2br w:val="nil"/>
              <w:tr2bl w:val="nil"/>
            </w:tcBorders>
            <w:noWrap w:val="0"/>
            <w:vAlign w:val="center"/>
          </w:tcPr>
          <w:p w14:paraId="2E58E64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5950E4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tcBorders>
              <w:tl2br w:val="nil"/>
              <w:tr2bl w:val="nil"/>
            </w:tcBorders>
            <w:noWrap w:val="0"/>
            <w:vAlign w:val="center"/>
          </w:tcPr>
          <w:p w14:paraId="469FBB9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3119" w:type="dxa"/>
            <w:tcBorders>
              <w:tl2br w:val="nil"/>
              <w:tr2bl w:val="nil"/>
            </w:tcBorders>
            <w:noWrap w:val="0"/>
            <w:vAlign w:val="center"/>
          </w:tcPr>
          <w:p w14:paraId="26C05A7A">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kern w:val="0"/>
                <w:sz w:val="21"/>
                <w:szCs w:val="21"/>
              </w:rPr>
            </w:pPr>
            <w:r>
              <w:rPr>
                <w:rFonts w:hint="eastAsia" w:ascii="宋体" w:hAnsi="宋体" w:eastAsia="宋体" w:cs="宋体"/>
                <w:kern w:val="0"/>
                <w:sz w:val="21"/>
                <w:szCs w:val="21"/>
              </w:rPr>
              <w:t>运动的传动部件</w:t>
            </w:r>
          </w:p>
          <w:p w14:paraId="055FD34B">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kern w:val="0"/>
                <w:sz w:val="21"/>
                <w:szCs w:val="21"/>
              </w:rPr>
            </w:pPr>
            <w:r>
              <w:rPr>
                <w:rFonts w:hint="eastAsia" w:ascii="宋体" w:hAnsi="宋体" w:eastAsia="宋体" w:cs="宋体"/>
                <w:kern w:val="0"/>
                <w:sz w:val="21"/>
                <w:szCs w:val="21"/>
              </w:rPr>
              <w:t>对于带轮、传动带、齿轮、齿条齿轮和传动轴等运动的传动部件产生的危险.应采用固定式防护装置或联锁的活动式防护装置进行防护。</w:t>
            </w:r>
          </w:p>
          <w:p w14:paraId="6E9ED1B0">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kern w:val="0"/>
                <w:sz w:val="21"/>
                <w:szCs w:val="21"/>
              </w:rPr>
              <w:t>应根据6.4.4.1选择固定式防护装置或联锁的活动式防护装置。</w:t>
            </w:r>
          </w:p>
        </w:tc>
        <w:tc>
          <w:tcPr>
            <w:tcW w:w="2292" w:type="dxa"/>
            <w:tcBorders>
              <w:tl2br w:val="nil"/>
              <w:tr2bl w:val="nil"/>
            </w:tcBorders>
            <w:noWrap w:val="0"/>
            <w:vAlign w:val="center"/>
          </w:tcPr>
          <w:p w14:paraId="577C5D5F">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eastAsia="zh-CN"/>
              </w:rPr>
              <w:t>机械安全防护装置固定式和活动式防护装置的设计与制造一般要求</w:t>
            </w:r>
            <w:r>
              <w:rPr>
                <w:rFonts w:hint="eastAsia" w:ascii="宋体" w:hAnsi="宋体" w:eastAsia="宋体" w:cs="宋体"/>
                <w:sz w:val="21"/>
                <w:szCs w:val="21"/>
              </w:rPr>
              <w:t>》（GB/T8196-2018）</w:t>
            </w:r>
          </w:p>
          <w:p w14:paraId="26C6ECBF">
            <w:pPr>
              <w:keepNext w:val="0"/>
              <w:keepLines w:val="0"/>
              <w:pageBreakBefore w:val="0"/>
              <w:widowControl w:val="0"/>
              <w:suppressLineNumbers w:val="0"/>
              <w:tabs>
                <w:tab w:val="left" w:pos="2898"/>
              </w:tabs>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kern w:val="0"/>
                <w:sz w:val="21"/>
                <w:szCs w:val="21"/>
              </w:rPr>
              <w:t>第6.4.2条</w:t>
            </w:r>
          </w:p>
        </w:tc>
        <w:tc>
          <w:tcPr>
            <w:tcW w:w="1843" w:type="dxa"/>
            <w:tcBorders>
              <w:tl2br w:val="nil"/>
              <w:tr2bl w:val="nil"/>
            </w:tcBorders>
            <w:noWrap w:val="0"/>
            <w:vAlign w:val="center"/>
          </w:tcPr>
          <w:p w14:paraId="0E48FEA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机械设备传动部位设置了机械防护罩。</w:t>
            </w:r>
          </w:p>
        </w:tc>
        <w:tc>
          <w:tcPr>
            <w:tcW w:w="567" w:type="dxa"/>
            <w:tcBorders>
              <w:tl2br w:val="nil"/>
              <w:tr2bl w:val="nil"/>
            </w:tcBorders>
            <w:noWrap w:val="0"/>
            <w:vAlign w:val="center"/>
          </w:tcPr>
          <w:p w14:paraId="3C9A547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bl>
    <w:p w14:paraId="23AB1DE9">
      <w:pPr>
        <w:keepNext w:val="0"/>
        <w:keepLines w:val="0"/>
        <w:pageBreakBefore w:val="0"/>
        <w:widowControl w:val="0"/>
        <w:kinsoku/>
        <w:wordWrap/>
        <w:overflowPunct/>
        <w:topLinePunct/>
        <w:autoSpaceDE/>
        <w:autoSpaceDN/>
        <w:bidi w:val="0"/>
        <w:adjustRightInd w:val="0"/>
        <w:snapToGrid w:val="0"/>
        <w:ind w:firstLine="560"/>
        <w:jc w:val="both"/>
        <w:textAlignment w:val="auto"/>
        <w:rPr>
          <w:szCs w:val="28"/>
        </w:rPr>
      </w:pPr>
      <w:r>
        <w:rPr>
          <w:rFonts w:hint="eastAsia"/>
          <w:szCs w:val="28"/>
        </w:rPr>
        <w:t>由上述安全检查表可知，项目常规防护设施和措施符合《安全色》（</w:t>
      </w:r>
      <w:r>
        <w:rPr>
          <w:szCs w:val="28"/>
        </w:rPr>
        <w:t>GB2893-2008</w:t>
      </w:r>
      <w:r>
        <w:rPr>
          <w:rFonts w:hint="eastAsia"/>
          <w:szCs w:val="28"/>
        </w:rPr>
        <w:t>）、《工业管道的基本识别色、识别符号和安全标识》（</w:t>
      </w:r>
      <w:r>
        <w:rPr>
          <w:szCs w:val="28"/>
        </w:rPr>
        <w:t>GB7231-2003</w:t>
      </w:r>
      <w:r>
        <w:rPr>
          <w:rFonts w:hint="eastAsia"/>
          <w:szCs w:val="28"/>
        </w:rPr>
        <w:t>）、《安全标志及其使用导则》（</w:t>
      </w:r>
      <w:r>
        <w:rPr>
          <w:szCs w:val="28"/>
        </w:rPr>
        <w:t>GB2894-2008</w:t>
      </w:r>
      <w:r>
        <w:rPr>
          <w:rFonts w:hint="eastAsia"/>
          <w:szCs w:val="28"/>
        </w:rPr>
        <w:t>）、《固定式钢梯及平台安全要求第</w:t>
      </w:r>
      <w:r>
        <w:rPr>
          <w:szCs w:val="28"/>
        </w:rPr>
        <w:t>1</w:t>
      </w:r>
      <w:r>
        <w:rPr>
          <w:rFonts w:hint="eastAsia"/>
          <w:szCs w:val="28"/>
        </w:rPr>
        <w:t>部分：钢直梯》</w:t>
      </w:r>
      <w:r>
        <w:rPr>
          <w:szCs w:val="28"/>
        </w:rPr>
        <w:t>(GB4053.1-2009)</w:t>
      </w:r>
      <w:r>
        <w:rPr>
          <w:rFonts w:hint="eastAsia"/>
          <w:szCs w:val="28"/>
        </w:rPr>
        <w:t>、《固定式钢梯及平台安全要求第</w:t>
      </w:r>
      <w:r>
        <w:rPr>
          <w:szCs w:val="28"/>
        </w:rPr>
        <w:t>2</w:t>
      </w:r>
      <w:r>
        <w:rPr>
          <w:rFonts w:hint="eastAsia"/>
          <w:szCs w:val="28"/>
        </w:rPr>
        <w:t>部分：钢斜梯》</w:t>
      </w:r>
      <w:r>
        <w:rPr>
          <w:szCs w:val="28"/>
        </w:rPr>
        <w:t>(GB4053.2-2009)</w:t>
      </w:r>
      <w:r>
        <w:rPr>
          <w:rFonts w:hint="eastAsia"/>
          <w:szCs w:val="28"/>
        </w:rPr>
        <w:t>、《固定式钢梯及平台安全要求第</w:t>
      </w:r>
      <w:r>
        <w:rPr>
          <w:szCs w:val="28"/>
        </w:rPr>
        <w:t>3</w:t>
      </w:r>
      <w:r>
        <w:rPr>
          <w:rFonts w:hint="eastAsia"/>
          <w:szCs w:val="28"/>
        </w:rPr>
        <w:t>部分：工业防护栏杆及钢平台》（</w:t>
      </w:r>
      <w:r>
        <w:rPr>
          <w:szCs w:val="28"/>
        </w:rPr>
        <w:t>GB4053.3-2009</w:t>
      </w:r>
      <w:r>
        <w:rPr>
          <w:rFonts w:hint="eastAsia"/>
          <w:szCs w:val="28"/>
        </w:rPr>
        <w:t>）、《</w:t>
      </w:r>
      <w:r>
        <w:rPr>
          <w:rFonts w:hint="eastAsia"/>
          <w:szCs w:val="28"/>
          <w:lang w:eastAsia="zh-CN"/>
        </w:rPr>
        <w:t>机械安全防护装置固定式和活动式防护装置的设计与制造一般要求</w:t>
      </w:r>
      <w:r>
        <w:rPr>
          <w:rFonts w:hint="eastAsia"/>
          <w:szCs w:val="28"/>
        </w:rPr>
        <w:t>》（GB/T8196-2018）等相关标准、规范的要求。</w:t>
      </w:r>
    </w:p>
    <w:bookmarkEnd w:id="1198"/>
    <w:bookmarkEnd w:id="1199"/>
    <w:bookmarkEnd w:id="1200"/>
    <w:p w14:paraId="3BD16A67">
      <w:pPr>
        <w:pStyle w:val="3"/>
        <w:keepNext w:val="0"/>
        <w:keepLines w:val="0"/>
        <w:pageBreakBefore w:val="0"/>
        <w:widowControl w:val="0"/>
        <w:kinsoku/>
        <w:bidi w:val="0"/>
        <w:ind w:left="575" w:leftChars="0" w:hanging="575" w:firstLineChars="0"/>
        <w:rPr>
          <w:rFonts w:hint="eastAsia"/>
        </w:rPr>
      </w:pPr>
      <w:bookmarkStart w:id="1202" w:name="_Toc23405"/>
      <w:bookmarkStart w:id="1203" w:name="_Toc4228"/>
      <w:bookmarkStart w:id="1204" w:name="_Toc55945339"/>
      <w:bookmarkStart w:id="1205" w:name="_Toc46697282"/>
      <w:bookmarkStart w:id="1206" w:name="_Toc60925448"/>
      <w:r>
        <w:rPr>
          <w:rFonts w:hint="eastAsia"/>
        </w:rPr>
        <w:t>工贸行业重大事故隐患判定</w:t>
      </w:r>
      <w:r>
        <w:rPr>
          <w:rFonts w:hint="eastAsia"/>
          <w:lang w:val="en-US" w:eastAsia="zh-CN"/>
        </w:rPr>
        <w:t>单元</w:t>
      </w:r>
      <w:bookmarkEnd w:id="1202"/>
      <w:bookmarkEnd w:id="1203"/>
    </w:p>
    <w:p w14:paraId="40546BFD">
      <w:pPr>
        <w:bidi w:val="0"/>
        <w:rPr>
          <w:rFonts w:hint="eastAsia" w:ascii="宋体" w:hAnsi="宋体" w:eastAsia="宋体" w:cs="Times New Roman"/>
          <w:lang w:eastAsia="zh-CN"/>
        </w:rPr>
      </w:pPr>
      <w:r>
        <w:rPr>
          <w:rFonts w:hint="eastAsia" w:ascii="宋体" w:hAnsi="宋体" w:eastAsia="宋体" w:cs="Times New Roman"/>
        </w:rPr>
        <w:t>根据《工贸企业重大事故隐患判定标准》（中华人民共和国应急管理部令第10号）等国家法规要求，采用安全检查表法对本项目生产工艺和生产设备、设施进行工贸行业重大事故隐患判定，见下表</w:t>
      </w:r>
      <w:r>
        <w:rPr>
          <w:rFonts w:hint="eastAsia" w:ascii="宋体" w:hAnsi="宋体" w:eastAsia="宋体" w:cs="Times New Roman"/>
          <w:lang w:eastAsia="zh-CN"/>
        </w:rPr>
        <w:t>：</w:t>
      </w:r>
    </w:p>
    <w:p w14:paraId="572EBB8A">
      <w:pPr>
        <w:pStyle w:val="12"/>
        <w:keepNext w:val="0"/>
        <w:keepLines w:val="0"/>
        <w:pageBreakBefore w:val="0"/>
        <w:widowControl w:val="0"/>
        <w:kinsoku/>
        <w:wordWrap/>
        <w:bidi w:val="0"/>
        <w:rPr>
          <w:rFonts w:hint="eastAsia"/>
        </w:rPr>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23</w:t>
      </w:r>
      <w:r>
        <w:rPr>
          <w:rFonts w:hint="eastAsia"/>
          <w:lang w:val="en-US" w:eastAsia="zh-CN"/>
        </w:rPr>
        <w:fldChar w:fldCharType="end"/>
      </w:r>
      <w:r>
        <w:rPr>
          <w:rFonts w:hint="eastAsia"/>
        </w:rPr>
        <w:t>工贸行业重大事故隐患判定表</w:t>
      </w:r>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55"/>
        <w:gridCol w:w="2871"/>
        <w:gridCol w:w="2274"/>
        <w:gridCol w:w="1630"/>
        <w:gridCol w:w="1193"/>
      </w:tblGrid>
      <w:tr w14:paraId="4BA625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326" w:type="pct"/>
            <w:tcBorders>
              <w:tl2br w:val="nil"/>
              <w:tr2bl w:val="nil"/>
            </w:tcBorders>
            <w:noWrap w:val="0"/>
            <w:vAlign w:val="center"/>
          </w:tcPr>
          <w:p w14:paraId="7642B567">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1684" w:type="pct"/>
            <w:tcBorders>
              <w:tl2br w:val="nil"/>
              <w:tr2bl w:val="nil"/>
            </w:tcBorders>
            <w:noWrap w:val="0"/>
            <w:vAlign w:val="center"/>
          </w:tcPr>
          <w:p w14:paraId="75FF9CA5">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检查内容</w:t>
            </w:r>
          </w:p>
        </w:tc>
        <w:tc>
          <w:tcPr>
            <w:tcW w:w="1334" w:type="pct"/>
            <w:tcBorders>
              <w:tl2br w:val="nil"/>
              <w:tr2bl w:val="nil"/>
            </w:tcBorders>
            <w:noWrap w:val="0"/>
            <w:vAlign w:val="center"/>
          </w:tcPr>
          <w:p w14:paraId="3B668B53">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依据标准</w:t>
            </w:r>
          </w:p>
        </w:tc>
        <w:tc>
          <w:tcPr>
            <w:tcW w:w="956" w:type="pct"/>
            <w:tcBorders>
              <w:tl2br w:val="nil"/>
              <w:tr2bl w:val="nil"/>
            </w:tcBorders>
            <w:noWrap w:val="0"/>
            <w:vAlign w:val="center"/>
          </w:tcPr>
          <w:p w14:paraId="1BEF9103">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检查情况</w:t>
            </w:r>
          </w:p>
        </w:tc>
        <w:tc>
          <w:tcPr>
            <w:tcW w:w="699" w:type="pct"/>
            <w:tcBorders>
              <w:tl2br w:val="nil"/>
              <w:tr2bl w:val="nil"/>
            </w:tcBorders>
            <w:noWrap w:val="0"/>
            <w:vAlign w:val="center"/>
          </w:tcPr>
          <w:p w14:paraId="00242C4C">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是否为重大事故隐患</w:t>
            </w:r>
          </w:p>
        </w:tc>
      </w:tr>
      <w:tr w14:paraId="5F366E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000" w:type="pct"/>
            <w:gridSpan w:val="5"/>
            <w:tcBorders>
              <w:tl2br w:val="nil"/>
              <w:tr2bl w:val="nil"/>
            </w:tcBorders>
            <w:noWrap w:val="0"/>
            <w:vAlign w:val="center"/>
          </w:tcPr>
          <w:p w14:paraId="60EC5F6C">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both"/>
              <w:rPr>
                <w:rFonts w:hint="eastAsia" w:ascii="宋体" w:hAnsi="宋体" w:eastAsia="宋体" w:cs="宋体"/>
                <w:sz w:val="21"/>
                <w:szCs w:val="21"/>
              </w:rPr>
            </w:pPr>
            <w:r>
              <w:rPr>
                <w:rFonts w:hint="eastAsia" w:ascii="宋体" w:hAnsi="宋体" w:eastAsia="宋体" w:cs="宋体"/>
                <w:bCs/>
                <w:sz w:val="21"/>
                <w:szCs w:val="21"/>
              </w:rPr>
              <w:t>第三条工贸企业有下列情形之一的，应当判定为重大事故隐患：</w:t>
            </w:r>
          </w:p>
        </w:tc>
      </w:tr>
      <w:tr w14:paraId="6F31C8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noWrap w:val="0"/>
            <w:vAlign w:val="center"/>
          </w:tcPr>
          <w:p w14:paraId="1398424F">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Cs/>
                <w:sz w:val="21"/>
                <w:szCs w:val="21"/>
              </w:rPr>
            </w:pPr>
            <w:r>
              <w:rPr>
                <w:rFonts w:hint="eastAsia" w:ascii="宋体" w:hAnsi="宋体" w:eastAsia="宋体" w:cs="宋体"/>
                <w:bCs/>
                <w:sz w:val="21"/>
                <w:szCs w:val="21"/>
              </w:rPr>
              <w:t>1</w:t>
            </w:r>
          </w:p>
        </w:tc>
        <w:tc>
          <w:tcPr>
            <w:tcW w:w="1684" w:type="pct"/>
            <w:tcBorders>
              <w:tl2br w:val="nil"/>
              <w:tr2bl w:val="nil"/>
            </w:tcBorders>
            <w:noWrap w:val="0"/>
            <w:vAlign w:val="center"/>
          </w:tcPr>
          <w:p w14:paraId="3F015FB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kern w:val="0"/>
                <w:sz w:val="21"/>
                <w:szCs w:val="21"/>
              </w:rPr>
            </w:pPr>
            <w:r>
              <w:rPr>
                <w:rFonts w:hint="eastAsia" w:ascii="宋体" w:hAnsi="宋体" w:eastAsia="宋体" w:cs="宋体"/>
                <w:bCs/>
                <w:sz w:val="21"/>
                <w:szCs w:val="21"/>
              </w:rPr>
              <w:t>（一）未对承包单位、承租单位的安全生产工作统一协调、管理，或者未定期进行安全检查的。</w:t>
            </w:r>
          </w:p>
        </w:tc>
        <w:tc>
          <w:tcPr>
            <w:tcW w:w="1334" w:type="pct"/>
            <w:tcBorders>
              <w:tl2br w:val="nil"/>
              <w:tr2bl w:val="nil"/>
            </w:tcBorders>
            <w:noWrap w:val="0"/>
            <w:vAlign w:val="center"/>
          </w:tcPr>
          <w:p w14:paraId="5003E8C2">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《工贸企业重大事故隐患判定标准》（中华人民共和国应急管理部令第10号）</w:t>
            </w:r>
          </w:p>
        </w:tc>
        <w:tc>
          <w:tcPr>
            <w:tcW w:w="956" w:type="pct"/>
            <w:tcBorders>
              <w:tl2br w:val="nil"/>
              <w:tr2bl w:val="nil"/>
            </w:tcBorders>
            <w:noWrap w:val="0"/>
            <w:vAlign w:val="center"/>
          </w:tcPr>
          <w:p w14:paraId="32CF21A1">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left"/>
              <w:rPr>
                <w:rFonts w:hint="default" w:ascii="宋体" w:hAnsi="宋体" w:eastAsia="宋体" w:cs="宋体"/>
                <w:sz w:val="21"/>
                <w:szCs w:val="21"/>
                <w:lang w:val="en-US" w:eastAsia="zh-CN"/>
              </w:rPr>
            </w:pPr>
            <w:r>
              <w:rPr>
                <w:rFonts w:hint="eastAsia" w:cs="宋体"/>
                <w:sz w:val="21"/>
                <w:szCs w:val="21"/>
                <w:lang w:val="en-US" w:eastAsia="zh-CN"/>
              </w:rPr>
              <w:t>企业与</w:t>
            </w:r>
            <w:r>
              <w:rPr>
                <w:rFonts w:hint="eastAsia" w:ascii="宋体" w:hAnsi="宋体" w:eastAsia="宋体" w:cs="宋体"/>
                <w:bCs/>
                <w:sz w:val="21"/>
                <w:szCs w:val="21"/>
              </w:rPr>
              <w:t>承包单位</w:t>
            </w:r>
            <w:r>
              <w:rPr>
                <w:rFonts w:hint="eastAsia" w:cs="宋体"/>
                <w:bCs/>
                <w:sz w:val="21"/>
                <w:szCs w:val="21"/>
                <w:lang w:val="en-US" w:eastAsia="zh-CN"/>
              </w:rPr>
              <w:t>签订了安全生产管理协议；</w:t>
            </w:r>
            <w:r>
              <w:rPr>
                <w:rFonts w:hint="eastAsia" w:cs="宋体"/>
                <w:sz w:val="21"/>
                <w:szCs w:val="21"/>
                <w:lang w:val="en-US" w:eastAsia="zh-CN"/>
              </w:rPr>
              <w:t>对相关方作业人员进行安全告知；</w:t>
            </w:r>
            <w:r>
              <w:rPr>
                <w:rFonts w:hint="eastAsia" w:ascii="宋体" w:hAnsi="宋体" w:eastAsia="宋体" w:cs="宋体"/>
                <w:bCs/>
                <w:sz w:val="21"/>
                <w:szCs w:val="21"/>
              </w:rPr>
              <w:t>安全生产工作统一协调、管理，</w:t>
            </w:r>
            <w:r>
              <w:rPr>
                <w:rFonts w:hint="eastAsia" w:ascii="宋体" w:hAnsi="宋体" w:eastAsia="宋体" w:cs="宋体"/>
                <w:sz w:val="21"/>
                <w:szCs w:val="21"/>
              </w:rPr>
              <w:t>进行定期检查。</w:t>
            </w:r>
          </w:p>
        </w:tc>
        <w:tc>
          <w:tcPr>
            <w:tcW w:w="699" w:type="pct"/>
            <w:tcBorders>
              <w:tl2br w:val="nil"/>
              <w:tr2bl w:val="nil"/>
            </w:tcBorders>
            <w:noWrap w:val="0"/>
            <w:vAlign w:val="center"/>
          </w:tcPr>
          <w:p w14:paraId="0FF64BE0">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否</w:t>
            </w:r>
          </w:p>
        </w:tc>
      </w:tr>
      <w:tr w14:paraId="6E51C8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noWrap w:val="0"/>
            <w:vAlign w:val="center"/>
          </w:tcPr>
          <w:p w14:paraId="56B7167B">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Cs/>
                <w:sz w:val="21"/>
                <w:szCs w:val="21"/>
              </w:rPr>
            </w:pPr>
            <w:r>
              <w:rPr>
                <w:rFonts w:hint="eastAsia" w:ascii="宋体" w:hAnsi="宋体" w:eastAsia="宋体" w:cs="宋体"/>
                <w:bCs/>
                <w:sz w:val="21"/>
                <w:szCs w:val="21"/>
              </w:rPr>
              <w:t>2</w:t>
            </w:r>
          </w:p>
        </w:tc>
        <w:tc>
          <w:tcPr>
            <w:tcW w:w="1684" w:type="pct"/>
            <w:tcBorders>
              <w:tl2br w:val="nil"/>
              <w:tr2bl w:val="nil"/>
            </w:tcBorders>
            <w:noWrap w:val="0"/>
            <w:vAlign w:val="center"/>
          </w:tcPr>
          <w:p w14:paraId="4F41182F">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kern w:val="0"/>
                <w:sz w:val="21"/>
                <w:szCs w:val="21"/>
              </w:rPr>
            </w:pPr>
            <w:r>
              <w:rPr>
                <w:rFonts w:hint="eastAsia" w:ascii="宋体" w:hAnsi="宋体" w:eastAsia="宋体" w:cs="宋体"/>
                <w:bCs/>
                <w:sz w:val="21"/>
                <w:szCs w:val="21"/>
              </w:rPr>
              <w:t>（二）特种作业人员未按照规定经专门的安全作业培训并取得相应资格，上岗作业的；</w:t>
            </w:r>
          </w:p>
        </w:tc>
        <w:tc>
          <w:tcPr>
            <w:tcW w:w="1334" w:type="pct"/>
            <w:tcBorders>
              <w:tl2br w:val="nil"/>
              <w:tr2bl w:val="nil"/>
            </w:tcBorders>
            <w:noWrap w:val="0"/>
            <w:vAlign w:val="center"/>
          </w:tcPr>
          <w:p w14:paraId="70FBD45C">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《工贸企业重大事故隐患判定标准》（中华人民共和国应急管理部令第10号）</w:t>
            </w:r>
          </w:p>
        </w:tc>
        <w:tc>
          <w:tcPr>
            <w:tcW w:w="956" w:type="pct"/>
            <w:tcBorders>
              <w:tl2br w:val="nil"/>
              <w:tr2bl w:val="nil"/>
            </w:tcBorders>
            <w:noWrap w:val="0"/>
            <w:vAlign w:val="center"/>
          </w:tcPr>
          <w:p w14:paraId="27908C1C">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left"/>
              <w:rPr>
                <w:rFonts w:hint="eastAsia" w:ascii="宋体" w:hAnsi="宋体" w:eastAsia="宋体" w:cs="宋体"/>
                <w:sz w:val="21"/>
                <w:szCs w:val="21"/>
              </w:rPr>
            </w:pPr>
            <w:r>
              <w:rPr>
                <w:rFonts w:hint="eastAsia" w:ascii="宋体" w:hAnsi="宋体" w:eastAsia="宋体" w:cs="宋体"/>
                <w:sz w:val="21"/>
                <w:szCs w:val="21"/>
              </w:rPr>
              <w:t>特种作业电工、焊工持证上岗。</w:t>
            </w:r>
          </w:p>
        </w:tc>
        <w:tc>
          <w:tcPr>
            <w:tcW w:w="699" w:type="pct"/>
            <w:tcBorders>
              <w:tl2br w:val="nil"/>
              <w:tr2bl w:val="nil"/>
            </w:tcBorders>
            <w:noWrap w:val="0"/>
            <w:vAlign w:val="center"/>
          </w:tcPr>
          <w:p w14:paraId="4A95E788">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否</w:t>
            </w:r>
          </w:p>
        </w:tc>
      </w:tr>
      <w:tr w14:paraId="635065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noWrap w:val="0"/>
            <w:vAlign w:val="center"/>
          </w:tcPr>
          <w:p w14:paraId="4D3F7146">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Cs/>
                <w:sz w:val="21"/>
                <w:szCs w:val="21"/>
              </w:rPr>
            </w:pPr>
            <w:r>
              <w:rPr>
                <w:rFonts w:hint="eastAsia" w:ascii="宋体" w:hAnsi="宋体" w:eastAsia="宋体" w:cs="宋体"/>
                <w:bCs/>
                <w:sz w:val="21"/>
                <w:szCs w:val="21"/>
              </w:rPr>
              <w:t>3</w:t>
            </w:r>
          </w:p>
        </w:tc>
        <w:tc>
          <w:tcPr>
            <w:tcW w:w="1684" w:type="pct"/>
            <w:tcBorders>
              <w:tl2br w:val="nil"/>
              <w:tr2bl w:val="nil"/>
            </w:tcBorders>
            <w:noWrap w:val="0"/>
            <w:vAlign w:val="center"/>
          </w:tcPr>
          <w:p w14:paraId="52BBEFA3">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kern w:val="0"/>
                <w:sz w:val="21"/>
                <w:szCs w:val="21"/>
              </w:rPr>
            </w:pPr>
            <w:r>
              <w:rPr>
                <w:rFonts w:hint="eastAsia" w:ascii="宋体" w:hAnsi="宋体" w:eastAsia="宋体" w:cs="宋体"/>
                <w:bCs/>
                <w:sz w:val="21"/>
                <w:szCs w:val="21"/>
              </w:rPr>
              <w:t>（三）金属冶炼企业主要负责人、安全生产管理人员未按照规定经考核合格的。</w:t>
            </w:r>
          </w:p>
        </w:tc>
        <w:tc>
          <w:tcPr>
            <w:tcW w:w="1334" w:type="pct"/>
            <w:tcBorders>
              <w:tl2br w:val="nil"/>
              <w:tr2bl w:val="nil"/>
            </w:tcBorders>
            <w:noWrap w:val="0"/>
            <w:vAlign w:val="center"/>
          </w:tcPr>
          <w:p w14:paraId="01F222BD">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《工贸企业重大事故隐患判定标准》（中华人民共和国应急管理部令第10号）</w:t>
            </w:r>
          </w:p>
        </w:tc>
        <w:tc>
          <w:tcPr>
            <w:tcW w:w="956" w:type="pct"/>
            <w:tcBorders>
              <w:tl2br w:val="nil"/>
              <w:tr2bl w:val="nil"/>
            </w:tcBorders>
            <w:noWrap w:val="0"/>
            <w:vAlign w:val="center"/>
          </w:tcPr>
          <w:p w14:paraId="33B2DC81">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不涉及</w:t>
            </w:r>
          </w:p>
        </w:tc>
        <w:tc>
          <w:tcPr>
            <w:tcW w:w="699" w:type="pct"/>
            <w:tcBorders>
              <w:tl2br w:val="nil"/>
              <w:tr2bl w:val="nil"/>
            </w:tcBorders>
            <w:noWrap w:val="0"/>
            <w:vAlign w:val="center"/>
          </w:tcPr>
          <w:p w14:paraId="0652D601">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不涉及</w:t>
            </w:r>
          </w:p>
        </w:tc>
      </w:tr>
      <w:tr w14:paraId="3AABA0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5000" w:type="pct"/>
            <w:gridSpan w:val="5"/>
            <w:tcBorders>
              <w:tl2br w:val="nil"/>
              <w:tr2bl w:val="nil"/>
            </w:tcBorders>
            <w:noWrap w:val="0"/>
            <w:vAlign w:val="center"/>
          </w:tcPr>
          <w:p w14:paraId="2E857CD4">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bCs/>
                <w:sz w:val="21"/>
                <w:szCs w:val="21"/>
              </w:rPr>
              <w:t>第</w:t>
            </w:r>
            <w:r>
              <w:rPr>
                <w:rFonts w:hint="eastAsia" w:cs="宋体"/>
                <w:bCs/>
                <w:sz w:val="21"/>
                <w:szCs w:val="21"/>
                <w:lang w:val="en-US" w:eastAsia="zh-CN"/>
              </w:rPr>
              <w:t>六</w:t>
            </w:r>
            <w:r>
              <w:rPr>
                <w:rFonts w:hint="eastAsia" w:ascii="宋体" w:hAnsi="宋体" w:eastAsia="宋体" w:cs="宋体"/>
                <w:bCs/>
                <w:sz w:val="21"/>
                <w:szCs w:val="21"/>
              </w:rPr>
              <w:t>条</w:t>
            </w:r>
            <w:r>
              <w:rPr>
                <w:rFonts w:hint="eastAsia" w:cs="宋体"/>
                <w:bCs/>
                <w:sz w:val="21"/>
                <w:szCs w:val="21"/>
                <w:lang w:val="en-US" w:eastAsia="zh-CN"/>
              </w:rPr>
              <w:t xml:space="preserve"> 建材</w:t>
            </w:r>
            <w:r>
              <w:rPr>
                <w:rFonts w:hint="eastAsia" w:ascii="宋体" w:hAnsi="宋体" w:eastAsia="宋体" w:cs="宋体"/>
                <w:bCs/>
                <w:sz w:val="21"/>
                <w:szCs w:val="21"/>
              </w:rPr>
              <w:t>企业有下列情形之一的，应当判定为重大事故隐患：</w:t>
            </w:r>
          </w:p>
        </w:tc>
      </w:tr>
      <w:tr w14:paraId="50F2DC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noWrap w:val="0"/>
            <w:vAlign w:val="center"/>
          </w:tcPr>
          <w:p w14:paraId="4BA27049">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Cs/>
                <w:sz w:val="21"/>
                <w:szCs w:val="21"/>
              </w:rPr>
            </w:pPr>
            <w:r>
              <w:rPr>
                <w:rFonts w:hint="eastAsia" w:ascii="宋体" w:hAnsi="宋体" w:eastAsia="宋体" w:cs="宋体"/>
                <w:bCs/>
                <w:sz w:val="21"/>
                <w:szCs w:val="21"/>
              </w:rPr>
              <w:t>1</w:t>
            </w:r>
          </w:p>
        </w:tc>
        <w:tc>
          <w:tcPr>
            <w:tcW w:w="1684" w:type="pct"/>
            <w:tcBorders>
              <w:tl2br w:val="nil"/>
              <w:tr2bl w:val="nil"/>
            </w:tcBorders>
            <w:noWrap w:val="0"/>
            <w:vAlign w:val="center"/>
          </w:tcPr>
          <w:p w14:paraId="26DB55C2">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（一）煤磨袋式收尘器、煤粉仓未设置温度和固定式一氧化碳浓度监测报警装置，或者未设置气体灭火装置的；</w:t>
            </w:r>
          </w:p>
        </w:tc>
        <w:tc>
          <w:tcPr>
            <w:tcW w:w="1334" w:type="pct"/>
            <w:tcBorders>
              <w:tl2br w:val="nil"/>
              <w:tr2bl w:val="nil"/>
            </w:tcBorders>
            <w:noWrap w:val="0"/>
            <w:vAlign w:val="center"/>
          </w:tcPr>
          <w:p w14:paraId="6BD0E3E6">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《工贸企业重大事故隐患判定标准》（中华人民共和国应急管理部令第10号）</w:t>
            </w:r>
          </w:p>
        </w:tc>
        <w:tc>
          <w:tcPr>
            <w:tcW w:w="956" w:type="pct"/>
            <w:tcBorders>
              <w:tl2br w:val="nil"/>
              <w:tr2bl w:val="nil"/>
            </w:tcBorders>
            <w:noWrap w:val="0"/>
            <w:vAlign w:val="center"/>
          </w:tcPr>
          <w:p w14:paraId="6E31880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不涉及</w:t>
            </w:r>
          </w:p>
        </w:tc>
        <w:tc>
          <w:tcPr>
            <w:tcW w:w="699" w:type="pct"/>
            <w:tcBorders>
              <w:tl2br w:val="nil"/>
              <w:tr2bl w:val="nil"/>
            </w:tcBorders>
            <w:noWrap w:val="0"/>
            <w:vAlign w:val="center"/>
          </w:tcPr>
          <w:p w14:paraId="78957BDF">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不涉及</w:t>
            </w:r>
          </w:p>
        </w:tc>
      </w:tr>
      <w:tr w14:paraId="5C8DCA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noWrap w:val="0"/>
            <w:vAlign w:val="center"/>
          </w:tcPr>
          <w:p w14:paraId="768BC302">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Cs/>
                <w:sz w:val="21"/>
                <w:szCs w:val="21"/>
              </w:rPr>
            </w:pPr>
            <w:r>
              <w:rPr>
                <w:rFonts w:hint="eastAsia" w:ascii="宋体" w:hAnsi="宋体" w:eastAsia="宋体" w:cs="宋体"/>
                <w:bCs/>
                <w:sz w:val="21"/>
                <w:szCs w:val="21"/>
              </w:rPr>
              <w:t>2</w:t>
            </w:r>
          </w:p>
        </w:tc>
        <w:tc>
          <w:tcPr>
            <w:tcW w:w="1684" w:type="pct"/>
            <w:tcBorders>
              <w:tl2br w:val="nil"/>
              <w:tr2bl w:val="nil"/>
            </w:tcBorders>
            <w:noWrap w:val="0"/>
            <w:vAlign w:val="center"/>
          </w:tcPr>
          <w:p w14:paraId="22CB235D">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（二）筒型储库人工清库作业未落实清库方案中防止高处坠落、坍塌等安全措施的；</w:t>
            </w:r>
          </w:p>
        </w:tc>
        <w:tc>
          <w:tcPr>
            <w:tcW w:w="1334" w:type="pct"/>
            <w:tcBorders>
              <w:tl2br w:val="nil"/>
              <w:tr2bl w:val="nil"/>
            </w:tcBorders>
            <w:noWrap w:val="0"/>
            <w:vAlign w:val="center"/>
          </w:tcPr>
          <w:p w14:paraId="0DBD3414">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《工贸企业重大事故隐患判定标准》（中华人民共和国应急管理部令第10号）</w:t>
            </w:r>
          </w:p>
        </w:tc>
        <w:tc>
          <w:tcPr>
            <w:tcW w:w="956" w:type="pct"/>
            <w:tcBorders>
              <w:tl2br w:val="nil"/>
              <w:tr2bl w:val="nil"/>
            </w:tcBorders>
            <w:noWrap w:val="0"/>
            <w:vAlign w:val="center"/>
          </w:tcPr>
          <w:p w14:paraId="693E9442">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不涉及</w:t>
            </w:r>
          </w:p>
        </w:tc>
        <w:tc>
          <w:tcPr>
            <w:tcW w:w="699" w:type="pct"/>
            <w:tcBorders>
              <w:tl2br w:val="nil"/>
              <w:tr2bl w:val="nil"/>
            </w:tcBorders>
            <w:noWrap w:val="0"/>
            <w:vAlign w:val="center"/>
          </w:tcPr>
          <w:p w14:paraId="1E2B8C4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不涉及</w:t>
            </w:r>
          </w:p>
        </w:tc>
      </w:tr>
      <w:tr w14:paraId="20F831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noWrap w:val="0"/>
            <w:vAlign w:val="center"/>
          </w:tcPr>
          <w:p w14:paraId="381FC7C6">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Cs/>
                <w:sz w:val="21"/>
                <w:szCs w:val="21"/>
              </w:rPr>
            </w:pPr>
            <w:r>
              <w:rPr>
                <w:rFonts w:hint="eastAsia" w:ascii="宋体" w:hAnsi="宋体" w:eastAsia="宋体" w:cs="宋体"/>
                <w:bCs/>
                <w:sz w:val="21"/>
                <w:szCs w:val="21"/>
              </w:rPr>
              <w:t>3</w:t>
            </w:r>
          </w:p>
        </w:tc>
        <w:tc>
          <w:tcPr>
            <w:tcW w:w="1684" w:type="pct"/>
            <w:tcBorders>
              <w:tl2br w:val="nil"/>
              <w:tr2bl w:val="nil"/>
            </w:tcBorders>
            <w:noWrap w:val="0"/>
            <w:vAlign w:val="center"/>
          </w:tcPr>
          <w:p w14:paraId="0C3C40B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（三）水泥企业电石渣原料筒型储库未设置固定式可燃气体浓度监测报警装置，或者监测报警装置未与事故通风装置联锁的；</w:t>
            </w:r>
          </w:p>
        </w:tc>
        <w:tc>
          <w:tcPr>
            <w:tcW w:w="1334" w:type="pct"/>
            <w:tcBorders>
              <w:tl2br w:val="nil"/>
              <w:tr2bl w:val="nil"/>
            </w:tcBorders>
            <w:noWrap w:val="0"/>
            <w:vAlign w:val="center"/>
          </w:tcPr>
          <w:p w14:paraId="1877E62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《工贸企业重大事故隐患判定标准》（中华人民共和国应急管理部令第10号）</w:t>
            </w:r>
          </w:p>
        </w:tc>
        <w:tc>
          <w:tcPr>
            <w:tcW w:w="956" w:type="pct"/>
            <w:tcBorders>
              <w:tl2br w:val="nil"/>
              <w:tr2bl w:val="nil"/>
            </w:tcBorders>
            <w:noWrap w:val="0"/>
            <w:vAlign w:val="center"/>
          </w:tcPr>
          <w:p w14:paraId="0230D65F">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不涉及</w:t>
            </w:r>
          </w:p>
        </w:tc>
        <w:tc>
          <w:tcPr>
            <w:tcW w:w="699" w:type="pct"/>
            <w:tcBorders>
              <w:tl2br w:val="nil"/>
              <w:tr2bl w:val="nil"/>
            </w:tcBorders>
            <w:noWrap w:val="0"/>
            <w:vAlign w:val="center"/>
          </w:tcPr>
          <w:p w14:paraId="6EA6D4F3">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不涉及</w:t>
            </w:r>
          </w:p>
        </w:tc>
      </w:tr>
      <w:tr w14:paraId="3C768A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noWrap w:val="0"/>
            <w:vAlign w:val="center"/>
          </w:tcPr>
          <w:p w14:paraId="2335A215">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Cs/>
                <w:sz w:val="21"/>
                <w:szCs w:val="21"/>
              </w:rPr>
            </w:pPr>
            <w:r>
              <w:rPr>
                <w:rFonts w:hint="eastAsia" w:ascii="宋体" w:hAnsi="宋体" w:eastAsia="宋体" w:cs="宋体"/>
                <w:bCs/>
                <w:sz w:val="21"/>
                <w:szCs w:val="21"/>
              </w:rPr>
              <w:t>4</w:t>
            </w:r>
          </w:p>
        </w:tc>
        <w:tc>
          <w:tcPr>
            <w:tcW w:w="1684" w:type="pct"/>
            <w:tcBorders>
              <w:tl2br w:val="nil"/>
              <w:tr2bl w:val="nil"/>
            </w:tcBorders>
            <w:noWrap w:val="0"/>
            <w:vAlign w:val="center"/>
          </w:tcPr>
          <w:p w14:paraId="506F995D">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四）进入筒型储库、焙烧窑、预热器旋风筒、分解炉、竖炉、篦冷机、磨机、破碎机前，未对可能意外启动的设备和涌入的物料、高温气体、有毒有害气体等采取隔离措施，或者未落实防止高处坠落、坍塌等安全措施的；</w:t>
            </w:r>
          </w:p>
        </w:tc>
        <w:tc>
          <w:tcPr>
            <w:tcW w:w="1334" w:type="pct"/>
            <w:tcBorders>
              <w:tl2br w:val="nil"/>
              <w:tr2bl w:val="nil"/>
            </w:tcBorders>
            <w:noWrap w:val="0"/>
            <w:vAlign w:val="center"/>
          </w:tcPr>
          <w:p w14:paraId="08D5449B">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《工贸企业重大事故隐患判定标准》（中华人民共和国应急管理部令第10号）</w:t>
            </w:r>
          </w:p>
        </w:tc>
        <w:tc>
          <w:tcPr>
            <w:tcW w:w="1630" w:type="dxa"/>
            <w:tcBorders>
              <w:tl2br w:val="nil"/>
              <w:tr2bl w:val="nil"/>
            </w:tcBorders>
            <w:noWrap w:val="0"/>
            <w:vAlign w:val="center"/>
          </w:tcPr>
          <w:p w14:paraId="2EF33A77">
            <w:pPr>
              <w:keepNext w:val="0"/>
              <w:keepLines w:val="0"/>
              <w:pageBreakBefore w:val="0"/>
              <w:widowControl w:val="0"/>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bCs/>
                <w:sz w:val="21"/>
                <w:szCs w:val="21"/>
              </w:rPr>
            </w:pPr>
            <w:r>
              <w:rPr>
                <w:rFonts w:hint="eastAsia" w:ascii="宋体" w:hAnsi="宋体" w:eastAsia="宋体" w:cs="宋体"/>
                <w:sz w:val="21"/>
                <w:szCs w:val="21"/>
              </w:rPr>
              <w:t>不涉及</w:t>
            </w:r>
          </w:p>
        </w:tc>
        <w:tc>
          <w:tcPr>
            <w:tcW w:w="1193" w:type="dxa"/>
            <w:tcBorders>
              <w:tl2br w:val="nil"/>
              <w:tr2bl w:val="nil"/>
            </w:tcBorders>
            <w:noWrap w:val="0"/>
            <w:vAlign w:val="center"/>
          </w:tcPr>
          <w:p w14:paraId="5EC4B933">
            <w:pPr>
              <w:keepNext w:val="0"/>
              <w:keepLines w:val="0"/>
              <w:pageBreakBefore w:val="0"/>
              <w:widowControl w:val="0"/>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sz w:val="21"/>
                <w:szCs w:val="21"/>
                <w:lang w:eastAsia="zh-CN"/>
              </w:rPr>
            </w:pPr>
            <w:r>
              <w:rPr>
                <w:rFonts w:hint="eastAsia" w:ascii="宋体" w:hAnsi="宋体" w:eastAsia="宋体" w:cs="宋体"/>
                <w:sz w:val="21"/>
                <w:szCs w:val="21"/>
              </w:rPr>
              <w:t>不涉及</w:t>
            </w:r>
          </w:p>
        </w:tc>
      </w:tr>
      <w:tr w14:paraId="57E949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noWrap w:val="0"/>
            <w:vAlign w:val="center"/>
          </w:tcPr>
          <w:p w14:paraId="42EE6DE0">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Cs/>
                <w:sz w:val="21"/>
                <w:szCs w:val="21"/>
              </w:rPr>
            </w:pPr>
            <w:r>
              <w:rPr>
                <w:rFonts w:hint="eastAsia" w:ascii="宋体" w:hAnsi="宋体" w:eastAsia="宋体" w:cs="宋体"/>
                <w:bCs/>
                <w:sz w:val="21"/>
                <w:szCs w:val="21"/>
              </w:rPr>
              <w:t>5</w:t>
            </w:r>
          </w:p>
        </w:tc>
        <w:tc>
          <w:tcPr>
            <w:tcW w:w="1684" w:type="pct"/>
            <w:tcBorders>
              <w:tl2br w:val="nil"/>
              <w:tr2bl w:val="nil"/>
            </w:tcBorders>
            <w:noWrap w:val="0"/>
            <w:vAlign w:val="center"/>
          </w:tcPr>
          <w:p w14:paraId="779D3D80">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（五）采用预混燃烧方式的燃气窑炉（热发生炉煤气窑炉除外）的燃气总管未设置管道压力监测报警装置，或者监测报警装置未与紧急自动切断装置联锁的；</w:t>
            </w:r>
          </w:p>
        </w:tc>
        <w:tc>
          <w:tcPr>
            <w:tcW w:w="1334" w:type="pct"/>
            <w:tcBorders>
              <w:tl2br w:val="nil"/>
              <w:tr2bl w:val="nil"/>
            </w:tcBorders>
            <w:noWrap w:val="0"/>
            <w:vAlign w:val="center"/>
          </w:tcPr>
          <w:p w14:paraId="6A79FEA6">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《工贸企业重大事故隐患判定标准》（中华人民共和国应急管理部令第10号）</w:t>
            </w:r>
          </w:p>
        </w:tc>
        <w:tc>
          <w:tcPr>
            <w:tcW w:w="956" w:type="pct"/>
            <w:tcBorders>
              <w:tl2br w:val="nil"/>
              <w:tr2bl w:val="nil"/>
            </w:tcBorders>
            <w:noWrap w:val="0"/>
            <w:vAlign w:val="center"/>
          </w:tcPr>
          <w:p w14:paraId="3641992C">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不涉及</w:t>
            </w:r>
          </w:p>
        </w:tc>
        <w:tc>
          <w:tcPr>
            <w:tcW w:w="699" w:type="pct"/>
            <w:tcBorders>
              <w:tl2br w:val="nil"/>
              <w:tr2bl w:val="nil"/>
            </w:tcBorders>
            <w:noWrap w:val="0"/>
            <w:vAlign w:val="center"/>
          </w:tcPr>
          <w:p w14:paraId="1E343D9A">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不涉及</w:t>
            </w:r>
          </w:p>
        </w:tc>
      </w:tr>
      <w:tr w14:paraId="15DB48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noWrap w:val="0"/>
            <w:vAlign w:val="center"/>
          </w:tcPr>
          <w:p w14:paraId="748E2010">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Cs/>
                <w:sz w:val="21"/>
                <w:szCs w:val="21"/>
              </w:rPr>
            </w:pPr>
            <w:r>
              <w:rPr>
                <w:rFonts w:hint="eastAsia" w:ascii="宋体" w:hAnsi="宋体" w:eastAsia="宋体" w:cs="宋体"/>
                <w:bCs/>
                <w:sz w:val="21"/>
                <w:szCs w:val="21"/>
              </w:rPr>
              <w:t>6</w:t>
            </w:r>
          </w:p>
        </w:tc>
        <w:tc>
          <w:tcPr>
            <w:tcW w:w="1684" w:type="pct"/>
            <w:tcBorders>
              <w:tl2br w:val="nil"/>
              <w:tr2bl w:val="nil"/>
            </w:tcBorders>
            <w:noWrap w:val="0"/>
            <w:vAlign w:val="center"/>
          </w:tcPr>
          <w:p w14:paraId="7E24B569">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（六）制氢站、氮氢保护气体配气间、燃气配气间等3类场所未设置固定式可燃气体浓度监测报警装置的；</w:t>
            </w:r>
          </w:p>
        </w:tc>
        <w:tc>
          <w:tcPr>
            <w:tcW w:w="1334" w:type="pct"/>
            <w:tcBorders>
              <w:tl2br w:val="nil"/>
              <w:tr2bl w:val="nil"/>
            </w:tcBorders>
            <w:noWrap w:val="0"/>
            <w:vAlign w:val="center"/>
          </w:tcPr>
          <w:p w14:paraId="5BDB2F9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《工贸企业重大事故隐患判定标准》（中华人民共和国应急管理部令第10号）</w:t>
            </w:r>
          </w:p>
        </w:tc>
        <w:tc>
          <w:tcPr>
            <w:tcW w:w="956" w:type="pct"/>
            <w:tcBorders>
              <w:tl2br w:val="nil"/>
              <w:tr2bl w:val="nil"/>
            </w:tcBorders>
            <w:noWrap w:val="0"/>
            <w:vAlign w:val="center"/>
          </w:tcPr>
          <w:p w14:paraId="5202028C">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不涉及</w:t>
            </w:r>
          </w:p>
        </w:tc>
        <w:tc>
          <w:tcPr>
            <w:tcW w:w="699" w:type="pct"/>
            <w:tcBorders>
              <w:tl2br w:val="nil"/>
              <w:tr2bl w:val="nil"/>
            </w:tcBorders>
            <w:noWrap w:val="0"/>
            <w:vAlign w:val="center"/>
          </w:tcPr>
          <w:p w14:paraId="3A289CC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rPr>
            </w:pPr>
            <w:r>
              <w:rPr>
                <w:rFonts w:hint="eastAsia" w:ascii="宋体" w:hAnsi="宋体" w:eastAsia="宋体" w:cs="宋体"/>
                <w:sz w:val="21"/>
                <w:szCs w:val="21"/>
              </w:rPr>
              <w:t>不涉及</w:t>
            </w:r>
          </w:p>
        </w:tc>
      </w:tr>
      <w:tr w14:paraId="2EA804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noWrap w:val="0"/>
            <w:vAlign w:val="center"/>
          </w:tcPr>
          <w:p w14:paraId="2812CED4">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Cs/>
                <w:sz w:val="21"/>
                <w:szCs w:val="21"/>
              </w:rPr>
            </w:pPr>
            <w:r>
              <w:rPr>
                <w:rFonts w:hint="eastAsia" w:ascii="宋体" w:hAnsi="宋体" w:eastAsia="宋体" w:cs="宋体"/>
                <w:bCs/>
                <w:sz w:val="21"/>
                <w:szCs w:val="21"/>
              </w:rPr>
              <w:t>7</w:t>
            </w:r>
          </w:p>
        </w:tc>
        <w:tc>
          <w:tcPr>
            <w:tcW w:w="1684" w:type="pct"/>
            <w:tcBorders>
              <w:tl2br w:val="nil"/>
              <w:tr2bl w:val="nil"/>
            </w:tcBorders>
            <w:noWrap w:val="0"/>
            <w:vAlign w:val="center"/>
          </w:tcPr>
          <w:p w14:paraId="4CB9C882">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（七）电熔制品电炉的水冷设备失效的；</w:t>
            </w:r>
          </w:p>
        </w:tc>
        <w:tc>
          <w:tcPr>
            <w:tcW w:w="1334" w:type="pct"/>
            <w:tcBorders>
              <w:tl2br w:val="nil"/>
              <w:tr2bl w:val="nil"/>
            </w:tcBorders>
            <w:noWrap w:val="0"/>
            <w:vAlign w:val="center"/>
          </w:tcPr>
          <w:p w14:paraId="4FEDD8CC">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《工贸企业重大事故隐患判定标准》（中华人民共和国应急管理部令第10号）</w:t>
            </w:r>
          </w:p>
        </w:tc>
        <w:tc>
          <w:tcPr>
            <w:tcW w:w="956" w:type="pct"/>
            <w:tcBorders>
              <w:tl2br w:val="nil"/>
              <w:tr2bl w:val="nil"/>
            </w:tcBorders>
            <w:noWrap w:val="0"/>
            <w:vAlign w:val="center"/>
          </w:tcPr>
          <w:p w14:paraId="6948355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lef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项目电弧炉的水冷</w:t>
            </w:r>
            <w:r>
              <w:rPr>
                <w:rFonts w:hint="eastAsia" w:cs="宋体"/>
                <w:sz w:val="21"/>
                <w:szCs w:val="21"/>
                <w:lang w:val="en-US" w:eastAsia="zh-CN"/>
              </w:rPr>
              <w:t>元件</w:t>
            </w:r>
            <w:r>
              <w:rPr>
                <w:rFonts w:hint="eastAsia" w:ascii="宋体" w:hAnsi="宋体" w:eastAsia="宋体" w:cs="宋体"/>
                <w:sz w:val="21"/>
                <w:szCs w:val="21"/>
                <w:lang w:val="en-US" w:eastAsia="zh-CN"/>
              </w:rPr>
              <w:t>设备正常运行。</w:t>
            </w:r>
          </w:p>
        </w:tc>
        <w:tc>
          <w:tcPr>
            <w:tcW w:w="699" w:type="pct"/>
            <w:tcBorders>
              <w:tl2br w:val="nil"/>
              <w:tr2bl w:val="nil"/>
            </w:tcBorders>
            <w:noWrap w:val="0"/>
            <w:vAlign w:val="center"/>
          </w:tcPr>
          <w:p w14:paraId="360EEA00">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sz w:val="21"/>
                <w:szCs w:val="21"/>
                <w:lang w:eastAsia="zh-CN"/>
              </w:rPr>
            </w:pPr>
            <w:r>
              <w:rPr>
                <w:rFonts w:hint="eastAsia" w:cs="宋体"/>
                <w:sz w:val="21"/>
                <w:szCs w:val="21"/>
                <w:lang w:val="en-US" w:eastAsia="zh-CN"/>
              </w:rPr>
              <w:t>否</w:t>
            </w:r>
          </w:p>
        </w:tc>
      </w:tr>
      <w:tr w14:paraId="08D9C0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noWrap w:val="0"/>
            <w:vAlign w:val="center"/>
          </w:tcPr>
          <w:p w14:paraId="79F8C884">
            <w:pPr>
              <w:keepNext w:val="0"/>
              <w:keepLines w:val="0"/>
              <w:pageBreakBefore w:val="0"/>
              <w:widowControl w:val="0"/>
              <w:suppressLineNumbers w:val="0"/>
              <w:kinsoku/>
              <w:wordWrap/>
              <w:bidi w:val="0"/>
              <w:adjustRightInd w:val="0"/>
              <w:spacing w:before="0" w:beforeAutospacing="0" w:after="0" w:afterAutospacing="0" w:line="240" w:lineRule="auto"/>
              <w:ind w:left="0" w:right="0" w:firstLine="0" w:firstLineChars="0"/>
              <w:jc w:val="center"/>
              <w:rPr>
                <w:rFonts w:hint="eastAsia" w:ascii="宋体" w:hAnsi="宋体" w:eastAsia="宋体" w:cs="宋体"/>
                <w:bCs/>
                <w:sz w:val="21"/>
                <w:szCs w:val="21"/>
                <w:lang w:val="en-US" w:eastAsia="zh-CN"/>
              </w:rPr>
            </w:pPr>
            <w:r>
              <w:rPr>
                <w:rFonts w:hint="eastAsia" w:cs="宋体"/>
                <w:bCs/>
                <w:sz w:val="21"/>
                <w:szCs w:val="21"/>
                <w:lang w:val="en-US" w:eastAsia="zh-CN"/>
              </w:rPr>
              <w:t>8</w:t>
            </w:r>
          </w:p>
        </w:tc>
        <w:tc>
          <w:tcPr>
            <w:tcW w:w="1684" w:type="pct"/>
            <w:tcBorders>
              <w:tl2br w:val="nil"/>
              <w:tr2bl w:val="nil"/>
            </w:tcBorders>
            <w:noWrap w:val="0"/>
            <w:vAlign w:val="center"/>
          </w:tcPr>
          <w:p w14:paraId="521BE224">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（八）玻璃窑炉、玻璃锡槽等设备未设置水冷和风冷保护系统的监测报警装置的。</w:t>
            </w:r>
          </w:p>
        </w:tc>
        <w:tc>
          <w:tcPr>
            <w:tcW w:w="1334" w:type="pct"/>
            <w:tcBorders>
              <w:tl2br w:val="nil"/>
              <w:tr2bl w:val="nil"/>
            </w:tcBorders>
            <w:noWrap w:val="0"/>
            <w:vAlign w:val="center"/>
          </w:tcPr>
          <w:p w14:paraId="03CA131D">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《工贸企业重大事故隐患判定标准》（中华人民共和国应急管理部令第10号）</w:t>
            </w:r>
          </w:p>
        </w:tc>
        <w:tc>
          <w:tcPr>
            <w:tcW w:w="956" w:type="pct"/>
            <w:tcBorders>
              <w:tl2br w:val="nil"/>
              <w:tr2bl w:val="nil"/>
            </w:tcBorders>
            <w:noWrap w:val="0"/>
            <w:vAlign w:val="center"/>
          </w:tcPr>
          <w:p w14:paraId="46D0377D">
            <w:pPr>
              <w:keepNext w:val="0"/>
              <w:keepLines w:val="0"/>
              <w:pageBreakBefore w:val="0"/>
              <w:widowControl w:val="0"/>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不涉及</w:t>
            </w:r>
          </w:p>
        </w:tc>
        <w:tc>
          <w:tcPr>
            <w:tcW w:w="699" w:type="pct"/>
            <w:tcBorders>
              <w:tl2br w:val="nil"/>
              <w:tr2bl w:val="nil"/>
            </w:tcBorders>
            <w:noWrap w:val="0"/>
            <w:vAlign w:val="center"/>
          </w:tcPr>
          <w:p w14:paraId="1AB8701D">
            <w:pPr>
              <w:keepNext w:val="0"/>
              <w:keepLines w:val="0"/>
              <w:pageBreakBefore w:val="0"/>
              <w:widowControl w:val="0"/>
              <w:suppressLineNumbers w:val="0"/>
              <w:kinsoku/>
              <w:wordWrap/>
              <w:bidi w:val="0"/>
              <w:spacing w:before="0" w:beforeAutospacing="0" w:after="0" w:afterAutospacing="0" w:line="280" w:lineRule="exact"/>
              <w:ind w:left="0" w:leftChars="0" w:right="0" w:rightChars="0"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不涉及</w:t>
            </w:r>
          </w:p>
        </w:tc>
      </w:tr>
      <w:tr w14:paraId="198487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tcBorders>
              <w:tl2br w:val="nil"/>
              <w:tr2bl w:val="nil"/>
            </w:tcBorders>
            <w:noWrap w:val="0"/>
            <w:vAlign w:val="center"/>
          </w:tcPr>
          <w:p w14:paraId="0E3FFEB8">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sz w:val="21"/>
                <w:szCs w:val="21"/>
              </w:rPr>
            </w:pPr>
            <w:r>
              <w:rPr>
                <w:rFonts w:hint="eastAsia" w:ascii="宋体" w:hAnsi="宋体" w:eastAsia="宋体" w:cs="宋体"/>
                <w:bCs/>
                <w:sz w:val="21"/>
                <w:szCs w:val="21"/>
              </w:rPr>
              <w:t>第十三条</w:t>
            </w:r>
            <w:r>
              <w:rPr>
                <w:rFonts w:hint="eastAsia" w:cs="宋体"/>
                <w:bCs/>
                <w:sz w:val="21"/>
                <w:szCs w:val="21"/>
                <w:lang w:val="en-US" w:eastAsia="zh-CN"/>
              </w:rPr>
              <w:t xml:space="preserve"> </w:t>
            </w:r>
            <w:r>
              <w:rPr>
                <w:rFonts w:hint="eastAsia" w:ascii="宋体" w:hAnsi="宋体" w:eastAsia="宋体" w:cs="宋体"/>
                <w:bCs/>
                <w:sz w:val="21"/>
                <w:szCs w:val="21"/>
              </w:rPr>
              <w:t>存在硫化氢、一氧化碳等中毒风险的有限空间作业的工贸企业有下列情形之一的，应当判定为重大事故隐患：</w:t>
            </w:r>
          </w:p>
        </w:tc>
      </w:tr>
      <w:tr w14:paraId="6CDB4C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noWrap w:val="0"/>
            <w:vAlign w:val="center"/>
          </w:tcPr>
          <w:p w14:paraId="0473D6A2">
            <w:pPr>
              <w:keepNext w:val="0"/>
              <w:keepLines w:val="0"/>
              <w:pageBreakBefore w:val="0"/>
              <w:widowControl w:val="0"/>
              <w:numPr>
                <w:ilvl w:val="0"/>
                <w:numId w:val="137"/>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Cs/>
                <w:sz w:val="21"/>
                <w:szCs w:val="21"/>
              </w:rPr>
            </w:pPr>
          </w:p>
        </w:tc>
        <w:tc>
          <w:tcPr>
            <w:tcW w:w="1684" w:type="pct"/>
            <w:tcBorders>
              <w:tl2br w:val="nil"/>
              <w:tr2bl w:val="nil"/>
            </w:tcBorders>
            <w:noWrap w:val="0"/>
            <w:vAlign w:val="center"/>
          </w:tcPr>
          <w:p w14:paraId="650CE02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（一）未对有限空间进行辨识、建立安全管理台账，并且未设置明显的安全警示标志的；</w:t>
            </w:r>
          </w:p>
        </w:tc>
        <w:tc>
          <w:tcPr>
            <w:tcW w:w="1334" w:type="pct"/>
            <w:tcBorders>
              <w:tl2br w:val="nil"/>
              <w:tr2bl w:val="nil"/>
            </w:tcBorders>
            <w:noWrap w:val="0"/>
            <w:vAlign w:val="center"/>
          </w:tcPr>
          <w:p w14:paraId="09B21F60">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《工贸企业重大事故隐患判定标准》（中华人民共和国应急管理部令第10号）</w:t>
            </w:r>
          </w:p>
        </w:tc>
        <w:tc>
          <w:tcPr>
            <w:tcW w:w="956" w:type="pct"/>
            <w:tcBorders>
              <w:tl2br w:val="nil"/>
              <w:tr2bl w:val="nil"/>
            </w:tcBorders>
            <w:noWrap w:val="0"/>
            <w:vAlign w:val="center"/>
          </w:tcPr>
          <w:p w14:paraId="2992D035">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企业对有限空间进行辨识、建立安全管理台账，设置了安全警示标志。</w:t>
            </w:r>
          </w:p>
        </w:tc>
        <w:tc>
          <w:tcPr>
            <w:tcW w:w="699" w:type="pct"/>
            <w:tcBorders>
              <w:tl2br w:val="nil"/>
              <w:tr2bl w:val="nil"/>
            </w:tcBorders>
            <w:noWrap w:val="0"/>
            <w:vAlign w:val="center"/>
          </w:tcPr>
          <w:p w14:paraId="1CA04174">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default" w:ascii="宋体" w:hAnsi="宋体" w:eastAsia="宋体" w:cs="宋体"/>
                <w:bCs/>
                <w:sz w:val="21"/>
                <w:szCs w:val="21"/>
                <w:lang w:val="en-US" w:eastAsia="zh-CN"/>
              </w:rPr>
            </w:pPr>
            <w:r>
              <w:rPr>
                <w:rFonts w:hint="eastAsia" w:ascii="宋体" w:hAnsi="宋体" w:eastAsia="宋体" w:cs="宋体"/>
                <w:bCs/>
                <w:sz w:val="21"/>
                <w:szCs w:val="21"/>
                <w:lang w:val="en-US" w:eastAsia="zh-CN"/>
              </w:rPr>
              <w:t>否</w:t>
            </w:r>
          </w:p>
        </w:tc>
      </w:tr>
      <w:tr w14:paraId="5E4927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326" w:type="pct"/>
            <w:tcBorders>
              <w:tl2br w:val="nil"/>
              <w:tr2bl w:val="nil"/>
            </w:tcBorders>
            <w:noWrap w:val="0"/>
            <w:vAlign w:val="center"/>
          </w:tcPr>
          <w:p w14:paraId="7C2AC455">
            <w:pPr>
              <w:keepNext w:val="0"/>
              <w:keepLines w:val="0"/>
              <w:pageBreakBefore w:val="0"/>
              <w:widowControl w:val="0"/>
              <w:numPr>
                <w:ilvl w:val="0"/>
                <w:numId w:val="137"/>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Cs/>
                <w:sz w:val="21"/>
                <w:szCs w:val="21"/>
              </w:rPr>
            </w:pPr>
          </w:p>
        </w:tc>
        <w:tc>
          <w:tcPr>
            <w:tcW w:w="1684" w:type="pct"/>
            <w:tcBorders>
              <w:tl2br w:val="nil"/>
              <w:tr2bl w:val="nil"/>
            </w:tcBorders>
            <w:noWrap w:val="0"/>
            <w:vAlign w:val="center"/>
          </w:tcPr>
          <w:p w14:paraId="46F9660D">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（二）未落实有限空间作业审批，或者未执行“先通风、再检测、后作业”要求，或者作业现场未设置监护人员的。</w:t>
            </w:r>
          </w:p>
        </w:tc>
        <w:tc>
          <w:tcPr>
            <w:tcW w:w="1334" w:type="pct"/>
            <w:tcBorders>
              <w:tl2br w:val="nil"/>
              <w:tr2bl w:val="nil"/>
            </w:tcBorders>
            <w:noWrap w:val="0"/>
            <w:vAlign w:val="center"/>
          </w:tcPr>
          <w:p w14:paraId="7B06DA0E">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《工贸企业重大事故隐患判定标准》（中华人民共和国应急管理部令第10号）</w:t>
            </w:r>
          </w:p>
        </w:tc>
        <w:tc>
          <w:tcPr>
            <w:tcW w:w="956" w:type="pct"/>
            <w:tcBorders>
              <w:tl2br w:val="nil"/>
              <w:tr2bl w:val="nil"/>
            </w:tcBorders>
            <w:noWrap w:val="0"/>
            <w:vAlign w:val="center"/>
          </w:tcPr>
          <w:p w14:paraId="365979C6">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both"/>
              <w:rPr>
                <w:rFonts w:hint="eastAsia" w:ascii="宋体" w:hAnsi="宋体" w:eastAsia="宋体" w:cs="宋体"/>
                <w:bCs/>
                <w:sz w:val="21"/>
                <w:szCs w:val="21"/>
              </w:rPr>
            </w:pPr>
            <w:r>
              <w:rPr>
                <w:rFonts w:hint="eastAsia" w:ascii="宋体" w:hAnsi="宋体" w:eastAsia="宋体" w:cs="宋体"/>
                <w:bCs/>
                <w:sz w:val="21"/>
                <w:szCs w:val="21"/>
              </w:rPr>
              <w:t>企业执行有限空间作业审批制度，执行“先通风、再检测、后作业”要求，作业现场设置监护人员。</w:t>
            </w:r>
          </w:p>
        </w:tc>
        <w:tc>
          <w:tcPr>
            <w:tcW w:w="699" w:type="pct"/>
            <w:tcBorders>
              <w:tl2br w:val="nil"/>
              <w:tr2bl w:val="nil"/>
            </w:tcBorders>
            <w:noWrap w:val="0"/>
            <w:vAlign w:val="center"/>
          </w:tcPr>
          <w:p w14:paraId="5CED1433">
            <w:pPr>
              <w:keepNext w:val="0"/>
              <w:keepLines w:val="0"/>
              <w:pageBreakBefore w:val="0"/>
              <w:widowControl w:val="0"/>
              <w:suppressLineNumbers w:val="0"/>
              <w:kinsoku/>
              <w:wordWrap/>
              <w:bidi w:val="0"/>
              <w:spacing w:before="0" w:beforeAutospacing="0" w:after="0" w:afterAutospacing="0" w:line="280" w:lineRule="exact"/>
              <w:ind w:left="0" w:right="0" w:firstLine="0" w:firstLineChars="0"/>
              <w:jc w:val="center"/>
              <w:rPr>
                <w:rFonts w:hint="eastAsia" w:ascii="宋体" w:hAnsi="宋体" w:eastAsia="宋体" w:cs="宋体"/>
                <w:bCs/>
                <w:sz w:val="21"/>
                <w:szCs w:val="21"/>
              </w:rPr>
            </w:pPr>
            <w:r>
              <w:rPr>
                <w:rFonts w:hint="eastAsia" w:ascii="宋体" w:hAnsi="宋体" w:eastAsia="宋体" w:cs="宋体"/>
                <w:bCs/>
                <w:sz w:val="21"/>
                <w:szCs w:val="21"/>
              </w:rPr>
              <w:t>否</w:t>
            </w:r>
          </w:p>
        </w:tc>
      </w:tr>
    </w:tbl>
    <w:p w14:paraId="087A5A2D">
      <w:pPr>
        <w:bidi w:val="0"/>
      </w:pPr>
      <w:r>
        <w:rPr>
          <w:rFonts w:hint="eastAsia"/>
        </w:rPr>
        <w:t>根据《工贸企业重大事故隐患判定标准》（中华人民共和国应急管理部令第10号）对照检查，企业</w:t>
      </w:r>
      <w:r>
        <w:rPr>
          <w:rFonts w:hint="eastAsia"/>
          <w:lang w:val="en-US" w:eastAsia="zh-CN"/>
        </w:rPr>
        <w:t>未发现</w:t>
      </w:r>
      <w:r>
        <w:rPr>
          <w:rFonts w:hint="eastAsia"/>
        </w:rPr>
        <w:t>重大事故隐患。</w:t>
      </w:r>
    </w:p>
    <w:p w14:paraId="30D02DBA">
      <w:pPr>
        <w:pStyle w:val="3"/>
        <w:bidi w:val="0"/>
      </w:pPr>
      <w:bookmarkStart w:id="1207" w:name="_Toc25047"/>
      <w:bookmarkStart w:id="1208" w:name="_Toc29623"/>
      <w:r>
        <w:rPr>
          <w:rFonts w:hint="eastAsia"/>
        </w:rPr>
        <w:t>安全设施设计中安全对策措施</w:t>
      </w:r>
      <w:bookmarkEnd w:id="1204"/>
      <w:bookmarkEnd w:id="1205"/>
      <w:bookmarkEnd w:id="1206"/>
      <w:bookmarkEnd w:id="1207"/>
      <w:r>
        <w:rPr>
          <w:rFonts w:hint="eastAsia"/>
          <w:lang w:val="en-US" w:eastAsia="zh-CN"/>
        </w:rPr>
        <w:t>建设运行说明单元</w:t>
      </w:r>
      <w:bookmarkEnd w:id="1208"/>
    </w:p>
    <w:p w14:paraId="0574B737">
      <w:pPr>
        <w:bidi w:val="0"/>
        <w:rPr>
          <w:rFonts w:hint="eastAsia" w:ascii="宋体" w:hAnsi="宋体" w:eastAsia="宋体" w:cs="Times New Roman"/>
          <w:lang w:val="en-US" w:eastAsia="zh-CN"/>
        </w:rPr>
      </w:pPr>
      <w:r>
        <w:rPr>
          <w:rFonts w:hint="eastAsia" w:ascii="宋体" w:hAnsi="宋体" w:eastAsia="宋体" w:cs="Times New Roman"/>
        </w:rPr>
        <w:t>《</w:t>
      </w:r>
      <w:r>
        <w:rPr>
          <w:rFonts w:hint="eastAsia" w:ascii="宋体" w:hAnsi="宋体" w:eastAsia="宋体" w:cs="Times New Roman"/>
          <w:lang w:eastAsia="zh-CN"/>
        </w:rPr>
        <w:t>云南东锆新材料有限公司年产3万吨电熔氧化锆陶瓷产业基地建设项目</w:t>
      </w:r>
      <w:r>
        <w:rPr>
          <w:rFonts w:hint="eastAsia" w:ascii="宋体" w:hAnsi="宋体" w:eastAsia="宋体" w:cs="Times New Roman"/>
        </w:rPr>
        <w:t>安全设施设计》（智诚建科设计有限公司，</w:t>
      </w:r>
      <w:r>
        <w:rPr>
          <w:rFonts w:hint="eastAsia" w:ascii="宋体" w:hAnsi="宋体" w:eastAsia="宋体" w:cs="Times New Roman"/>
          <w:lang w:val="en-US" w:eastAsia="zh-CN"/>
        </w:rPr>
        <w:t>2024年4月</w:t>
      </w:r>
      <w:r>
        <w:rPr>
          <w:rFonts w:hint="eastAsia" w:ascii="宋体" w:hAnsi="宋体" w:eastAsia="宋体" w:cs="Times New Roman"/>
        </w:rPr>
        <w:t>）</w:t>
      </w:r>
      <w:r>
        <w:rPr>
          <w:rFonts w:hint="eastAsia" w:ascii="宋体" w:hAnsi="宋体" w:eastAsia="宋体" w:cs="Times New Roman"/>
          <w:lang w:val="en-US" w:eastAsia="zh-CN"/>
        </w:rPr>
        <w:t>设计</w:t>
      </w:r>
      <w:r>
        <w:rPr>
          <w:rFonts w:hint="eastAsia" w:ascii="宋体" w:hAnsi="宋体" w:eastAsia="宋体" w:cs="Times New Roman"/>
        </w:rPr>
        <w:t>的安全设施与实际建设情况相同。该项目建设过程中充分考虑并采纳了安全设施设计中所提到的防范措施和建议。落实安全设施设计的安全设施、安全措施及建议的情况见下表。</w:t>
      </w:r>
    </w:p>
    <w:p w14:paraId="585C326E">
      <w:pPr>
        <w:pStyle w:val="12"/>
        <w:keepNext w:val="0"/>
        <w:keepLines w:val="0"/>
        <w:pageBreakBefore w:val="0"/>
        <w:widowControl w:val="0"/>
        <w:kinsoku/>
        <w:wordWrap/>
        <w:bidi w:val="0"/>
      </w:pPr>
      <w:r>
        <w:rPr>
          <w:rFonts w:hint="eastAsia"/>
          <w:lang w:val="en-US" w:eastAsia="zh-CN"/>
        </w:rPr>
        <w:t>表</w:t>
      </w:r>
      <w:r>
        <w:rPr>
          <w:rFonts w:hint="eastAsia"/>
          <w:lang w:val="en-US" w:eastAsia="zh-CN"/>
        </w:rPr>
        <w:fldChar w:fldCharType="begin"/>
      </w:r>
      <w:r>
        <w:rPr>
          <w:rFonts w:hint="eastAsia"/>
          <w:lang w:val="en-US" w:eastAsia="zh-CN"/>
        </w:rPr>
        <w:instrText xml:space="preserve"> STYLEREF 1 \s </w:instrText>
      </w:r>
      <w:r>
        <w:rPr>
          <w:rFonts w:hint="eastAsia"/>
          <w:lang w:val="en-US" w:eastAsia="zh-CN"/>
        </w:rPr>
        <w:fldChar w:fldCharType="separate"/>
      </w:r>
      <w:r>
        <w:rPr>
          <w:rFonts w:hint="eastAsia"/>
          <w:lang w:val="en-US" w:eastAsia="zh-CN"/>
        </w:rPr>
        <w:t>5</w:t>
      </w:r>
      <w:r>
        <w:rPr>
          <w:rFonts w:hint="eastAsia"/>
          <w:lang w:val="en-US" w:eastAsia="zh-CN"/>
        </w:rPr>
        <w:fldChar w:fldCharType="end"/>
      </w:r>
      <w:r>
        <w:rPr>
          <w:rFonts w:hint="eastAsia"/>
          <w:lang w:val="en-US" w:eastAsia="zh-CN"/>
        </w:rPr>
        <w:t>-</w:t>
      </w:r>
      <w:r>
        <w:rPr>
          <w:rFonts w:hint="eastAsia"/>
          <w:lang w:val="en-US" w:eastAsia="zh-CN"/>
        </w:rPr>
        <w:fldChar w:fldCharType="begin"/>
      </w:r>
      <w:r>
        <w:rPr>
          <w:rFonts w:hint="eastAsia"/>
          <w:lang w:val="en-US" w:eastAsia="zh-CN"/>
        </w:rPr>
        <w:instrText xml:space="preserve"> SEQ 表 \* ARABIC \s 1 </w:instrText>
      </w:r>
      <w:r>
        <w:rPr>
          <w:rFonts w:hint="eastAsia"/>
          <w:lang w:val="en-US" w:eastAsia="zh-CN"/>
        </w:rPr>
        <w:fldChar w:fldCharType="separate"/>
      </w:r>
      <w:r>
        <w:rPr>
          <w:rFonts w:hint="eastAsia"/>
          <w:lang w:val="en-US" w:eastAsia="zh-CN"/>
        </w:rPr>
        <w:t>24</w:t>
      </w:r>
      <w:r>
        <w:rPr>
          <w:rFonts w:hint="eastAsia"/>
          <w:lang w:val="en-US" w:eastAsia="zh-CN"/>
        </w:rPr>
        <w:fldChar w:fldCharType="end"/>
      </w:r>
      <w:r>
        <w:rPr>
          <w:rFonts w:hint="eastAsia"/>
        </w:rPr>
        <w:t>安全对策措施和建议采纳情况</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4471"/>
        <w:gridCol w:w="2484"/>
        <w:gridCol w:w="682"/>
      </w:tblGrid>
      <w:tr w14:paraId="59C0C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3A9A2A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序号</w:t>
            </w: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E8F95A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安全对策措施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7E1BB8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安全对策措施落实情况</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3132407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结论</w:t>
            </w:r>
          </w:p>
        </w:tc>
      </w:tr>
      <w:tr w14:paraId="01F7D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4"/>
            <w:tcBorders>
              <w:top w:val="single" w:color="auto" w:sz="4" w:space="0"/>
              <w:left w:val="single" w:color="auto" w:sz="4" w:space="0"/>
              <w:bottom w:val="single" w:color="auto" w:sz="4" w:space="0"/>
              <w:right w:val="single" w:color="auto" w:sz="4" w:space="0"/>
            </w:tcBorders>
            <w:noWrap w:val="0"/>
            <w:vAlign w:val="center"/>
          </w:tcPr>
          <w:p w14:paraId="37825C4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设施设计中提出的安全对策措施</w:t>
            </w:r>
          </w:p>
        </w:tc>
      </w:tr>
      <w:tr w14:paraId="1BC41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DA52B4D">
            <w:pPr>
              <w:keepNext w:val="0"/>
              <w:keepLines w:val="0"/>
              <w:pageBreakBefore w:val="0"/>
              <w:widowControl w:val="0"/>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b/>
                <w:bCs w:val="0"/>
                <w:sz w:val="21"/>
                <w:szCs w:val="21"/>
              </w:rPr>
              <w:t>一</w:t>
            </w: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9740A3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b/>
                <w:bCs/>
                <w:sz w:val="21"/>
                <w:szCs w:val="21"/>
              </w:rPr>
              <w:t>危险物料防范措施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FD6D80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1A21256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45968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CCD470E">
            <w:pPr>
              <w:keepNext w:val="0"/>
              <w:keepLines w:val="0"/>
              <w:pageBreakBefore w:val="0"/>
              <w:widowControl w:val="0"/>
              <w:numPr>
                <w:ilvl w:val="0"/>
                <w:numId w:val="138"/>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3133BE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可燃物料</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170AC2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653D26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2D8B5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A6F657F">
            <w:pPr>
              <w:keepNext w:val="0"/>
              <w:keepLines w:val="0"/>
              <w:pageBreakBefore w:val="0"/>
              <w:widowControl w:val="0"/>
              <w:numPr>
                <w:ilvl w:val="0"/>
                <w:numId w:val="13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B0066B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default" w:ascii="宋体" w:hAnsi="宋体" w:eastAsia="宋体" w:cs="宋体"/>
                <w:b/>
                <w:bCs/>
                <w:color w:val="auto"/>
                <w:sz w:val="21"/>
                <w:szCs w:val="21"/>
                <w:lang w:val="en-US" w:eastAsia="zh-CN"/>
              </w:rPr>
            </w:pPr>
            <w:r>
              <w:rPr>
                <w:rFonts w:hint="eastAsia" w:ascii="宋体" w:hAnsi="宋体" w:eastAsia="宋体" w:cs="宋体"/>
                <w:color w:val="auto"/>
                <w:sz w:val="21"/>
                <w:szCs w:val="21"/>
              </w:rPr>
              <w:t>加强原料石油焦、电极等可燃原料的管理、堆放，焦炭存放面积（小于270</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堆放区内严禁烟火，库房内设置消防系统，严防火灾。原料库房内设置货物堆高线，货物堆放时严禁超越此线。严禁在消防器材周围堆放货物。适当选择垛底面积、堆垛高度和垫衬材料，保证堆码的牢固与安全。原料库房内运输主通道宽度≥5m，辅助通道和人工搬运通道≥2m，通道内不准堆放任何货物，还需留出五距（每垛占地面积不大于100</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垛与垛间距不小于1m，垛与墙、顶间距不小于0.5m，垛与梁、柱间距不小于0.3m，照明灯具垂直下方与垛的水平间距不得小于0.5m）。原料库房内严禁烟火，设置灭火器及消防器材。物料堆垛不得占用运输及人员疏散通道。</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1C4FDE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w:t>
            </w:r>
            <w:r>
              <w:rPr>
                <w:rFonts w:hint="eastAsia" w:cs="宋体"/>
                <w:color w:val="auto"/>
                <w:sz w:val="21"/>
                <w:szCs w:val="21"/>
                <w:highlight w:val="none"/>
                <w:lang w:val="en-US" w:eastAsia="zh-CN"/>
              </w:rPr>
              <w:t>建设</w:t>
            </w:r>
            <w:r>
              <w:rPr>
                <w:rFonts w:hint="eastAsia" w:ascii="宋体" w:hAnsi="宋体" w:eastAsia="宋体" w:cs="宋体"/>
                <w:color w:val="auto"/>
                <w:sz w:val="21"/>
                <w:szCs w:val="21"/>
                <w:highlight w:val="none"/>
                <w:lang w:val="en-US" w:eastAsia="zh-CN"/>
              </w:rPr>
              <w:t>项目</w:t>
            </w:r>
            <w:r>
              <w:rPr>
                <w:rFonts w:hint="eastAsia" w:cs="宋体"/>
                <w:color w:val="auto"/>
                <w:sz w:val="21"/>
                <w:szCs w:val="21"/>
                <w:highlight w:val="none"/>
                <w:lang w:val="en-US" w:eastAsia="zh-CN"/>
              </w:rPr>
              <w:t>一期工程</w:t>
            </w:r>
            <w:r>
              <w:rPr>
                <w:rFonts w:hint="eastAsia" w:ascii="宋体" w:hAnsi="宋体" w:eastAsia="宋体" w:cs="宋体"/>
                <w:color w:val="auto"/>
                <w:sz w:val="21"/>
                <w:szCs w:val="21"/>
                <w:highlight w:val="none"/>
                <w:lang w:val="en-US" w:eastAsia="zh-CN"/>
              </w:rPr>
              <w:t>未设置原料库房。原料库房</w:t>
            </w:r>
            <w:r>
              <w:rPr>
                <w:rFonts w:hint="eastAsia" w:cs="宋体"/>
                <w:color w:val="auto"/>
                <w:sz w:val="21"/>
                <w:szCs w:val="21"/>
                <w:highlight w:val="none"/>
                <w:lang w:val="en-US" w:eastAsia="zh-CN"/>
              </w:rPr>
              <w:t>为二期建设内容。</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20A2F3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color w:val="auto"/>
                <w:sz w:val="21"/>
                <w:szCs w:val="21"/>
                <w:highlight w:val="none"/>
                <w:lang w:val="en-US" w:eastAsia="zh-CN"/>
              </w:rPr>
            </w:pPr>
            <w:r>
              <w:rPr>
                <w:rFonts w:hint="eastAsia" w:cs="宋体"/>
                <w:sz w:val="21"/>
                <w:szCs w:val="21"/>
                <w:lang w:val="en-US" w:eastAsia="zh-CN"/>
              </w:rPr>
              <w:t>/</w:t>
            </w:r>
          </w:p>
        </w:tc>
      </w:tr>
      <w:tr w14:paraId="7D196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AB8C0B0">
            <w:pPr>
              <w:keepNext w:val="0"/>
              <w:keepLines w:val="0"/>
              <w:pageBreakBefore w:val="0"/>
              <w:widowControl w:val="0"/>
              <w:numPr>
                <w:ilvl w:val="0"/>
                <w:numId w:val="138"/>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B7E16C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b/>
                <w:bCs/>
                <w:sz w:val="21"/>
                <w:szCs w:val="21"/>
              </w:rPr>
              <w:t>高温物料</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72A6A8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ascii="宋体" w:hAnsi="宋体" w:eastAsia="宋体" w:cs="宋体"/>
                <w:color w:val="0000FF"/>
                <w:sz w:val="21"/>
                <w:szCs w:val="21"/>
                <w:highlight w:val="yellow"/>
                <w:lang w:val="en-US" w:eastAsia="zh-CN"/>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6947A5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color w:val="0000FF"/>
                <w:sz w:val="21"/>
                <w:szCs w:val="21"/>
                <w:highlight w:val="yellow"/>
              </w:rPr>
            </w:pPr>
          </w:p>
        </w:tc>
      </w:tr>
      <w:tr w14:paraId="0D47C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274A1DA">
            <w:pPr>
              <w:keepNext w:val="0"/>
              <w:keepLines w:val="0"/>
              <w:pageBreakBefore w:val="0"/>
              <w:widowControl w:val="0"/>
              <w:numPr>
                <w:ilvl w:val="0"/>
                <w:numId w:val="14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370488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rPr>
            </w:pPr>
            <w:r>
              <w:rPr>
                <w:rFonts w:hint="eastAsia" w:ascii="宋体" w:hAnsi="宋体" w:eastAsia="宋体" w:cs="宋体"/>
                <w:sz w:val="21"/>
                <w:szCs w:val="21"/>
              </w:rPr>
              <w:t>该项目生产过程高温物料为主要为（熔融氧化锆），属于高温熔融体，在其储存设施、输送路线附近不得有积水，其正上方的设备和建构筑物不得有滴、漏水隐患。</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E023C6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熔融氧化锆储存设施、输送路线附近</w:t>
            </w:r>
            <w:r>
              <w:rPr>
                <w:rFonts w:hint="eastAsia" w:ascii="宋体" w:hAnsi="宋体" w:eastAsia="宋体" w:cs="宋体"/>
                <w:sz w:val="21"/>
                <w:szCs w:val="21"/>
                <w:lang w:val="en-US" w:eastAsia="zh-CN"/>
              </w:rPr>
              <w:t>无</w:t>
            </w:r>
            <w:r>
              <w:rPr>
                <w:rFonts w:hint="eastAsia" w:ascii="宋体" w:hAnsi="宋体" w:eastAsia="宋体" w:cs="宋体"/>
                <w:sz w:val="21"/>
                <w:szCs w:val="21"/>
              </w:rPr>
              <w:t>积水，其正上方的设备和建构筑物不得有滴、漏水隐患。</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7521788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550DF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F4522A6">
            <w:pPr>
              <w:keepNext w:val="0"/>
              <w:keepLines w:val="0"/>
              <w:pageBreakBefore w:val="0"/>
              <w:widowControl w:val="0"/>
              <w:numPr>
                <w:ilvl w:val="0"/>
                <w:numId w:val="14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8EC4CF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rPr>
            </w:pPr>
            <w:r>
              <w:rPr>
                <w:rFonts w:hint="eastAsia" w:ascii="宋体" w:hAnsi="宋体" w:eastAsia="宋体" w:cs="宋体"/>
                <w:sz w:val="21"/>
                <w:szCs w:val="21"/>
              </w:rPr>
              <w:t>生产车间有高温熔融氧化锆，在生产中高温遇水会引起烫伤、爆炸事故，生产过程中必须保持炉内、操作工具及相关环节的干燥，并注意操作方式。</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2C8ABD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1080EA0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1931E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F46D6F1">
            <w:pPr>
              <w:keepNext w:val="0"/>
              <w:keepLines w:val="0"/>
              <w:pageBreakBefore w:val="0"/>
              <w:widowControl w:val="0"/>
              <w:numPr>
                <w:ilvl w:val="0"/>
                <w:numId w:val="14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F27082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rPr>
            </w:pPr>
            <w:r>
              <w:rPr>
                <w:rFonts w:hint="eastAsia" w:ascii="宋体" w:hAnsi="宋体" w:eastAsia="宋体" w:cs="宋体"/>
                <w:sz w:val="21"/>
                <w:szCs w:val="21"/>
              </w:rPr>
              <w:t>本设计采用机械化、自动化设备装料、浇铸，可避免人员烫伤或爆炸事故的发生。</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2894B3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本项目未</w:t>
            </w:r>
            <w:r>
              <w:rPr>
                <w:rFonts w:hint="eastAsia" w:cs="宋体"/>
                <w:color w:val="auto"/>
                <w:sz w:val="21"/>
                <w:szCs w:val="21"/>
                <w:highlight w:val="none"/>
                <w:lang w:val="en-US" w:eastAsia="zh-CN"/>
              </w:rPr>
              <w:t>涉及浇铸工序</w:t>
            </w:r>
            <w:r>
              <w:rPr>
                <w:rFonts w:hint="eastAsia" w:ascii="宋体" w:hAnsi="宋体" w:eastAsia="宋体" w:cs="宋体"/>
                <w:color w:val="auto"/>
                <w:sz w:val="21"/>
                <w:szCs w:val="21"/>
                <w:highlight w:val="none"/>
                <w:lang w:val="en-US" w:eastAsia="zh-CN"/>
              </w:rPr>
              <w:t>。</w:t>
            </w:r>
            <w:r>
              <w:rPr>
                <w:rFonts w:hint="eastAsia" w:cs="宋体"/>
                <w:color w:val="auto"/>
                <w:sz w:val="21"/>
                <w:szCs w:val="21"/>
                <w:highlight w:val="none"/>
                <w:lang w:val="en-US" w:eastAsia="zh-CN"/>
              </w:rPr>
              <w:t>其他已按安全设施设计要求布置。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EBCF43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color w:val="auto"/>
                <w:kern w:val="2"/>
                <w:sz w:val="21"/>
                <w:szCs w:val="21"/>
                <w:highlight w:val="none"/>
                <w:lang w:val="en-US" w:eastAsia="zh-CN" w:bidi="ar-SA"/>
              </w:rPr>
            </w:pPr>
            <w:r>
              <w:rPr>
                <w:rFonts w:hint="eastAsia" w:cs="宋体"/>
                <w:sz w:val="21"/>
                <w:szCs w:val="21"/>
                <w:lang w:val="en-US" w:eastAsia="zh-CN"/>
              </w:rPr>
              <w:t>符合</w:t>
            </w:r>
          </w:p>
        </w:tc>
      </w:tr>
      <w:tr w14:paraId="2C15F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2EDFADD">
            <w:pPr>
              <w:keepNext w:val="0"/>
              <w:keepLines w:val="0"/>
              <w:pageBreakBefore w:val="0"/>
              <w:widowControl w:val="0"/>
              <w:numPr>
                <w:ilvl w:val="0"/>
                <w:numId w:val="14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02A705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车间在易产生熔液喷溅或固体物喷溅的设备区域应设置警示栏或围栏。车间设置安全通道，以便事故时人员迅速撤离。</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565D21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4094E19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4BC66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C2EBCD3">
            <w:pPr>
              <w:keepNext w:val="0"/>
              <w:keepLines w:val="0"/>
              <w:pageBreakBefore w:val="0"/>
              <w:widowControl w:val="0"/>
              <w:numPr>
                <w:ilvl w:val="0"/>
                <w:numId w:val="14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A54B29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电炉冷水系统设置、温度、压力及进出水管流量差检测报警装置，同时设置快速切断阀，防止意外时冷却水大量进入电炉与高温熔融体接触。其中压力信号分别作为冷水泵的变频控制信号。电炉炉壳、电极把持器和电缆，变压器等循环冷却水的流量、温度、压力数据集中在电炉控制室显示。</w:t>
            </w:r>
            <w:r>
              <w:rPr>
                <w:rFonts w:hint="eastAsia" w:ascii="宋体" w:hAnsi="宋体" w:eastAsia="宋体" w:cs="宋体"/>
                <w:sz w:val="21"/>
                <w:szCs w:val="21"/>
                <w:lang w:val="en-US" w:eastAsia="zh-CN"/>
              </w:rPr>
              <w:t>电炉设置车间控制室和总控制室（二期）。</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3D3632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default" w:ascii="宋体" w:hAnsi="宋体" w:eastAsia="宋体" w:cs="宋体"/>
                <w:color w:val="FF0000"/>
                <w:sz w:val="21"/>
                <w:szCs w:val="21"/>
                <w:highlight w:val="none"/>
                <w:lang w:val="en-US"/>
              </w:rPr>
            </w:pPr>
            <w:r>
              <w:rPr>
                <w:rFonts w:hint="eastAsia" w:ascii="宋体" w:hAnsi="宋体" w:eastAsia="宋体" w:cs="宋体"/>
                <w:sz w:val="21"/>
                <w:szCs w:val="21"/>
                <w:lang w:val="en-US" w:eastAsia="zh-CN"/>
              </w:rPr>
              <w:t>已按安全设施设计要求设置</w:t>
            </w:r>
            <w:r>
              <w:rPr>
                <w:rFonts w:hint="eastAsia" w:cs="宋体"/>
                <w:sz w:val="21"/>
                <w:szCs w:val="21"/>
                <w:lang w:val="en-US" w:eastAsia="zh-CN"/>
              </w:rPr>
              <w:t>电弧炉控制室。</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2D8C2E4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宋体"/>
                <w:sz w:val="21"/>
                <w:szCs w:val="21"/>
                <w:lang w:val="en-US" w:eastAsia="zh-CN"/>
              </w:rPr>
            </w:pPr>
            <w:r>
              <w:rPr>
                <w:rFonts w:hint="eastAsia" w:cs="宋体"/>
                <w:sz w:val="21"/>
                <w:szCs w:val="21"/>
                <w:lang w:val="en-US" w:eastAsia="zh-CN"/>
              </w:rPr>
              <w:t>符合</w:t>
            </w:r>
          </w:p>
        </w:tc>
      </w:tr>
      <w:tr w14:paraId="175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68B6875">
            <w:pPr>
              <w:keepNext w:val="0"/>
              <w:keepLines w:val="0"/>
              <w:pageBreakBefore w:val="0"/>
              <w:widowControl w:val="0"/>
              <w:numPr>
                <w:ilvl w:val="0"/>
                <w:numId w:val="14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83AC7B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熔融氧化锆泄漏时及时用干砂挡住流体，防止大面积流淌。熔融氧化锆引燃可燃物时，使用干燥砂子扑救，不得使用水或氩灭火器、水剂灭火器。</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01DF16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现场配置有干砂。</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4E42B0D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宋体"/>
                <w:sz w:val="21"/>
                <w:szCs w:val="21"/>
                <w:lang w:val="en-US" w:eastAsia="zh-CN"/>
              </w:rPr>
            </w:pPr>
            <w:r>
              <w:rPr>
                <w:rFonts w:hint="eastAsia" w:cs="宋体"/>
                <w:sz w:val="21"/>
                <w:szCs w:val="21"/>
                <w:lang w:val="en-US" w:eastAsia="zh-CN"/>
              </w:rPr>
              <w:t>符合</w:t>
            </w:r>
          </w:p>
        </w:tc>
      </w:tr>
      <w:tr w14:paraId="01B69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A5F9EBC">
            <w:pPr>
              <w:keepNext w:val="0"/>
              <w:keepLines w:val="0"/>
              <w:pageBreakBefore w:val="0"/>
              <w:widowControl w:val="0"/>
              <w:numPr>
                <w:ilvl w:val="0"/>
                <w:numId w:val="14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B20174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设置电炉炉体温度监控系</w:t>
            </w:r>
            <w:r>
              <w:rPr>
                <w:rFonts w:hint="eastAsia" w:cs="宋体"/>
                <w:sz w:val="21"/>
                <w:szCs w:val="21"/>
                <w:lang w:val="en-US" w:eastAsia="zh-CN"/>
              </w:rPr>
              <w:t>统</w:t>
            </w:r>
            <w:r>
              <w:rPr>
                <w:rFonts w:hint="eastAsia" w:ascii="宋体" w:hAnsi="宋体" w:eastAsia="宋体" w:cs="宋体"/>
                <w:sz w:val="21"/>
                <w:szCs w:val="21"/>
                <w:lang w:val="en-US" w:eastAsia="zh-CN"/>
              </w:rPr>
              <w:t>（炉壁、炉底），同时定期观察电炉炉体，发现有烧穿泄露迹象时，立即切断电源，紧急出炉</w:t>
            </w:r>
            <w:r>
              <w:rPr>
                <w:rFonts w:hint="eastAsia" w:ascii="宋体" w:hAnsi="宋体" w:eastAsia="宋体" w:cs="宋体"/>
                <w:sz w:val="21"/>
                <w:szCs w:val="21"/>
                <w:lang w:eastAsia="zh-CN"/>
              </w:rPr>
              <w:t>。</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4A62A5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r>
              <w:rPr>
                <w:rFonts w:hint="eastAsia" w:ascii="宋体" w:hAnsi="宋体" w:eastAsia="宋体" w:cs="宋体"/>
                <w:sz w:val="21"/>
                <w:szCs w:val="21"/>
              </w:rPr>
              <w:t>电炉炉体温度监控</w:t>
            </w:r>
            <w:r>
              <w:rPr>
                <w:rFonts w:hint="eastAsia" w:cs="宋体"/>
                <w:sz w:val="21"/>
                <w:szCs w:val="21"/>
                <w:lang w:eastAsia="zh-CN"/>
              </w:rPr>
              <w:t>系统</w:t>
            </w:r>
            <w:r>
              <w:rPr>
                <w:rFonts w:hint="eastAsia" w:ascii="宋体" w:hAnsi="宋体" w:eastAsia="宋体" w:cs="宋体"/>
                <w:sz w:val="21"/>
                <w:szCs w:val="21"/>
                <w:lang w:val="en-US"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2E0EA3A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宋体"/>
                <w:sz w:val="21"/>
                <w:szCs w:val="21"/>
                <w:lang w:val="en-US" w:eastAsia="zh-CN"/>
              </w:rPr>
            </w:pPr>
            <w:r>
              <w:rPr>
                <w:rFonts w:hint="eastAsia" w:cs="宋体"/>
                <w:sz w:val="21"/>
                <w:szCs w:val="21"/>
                <w:lang w:val="en-US" w:eastAsia="zh-CN"/>
              </w:rPr>
              <w:t>符合</w:t>
            </w:r>
          </w:p>
        </w:tc>
      </w:tr>
      <w:tr w14:paraId="2286F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66CFA46">
            <w:pPr>
              <w:keepNext w:val="0"/>
              <w:keepLines w:val="0"/>
              <w:pageBreakBefore w:val="0"/>
              <w:widowControl w:val="0"/>
              <w:numPr>
                <w:ilvl w:val="0"/>
                <w:numId w:val="14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AC3E51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rPr>
            </w:pPr>
            <w:r>
              <w:rPr>
                <w:rFonts w:hint="eastAsia" w:ascii="宋体" w:hAnsi="宋体" w:eastAsia="宋体" w:cs="宋体"/>
                <w:sz w:val="21"/>
                <w:szCs w:val="21"/>
              </w:rPr>
              <w:t>承受重载荷和受高温辐射、热渣喷溅等危害的建构筑物范围内梁、板、柱均做隔热处理。</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B9A9F4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25E8D83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6CD48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FEDCAD7">
            <w:pPr>
              <w:keepNext w:val="0"/>
              <w:keepLines w:val="0"/>
              <w:pageBreakBefore w:val="0"/>
              <w:widowControl w:val="0"/>
              <w:numPr>
                <w:ilvl w:val="0"/>
                <w:numId w:val="14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83792F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生产车间工人必须穿戴工作服和安全帽，接触高温熔液操作人员必须佩戴耐高温防护服、防护罩、阻燃手套和阻燃鞋等防护用品，严格按照操作规程操作。</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2F16A2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操作人员经过专门培训，操作人员佩戴护具</w:t>
            </w:r>
            <w:r>
              <w:rPr>
                <w:rFonts w:hint="eastAsia" w:cs="宋体"/>
                <w:sz w:val="21"/>
                <w:szCs w:val="21"/>
                <w:lang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5EB10F6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符合</w:t>
            </w:r>
          </w:p>
        </w:tc>
      </w:tr>
      <w:tr w14:paraId="35809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9B1D792">
            <w:pPr>
              <w:keepNext w:val="0"/>
              <w:keepLines w:val="0"/>
              <w:pageBreakBefore w:val="0"/>
              <w:widowControl w:val="0"/>
              <w:numPr>
                <w:ilvl w:val="0"/>
                <w:numId w:val="138"/>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AD20E7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烟尘</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D2E379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812C1B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9C4B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C8D63FA">
            <w:pPr>
              <w:keepNext w:val="0"/>
              <w:keepLines w:val="0"/>
              <w:pageBreakBefore w:val="0"/>
              <w:widowControl w:val="0"/>
              <w:numPr>
                <w:ilvl w:val="0"/>
                <w:numId w:val="141"/>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20FA0A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收尘系统、环保集烟输送系统均为负压操作，保证输送系统密闭性，避免烟气外</w:t>
            </w:r>
            <w:r>
              <w:rPr>
                <w:rFonts w:hint="eastAsia" w:cs="宋体"/>
                <w:sz w:val="21"/>
                <w:szCs w:val="21"/>
                <w:lang w:eastAsia="zh-CN"/>
              </w:rPr>
              <w:t>溢</w:t>
            </w:r>
            <w:r>
              <w:rPr>
                <w:rFonts w:hint="eastAsia" w:ascii="宋体" w:hAnsi="宋体" w:eastAsia="宋体" w:cs="宋体"/>
                <w:sz w:val="21"/>
                <w:szCs w:val="21"/>
              </w:rPr>
              <w:t>。</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3A11E5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D621FA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19C6A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9776F6D">
            <w:pPr>
              <w:keepNext w:val="0"/>
              <w:keepLines w:val="0"/>
              <w:pageBreakBefore w:val="0"/>
              <w:widowControl w:val="0"/>
              <w:numPr>
                <w:ilvl w:val="0"/>
                <w:numId w:val="141"/>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68642D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进料口和、出口设局部密闭罩或吸风罩排风。</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5ADAFD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304216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66B5E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855321E">
            <w:pPr>
              <w:keepNext w:val="0"/>
              <w:keepLines w:val="0"/>
              <w:pageBreakBefore w:val="0"/>
              <w:widowControl w:val="0"/>
              <w:numPr>
                <w:ilvl w:val="0"/>
                <w:numId w:val="141"/>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3549E5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电炉车间高温作业区设轴流风机，加强通风。</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8BDB09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4D1CE12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77039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0D8911C">
            <w:pPr>
              <w:keepNext w:val="0"/>
              <w:keepLines w:val="0"/>
              <w:pageBreakBefore w:val="0"/>
              <w:widowControl w:val="0"/>
              <w:numPr>
                <w:ilvl w:val="0"/>
                <w:numId w:val="141"/>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3DCD6B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电极装卸区位置固定，设置岗位通风机1台，避免通风不畅导致烟气中毒，电焊机须接地，操作人员穿戴防护用品，按规程操作避免强光、触电和烫伤等。</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B5C814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r>
              <w:rPr>
                <w:rFonts w:hint="eastAsia" w:cs="宋体"/>
                <w:sz w:val="21"/>
                <w:szCs w:val="21"/>
                <w:lang w:val="en-US" w:eastAsia="zh-CN"/>
              </w:rPr>
              <w:t>；要求作业人员规范佩戴和使用</w:t>
            </w:r>
            <w:r>
              <w:rPr>
                <w:rFonts w:hint="eastAsia" w:ascii="宋体" w:hAnsi="宋体" w:eastAsia="宋体" w:cs="宋体"/>
                <w:sz w:val="21"/>
                <w:szCs w:val="21"/>
              </w:rPr>
              <w:t>防护用品</w:t>
            </w:r>
            <w:r>
              <w:rPr>
                <w:rFonts w:hint="eastAsia" w:cs="宋体"/>
                <w:sz w:val="21"/>
                <w:szCs w:val="21"/>
                <w:lang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1DBF198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0EF9F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16A7AD4">
            <w:pPr>
              <w:keepNext w:val="0"/>
              <w:keepLines w:val="0"/>
              <w:pageBreakBefore w:val="0"/>
              <w:widowControl w:val="0"/>
              <w:numPr>
                <w:ilvl w:val="0"/>
                <w:numId w:val="141"/>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E8A458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冶炼烟气输送系统气体管道除与设备法兰连接，其他均为粘接或焊接，焊接钢管采用氩弧焊打底，渗漏检测焊缝，避免有害气体泄漏。</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5BED75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36E4DB5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6F717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AAE62E4">
            <w:pPr>
              <w:keepNext w:val="0"/>
              <w:keepLines w:val="0"/>
              <w:pageBreakBefore w:val="0"/>
              <w:widowControl w:val="0"/>
              <w:numPr>
                <w:ilvl w:val="0"/>
                <w:numId w:val="141"/>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D97F14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在厂区醒目处需设立风向标，以提醒管理、操作人员在有毒有害气体泄漏时可能漂流的方向，引导人员逃生。</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BEE6FD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611183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1FD48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82D3600">
            <w:pPr>
              <w:keepNext w:val="0"/>
              <w:keepLines w:val="0"/>
              <w:pageBreakBefore w:val="0"/>
              <w:widowControl w:val="0"/>
              <w:numPr>
                <w:ilvl w:val="0"/>
                <w:numId w:val="138"/>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F2FBF9D">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cs="Times New Roman"/>
              </w:rPr>
            </w:pPr>
            <w:r>
              <w:rPr>
                <w:rFonts w:hint="eastAsia" w:ascii="宋体" w:hAnsi="宋体" w:eastAsia="宋体" w:cs="宋体"/>
                <w:b/>
                <w:bCs/>
                <w:sz w:val="21"/>
                <w:szCs w:val="21"/>
                <w:lang w:val="en-US" w:eastAsia="zh-CN"/>
              </w:rPr>
              <w:t>烟气CO</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773813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3A12E1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4D1A4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85C79F1">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FF0AC0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该项目生产过程中一般不会产生一氧化碳，但炉况不稳定时可能产生一氧化碳，其安全措施如下：</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CF7EFD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237473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BEDA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BE319A1">
            <w:pPr>
              <w:keepNext w:val="0"/>
              <w:keepLines w:val="0"/>
              <w:pageBreakBefore w:val="0"/>
              <w:widowControl w:val="0"/>
              <w:numPr>
                <w:ilvl w:val="0"/>
                <w:numId w:val="142"/>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A1A8A7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每台电炉炉前、控制室设置有毒气体检测报警装置（CO）（每台电炉2台），报警仪设置在靠近电炉炉前0.5m范围及控制室内，检测器其安装高度应高出释放源0.5—2m，当生产区CO浓度过高时，报警装置启动，提醒工作疏散，同时加强通风换气。</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8CE76F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每台电炉炉前、控制室已设置CO有毒气体检测报警装置。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20C1E86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宋体"/>
                <w:sz w:val="21"/>
                <w:szCs w:val="21"/>
                <w:lang w:val="en-US" w:eastAsia="zh-CN"/>
              </w:rPr>
            </w:pPr>
            <w:r>
              <w:rPr>
                <w:rFonts w:hint="eastAsia" w:cs="宋体"/>
                <w:sz w:val="21"/>
                <w:szCs w:val="21"/>
                <w:lang w:val="en-US" w:eastAsia="zh-CN"/>
              </w:rPr>
              <w:t>符合</w:t>
            </w:r>
          </w:p>
        </w:tc>
      </w:tr>
      <w:tr w14:paraId="76899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B4CF65C">
            <w:pPr>
              <w:keepNext w:val="0"/>
              <w:keepLines w:val="0"/>
              <w:pageBreakBefore w:val="0"/>
              <w:widowControl w:val="0"/>
              <w:numPr>
                <w:ilvl w:val="0"/>
                <w:numId w:val="142"/>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6AA65A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CO主要是由于在炉内燃烧不充分而留下的，为避免炉内残留大量的CO，应定期打开炉门，加强空气进入炉内，促进CO的燃烧。</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459720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4D6EC9E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640A1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D38F6EA">
            <w:pPr>
              <w:keepNext w:val="0"/>
              <w:keepLines w:val="0"/>
              <w:pageBreakBefore w:val="0"/>
              <w:widowControl w:val="0"/>
              <w:numPr>
                <w:ilvl w:val="0"/>
                <w:numId w:val="142"/>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F92EEE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定期检查除尘风机，避免因故障无法抽风，致使大量烟气通过炉门逸</w:t>
            </w:r>
            <w:r>
              <w:rPr>
                <w:rFonts w:hint="eastAsia" w:cs="宋体"/>
                <w:sz w:val="21"/>
                <w:szCs w:val="21"/>
                <w:lang w:val="en-US" w:eastAsia="zh-CN"/>
              </w:rPr>
              <w:t>出</w:t>
            </w:r>
            <w:r>
              <w:rPr>
                <w:rFonts w:hint="eastAsia" w:ascii="宋体" w:hAnsi="宋体" w:eastAsia="宋体" w:cs="宋体"/>
                <w:sz w:val="21"/>
                <w:szCs w:val="21"/>
              </w:rPr>
              <w:t>，造成冶炼区域有毒气体含量过高。</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7ADF6E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D8961A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11352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C3648CD">
            <w:pPr>
              <w:keepNext w:val="0"/>
              <w:keepLines w:val="0"/>
              <w:pageBreakBefore w:val="0"/>
              <w:widowControl w:val="0"/>
              <w:numPr>
                <w:ilvl w:val="0"/>
                <w:numId w:val="138"/>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01EE67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生石灰</w:t>
            </w:r>
          </w:p>
        </w:tc>
        <w:tc>
          <w:tcPr>
            <w:tcW w:w="1457" w:type="pct"/>
            <w:vMerge w:val="restart"/>
            <w:tcBorders>
              <w:top w:val="single" w:color="auto" w:sz="4" w:space="0"/>
              <w:left w:val="single" w:color="auto" w:sz="4" w:space="0"/>
              <w:right w:val="single" w:color="auto" w:sz="4" w:space="0"/>
            </w:tcBorders>
            <w:noWrap w:val="0"/>
            <w:vAlign w:val="center"/>
          </w:tcPr>
          <w:p w14:paraId="3FFF55E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本建设项目一期单斜电熔氧化锆生产工艺未涉及该物料。</w:t>
            </w:r>
          </w:p>
        </w:tc>
        <w:tc>
          <w:tcPr>
            <w:tcW w:w="400" w:type="pct"/>
            <w:vMerge w:val="restart"/>
            <w:tcBorders>
              <w:top w:val="single" w:color="auto" w:sz="4" w:space="0"/>
              <w:left w:val="single" w:color="auto" w:sz="4" w:space="0"/>
              <w:right w:val="single" w:color="auto" w:sz="4" w:space="0"/>
            </w:tcBorders>
            <w:noWrap w:val="0"/>
            <w:vAlign w:val="center"/>
          </w:tcPr>
          <w:p w14:paraId="6ECAE4E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14:paraId="3F3A4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4A0C5FE">
            <w:pPr>
              <w:keepNext w:val="0"/>
              <w:keepLines w:val="0"/>
              <w:pageBreakBefore w:val="0"/>
              <w:widowControl w:val="0"/>
              <w:numPr>
                <w:ilvl w:val="0"/>
                <w:numId w:val="143"/>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6E611D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使用操作过程时间越短越好，放置在包装容器内的适当处，起到密封吸湿的作用。</w:t>
            </w:r>
          </w:p>
        </w:tc>
        <w:tc>
          <w:tcPr>
            <w:tcW w:w="1457" w:type="pct"/>
            <w:vMerge w:val="continue"/>
            <w:tcBorders>
              <w:left w:val="single" w:color="auto" w:sz="4" w:space="0"/>
              <w:right w:val="single" w:color="auto" w:sz="4" w:space="0"/>
            </w:tcBorders>
            <w:noWrap w:val="0"/>
            <w:vAlign w:val="center"/>
          </w:tcPr>
          <w:p w14:paraId="4149D42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p>
        </w:tc>
        <w:tc>
          <w:tcPr>
            <w:tcW w:w="400" w:type="pct"/>
            <w:vMerge w:val="continue"/>
            <w:tcBorders>
              <w:left w:val="single" w:color="auto" w:sz="4" w:space="0"/>
              <w:right w:val="single" w:color="auto" w:sz="4" w:space="0"/>
            </w:tcBorders>
            <w:noWrap w:val="0"/>
            <w:vAlign w:val="center"/>
          </w:tcPr>
          <w:p w14:paraId="3637FD8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0F300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6D879F4">
            <w:pPr>
              <w:keepNext w:val="0"/>
              <w:keepLines w:val="0"/>
              <w:pageBreakBefore w:val="0"/>
              <w:widowControl w:val="0"/>
              <w:numPr>
                <w:ilvl w:val="0"/>
                <w:numId w:val="143"/>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0B0C95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库房建筑及各种设备应符合 GB50016 的规定，建筑物或构筑物局部受腐蚀性介质作用时，应采取局部防护措施。存放在干燥库房中，防潮，避免与酸类物接触。</w:t>
            </w:r>
          </w:p>
        </w:tc>
        <w:tc>
          <w:tcPr>
            <w:tcW w:w="1457" w:type="pct"/>
            <w:vMerge w:val="continue"/>
            <w:tcBorders>
              <w:left w:val="single" w:color="auto" w:sz="4" w:space="0"/>
              <w:right w:val="single" w:color="auto" w:sz="4" w:space="0"/>
            </w:tcBorders>
            <w:noWrap w:val="0"/>
            <w:vAlign w:val="center"/>
          </w:tcPr>
          <w:p w14:paraId="3D7F5DD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c>
          <w:tcPr>
            <w:tcW w:w="400" w:type="pct"/>
            <w:vMerge w:val="continue"/>
            <w:tcBorders>
              <w:left w:val="single" w:color="auto" w:sz="4" w:space="0"/>
              <w:right w:val="single" w:color="auto" w:sz="4" w:space="0"/>
            </w:tcBorders>
            <w:noWrap w:val="0"/>
            <w:vAlign w:val="center"/>
          </w:tcPr>
          <w:p w14:paraId="61DB0C1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23E05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DE6E5C9">
            <w:pPr>
              <w:keepNext w:val="0"/>
              <w:keepLines w:val="0"/>
              <w:pageBreakBefore w:val="0"/>
              <w:widowControl w:val="0"/>
              <w:numPr>
                <w:ilvl w:val="0"/>
                <w:numId w:val="143"/>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6837F5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运输过程中避免受潮，小心轻放，以防止包装破损而影响产品质量。</w:t>
            </w:r>
          </w:p>
        </w:tc>
        <w:tc>
          <w:tcPr>
            <w:tcW w:w="1457" w:type="pct"/>
            <w:vMerge w:val="continue"/>
            <w:tcBorders>
              <w:left w:val="single" w:color="auto" w:sz="4" w:space="0"/>
              <w:right w:val="single" w:color="auto" w:sz="4" w:space="0"/>
            </w:tcBorders>
            <w:noWrap w:val="0"/>
            <w:vAlign w:val="center"/>
          </w:tcPr>
          <w:p w14:paraId="00C53FB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c>
          <w:tcPr>
            <w:tcW w:w="400" w:type="pct"/>
            <w:vMerge w:val="continue"/>
            <w:tcBorders>
              <w:left w:val="single" w:color="auto" w:sz="4" w:space="0"/>
              <w:right w:val="single" w:color="auto" w:sz="4" w:space="0"/>
            </w:tcBorders>
            <w:noWrap w:val="0"/>
            <w:vAlign w:val="center"/>
          </w:tcPr>
          <w:p w14:paraId="1B8FDA6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3832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300EB5E">
            <w:pPr>
              <w:keepNext w:val="0"/>
              <w:keepLines w:val="0"/>
              <w:pageBreakBefore w:val="0"/>
              <w:widowControl w:val="0"/>
              <w:numPr>
                <w:ilvl w:val="0"/>
                <w:numId w:val="143"/>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092F2B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使用时穿戴防尘口罩、手套等劳保用品。</w:t>
            </w:r>
          </w:p>
        </w:tc>
        <w:tc>
          <w:tcPr>
            <w:tcW w:w="1457" w:type="pct"/>
            <w:vMerge w:val="continue"/>
            <w:tcBorders>
              <w:left w:val="single" w:color="auto" w:sz="4" w:space="0"/>
              <w:right w:val="single" w:color="auto" w:sz="4" w:space="0"/>
            </w:tcBorders>
            <w:noWrap w:val="0"/>
            <w:vAlign w:val="center"/>
          </w:tcPr>
          <w:p w14:paraId="23BA350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c>
          <w:tcPr>
            <w:tcW w:w="400" w:type="pct"/>
            <w:vMerge w:val="continue"/>
            <w:tcBorders>
              <w:left w:val="single" w:color="auto" w:sz="4" w:space="0"/>
              <w:right w:val="single" w:color="auto" w:sz="4" w:space="0"/>
            </w:tcBorders>
            <w:noWrap w:val="0"/>
            <w:vAlign w:val="center"/>
          </w:tcPr>
          <w:p w14:paraId="06EDE5E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507A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D9628AD">
            <w:pPr>
              <w:keepNext w:val="0"/>
              <w:keepLines w:val="0"/>
              <w:pageBreakBefore w:val="0"/>
              <w:widowControl w:val="0"/>
              <w:numPr>
                <w:ilvl w:val="0"/>
                <w:numId w:val="143"/>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938E09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具有化学灼伤危险的脱硫塔、脱硫循环系统等作业场所，应设计洗眼器、淋洗器等安全防护措施，淋洗器、洗眼器的服务半径应不大于15m。淋洗器、洗眼器的冲洗水上水水质应符合现行国家标准《生活饮用水卫生标准》GB5749 的规定，并应为不间断供水；淋洗器、洗眼器的排水应纳入工厂污水管网，并在装置区安全位置设置救护箱。工作人员配备必要的个人防护用品。</w:t>
            </w:r>
          </w:p>
        </w:tc>
        <w:tc>
          <w:tcPr>
            <w:tcW w:w="1457" w:type="pct"/>
            <w:vMerge w:val="continue"/>
            <w:tcBorders>
              <w:left w:val="single" w:color="auto" w:sz="4" w:space="0"/>
              <w:bottom w:val="single" w:color="auto" w:sz="4" w:space="0"/>
              <w:right w:val="single" w:color="auto" w:sz="4" w:space="0"/>
            </w:tcBorders>
            <w:noWrap w:val="0"/>
            <w:vAlign w:val="center"/>
          </w:tcPr>
          <w:p w14:paraId="725C947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c>
          <w:tcPr>
            <w:tcW w:w="400" w:type="pct"/>
            <w:vMerge w:val="continue"/>
            <w:tcBorders>
              <w:left w:val="single" w:color="auto" w:sz="4" w:space="0"/>
              <w:bottom w:val="single" w:color="auto" w:sz="4" w:space="0"/>
              <w:right w:val="single" w:color="auto" w:sz="4" w:space="0"/>
            </w:tcBorders>
            <w:noWrap w:val="0"/>
            <w:vAlign w:val="center"/>
          </w:tcPr>
          <w:p w14:paraId="2D57F7B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3095A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FAD56C2">
            <w:pPr>
              <w:keepNext w:val="0"/>
              <w:keepLines w:val="0"/>
              <w:pageBreakBefore w:val="0"/>
              <w:widowControl w:val="0"/>
              <w:numPr>
                <w:ilvl w:val="0"/>
                <w:numId w:val="138"/>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DED1EB0">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cs="Times New Roman"/>
              </w:rPr>
            </w:pPr>
            <w:r>
              <w:rPr>
                <w:rFonts w:hint="eastAsia" w:ascii="宋体" w:hAnsi="宋体" w:eastAsia="宋体" w:cs="宋体"/>
                <w:b/>
                <w:bCs/>
                <w:sz w:val="21"/>
                <w:szCs w:val="21"/>
              </w:rPr>
              <w:t>乙炔、氧气瓶</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1E13F7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BC2054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A449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B9FB56F">
            <w:pPr>
              <w:keepNext w:val="0"/>
              <w:keepLines w:val="0"/>
              <w:pageBreakBefore w:val="0"/>
              <w:widowControl w:val="0"/>
              <w:numPr>
                <w:ilvl w:val="0"/>
                <w:numId w:val="144"/>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866227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加强对乙炔瓶、氧气瓶及其安全附件的检查，保证乙炔瓶及氧气瓶能够正常使用。</w:t>
            </w:r>
          </w:p>
        </w:tc>
        <w:tc>
          <w:tcPr>
            <w:tcW w:w="1457" w:type="pct"/>
            <w:vMerge w:val="restart"/>
            <w:tcBorders>
              <w:top w:val="single" w:color="auto" w:sz="4" w:space="0"/>
              <w:left w:val="single" w:color="auto" w:sz="4" w:space="0"/>
              <w:right w:val="single" w:color="auto" w:sz="4" w:space="0"/>
            </w:tcBorders>
            <w:noWrap w:val="0"/>
            <w:vAlign w:val="center"/>
          </w:tcPr>
          <w:p w14:paraId="5222414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default" w:ascii="宋体" w:hAnsi="宋体" w:eastAsia="宋体" w:cs="宋体"/>
                <w:sz w:val="21"/>
                <w:szCs w:val="21"/>
                <w:lang w:val="en-US" w:eastAsia="zh-CN"/>
              </w:rPr>
            </w:pPr>
            <w:r>
              <w:rPr>
                <w:rFonts w:hint="eastAsia" w:cs="宋体"/>
                <w:sz w:val="21"/>
                <w:szCs w:val="21"/>
                <w:lang w:val="en-US" w:eastAsia="zh-CN"/>
              </w:rPr>
              <w:t>氧气、乙炔气瓶购买、使用符合规范要求。</w:t>
            </w:r>
          </w:p>
        </w:tc>
        <w:tc>
          <w:tcPr>
            <w:tcW w:w="400" w:type="pct"/>
            <w:vMerge w:val="restart"/>
            <w:tcBorders>
              <w:top w:val="single" w:color="auto" w:sz="4" w:space="0"/>
              <w:left w:val="single" w:color="auto" w:sz="4" w:space="0"/>
              <w:right w:val="single" w:color="auto" w:sz="4" w:space="0"/>
            </w:tcBorders>
            <w:noWrap w:val="0"/>
            <w:vAlign w:val="center"/>
          </w:tcPr>
          <w:p w14:paraId="68E52D0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23649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1D7EC84">
            <w:pPr>
              <w:keepNext w:val="0"/>
              <w:keepLines w:val="0"/>
              <w:pageBreakBefore w:val="0"/>
              <w:widowControl w:val="0"/>
              <w:numPr>
                <w:ilvl w:val="0"/>
                <w:numId w:val="144"/>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483723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使用过程中严格按照安全操作规程进行操作，避免乙炔瓶及氧气瓶的放置地点距离热源和</w:t>
            </w:r>
            <w:r>
              <w:rPr>
                <w:rFonts w:hint="eastAsia" w:cs="宋体"/>
                <w:sz w:val="21"/>
                <w:szCs w:val="21"/>
                <w:lang w:eastAsia="zh-CN"/>
              </w:rPr>
              <w:t>电气设备</w:t>
            </w:r>
            <w:r>
              <w:rPr>
                <w:rFonts w:hint="eastAsia" w:ascii="宋体" w:hAnsi="宋体" w:eastAsia="宋体" w:cs="宋体"/>
                <w:sz w:val="21"/>
                <w:szCs w:val="21"/>
              </w:rPr>
              <w:t>过近，必须采取防止倾倒措施，严禁乙炔瓶及氧气瓶在烈日下</w:t>
            </w:r>
            <w:r>
              <w:rPr>
                <w:rFonts w:hint="eastAsia" w:cs="宋体"/>
                <w:sz w:val="21"/>
                <w:szCs w:val="21"/>
                <w:lang w:eastAsia="zh-CN"/>
              </w:rPr>
              <w:t>暴晒</w:t>
            </w:r>
            <w:r>
              <w:rPr>
                <w:rFonts w:hint="eastAsia" w:ascii="宋体" w:hAnsi="宋体" w:eastAsia="宋体" w:cs="宋体"/>
                <w:sz w:val="21"/>
                <w:szCs w:val="21"/>
              </w:rPr>
              <w:t>；氧气乙炔气瓶需分开摆放，距离不小于5m，乙炔压力表需设置防回火装置。</w:t>
            </w:r>
          </w:p>
        </w:tc>
        <w:tc>
          <w:tcPr>
            <w:tcW w:w="1457" w:type="pct"/>
            <w:vMerge w:val="continue"/>
            <w:tcBorders>
              <w:left w:val="single" w:color="auto" w:sz="4" w:space="0"/>
              <w:right w:val="single" w:color="auto" w:sz="4" w:space="0"/>
            </w:tcBorders>
            <w:noWrap w:val="0"/>
            <w:vAlign w:val="center"/>
          </w:tcPr>
          <w:p w14:paraId="67CE09C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p>
        </w:tc>
        <w:tc>
          <w:tcPr>
            <w:tcW w:w="400" w:type="pct"/>
            <w:vMerge w:val="continue"/>
            <w:tcBorders>
              <w:left w:val="single" w:color="auto" w:sz="4" w:space="0"/>
              <w:right w:val="single" w:color="auto" w:sz="4" w:space="0"/>
            </w:tcBorders>
            <w:noWrap w:val="0"/>
            <w:vAlign w:val="center"/>
          </w:tcPr>
          <w:p w14:paraId="4CC66FA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399D4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3534A41">
            <w:pPr>
              <w:keepNext w:val="0"/>
              <w:keepLines w:val="0"/>
              <w:pageBreakBefore w:val="0"/>
              <w:widowControl w:val="0"/>
              <w:numPr>
                <w:ilvl w:val="0"/>
                <w:numId w:val="144"/>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246DCE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在工程设施、设备检修采用气焊与气割作业时，操作过程中防止回火、防止火星四处飞溅。</w:t>
            </w:r>
          </w:p>
        </w:tc>
        <w:tc>
          <w:tcPr>
            <w:tcW w:w="1457" w:type="pct"/>
            <w:vMerge w:val="continue"/>
            <w:tcBorders>
              <w:left w:val="single" w:color="auto" w:sz="4" w:space="0"/>
              <w:right w:val="single" w:color="auto" w:sz="4" w:space="0"/>
            </w:tcBorders>
            <w:noWrap w:val="0"/>
            <w:vAlign w:val="center"/>
          </w:tcPr>
          <w:p w14:paraId="4832A0B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p>
        </w:tc>
        <w:tc>
          <w:tcPr>
            <w:tcW w:w="400" w:type="pct"/>
            <w:vMerge w:val="continue"/>
            <w:tcBorders>
              <w:left w:val="single" w:color="auto" w:sz="4" w:space="0"/>
              <w:right w:val="single" w:color="auto" w:sz="4" w:space="0"/>
            </w:tcBorders>
            <w:noWrap w:val="0"/>
            <w:vAlign w:val="center"/>
          </w:tcPr>
          <w:p w14:paraId="3220E26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C984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FA4098B">
            <w:pPr>
              <w:keepNext w:val="0"/>
              <w:keepLines w:val="0"/>
              <w:pageBreakBefore w:val="0"/>
              <w:widowControl w:val="0"/>
              <w:numPr>
                <w:ilvl w:val="0"/>
                <w:numId w:val="144"/>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5AAC04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氧（压缩的）、乙炔应向有资质的正规供气厂家进行购买，使用过程中应严格按照氧、乙炔瓶操作规程进行作业，氧乙炔瓶周围严禁火源、易燃物质等物质堆存，并应设置严禁烟火的相关安全警示标志。</w:t>
            </w:r>
          </w:p>
        </w:tc>
        <w:tc>
          <w:tcPr>
            <w:tcW w:w="1457" w:type="pct"/>
            <w:vMerge w:val="continue"/>
            <w:tcBorders>
              <w:left w:val="single" w:color="auto" w:sz="4" w:space="0"/>
              <w:bottom w:val="single" w:color="auto" w:sz="4" w:space="0"/>
              <w:right w:val="single" w:color="auto" w:sz="4" w:space="0"/>
            </w:tcBorders>
            <w:noWrap w:val="0"/>
            <w:vAlign w:val="center"/>
          </w:tcPr>
          <w:p w14:paraId="217134B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p>
        </w:tc>
        <w:tc>
          <w:tcPr>
            <w:tcW w:w="400" w:type="pct"/>
            <w:vMerge w:val="continue"/>
            <w:tcBorders>
              <w:left w:val="single" w:color="auto" w:sz="4" w:space="0"/>
              <w:bottom w:val="single" w:color="auto" w:sz="4" w:space="0"/>
              <w:right w:val="single" w:color="auto" w:sz="4" w:space="0"/>
            </w:tcBorders>
            <w:noWrap w:val="0"/>
            <w:vAlign w:val="center"/>
          </w:tcPr>
          <w:p w14:paraId="5DD4AE8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74527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F7BAE22">
            <w:pPr>
              <w:keepNext w:val="0"/>
              <w:keepLines w:val="0"/>
              <w:pageBreakBefore w:val="0"/>
              <w:widowControl w:val="0"/>
              <w:numPr>
                <w:ilvl w:val="0"/>
                <w:numId w:val="138"/>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6B373A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润滑油、变压器油、不燃液压油</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17FE71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066B588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40659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E503B0E">
            <w:pPr>
              <w:keepNext w:val="0"/>
              <w:keepLines w:val="0"/>
              <w:pageBreakBefore w:val="0"/>
              <w:widowControl w:val="0"/>
              <w:numPr>
                <w:ilvl w:val="0"/>
                <w:numId w:val="145"/>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6F9817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用200L的闭口扁桶盛装，储存于阴凉、干燥、通风良好的桶装油间。</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EF258B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按要求储存。</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EE2CC4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49CE8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5C90541">
            <w:pPr>
              <w:keepNext w:val="0"/>
              <w:keepLines w:val="0"/>
              <w:pageBreakBefore w:val="0"/>
              <w:widowControl w:val="0"/>
              <w:numPr>
                <w:ilvl w:val="0"/>
                <w:numId w:val="145"/>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72D812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远离火种、热源。</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8169C1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已对员工进行教育培训。</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3F003AB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4B6B8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49718A6">
            <w:pPr>
              <w:keepNext w:val="0"/>
              <w:keepLines w:val="0"/>
              <w:pageBreakBefore w:val="0"/>
              <w:widowControl w:val="0"/>
              <w:numPr>
                <w:ilvl w:val="0"/>
                <w:numId w:val="145"/>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F4AF83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禁止使用易产生火花的机械设备和工具。</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EA03E5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已对员工进行教育培训。</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11998AA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20FC1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EC06581">
            <w:pPr>
              <w:keepNext w:val="0"/>
              <w:keepLines w:val="0"/>
              <w:pageBreakBefore w:val="0"/>
              <w:widowControl w:val="0"/>
              <w:numPr>
                <w:ilvl w:val="0"/>
                <w:numId w:val="145"/>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E6AD5F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储存区应备有合适的材料收容泄漏物。</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995B93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cs="宋体"/>
                <w:sz w:val="21"/>
                <w:szCs w:val="21"/>
                <w:lang w:val="en-US" w:eastAsia="zh-CN"/>
              </w:rPr>
              <w:t>有</w:t>
            </w:r>
            <w:r>
              <w:rPr>
                <w:rFonts w:hint="eastAsia" w:ascii="宋体" w:hAnsi="宋体" w:eastAsia="宋体" w:cs="宋体"/>
                <w:sz w:val="21"/>
                <w:szCs w:val="21"/>
              </w:rPr>
              <w:t>收容</w:t>
            </w:r>
            <w:r>
              <w:rPr>
                <w:rFonts w:hint="eastAsia" w:ascii="宋体" w:hAnsi="宋体" w:eastAsia="宋体" w:cs="宋体"/>
                <w:sz w:val="21"/>
                <w:szCs w:val="21"/>
                <w:lang w:val="en-US" w:eastAsia="zh-CN"/>
              </w:rPr>
              <w:t>装置。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7525028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0CED8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B1DC181">
            <w:pPr>
              <w:keepNext w:val="0"/>
              <w:keepLines w:val="0"/>
              <w:pageBreakBefore w:val="0"/>
              <w:widowControl w:val="0"/>
              <w:numPr>
                <w:ilvl w:val="0"/>
                <w:numId w:val="145"/>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9B6B12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液压设备经常检查维护，防止漏油。</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D0F5B8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default" w:ascii="宋体" w:hAnsi="宋体" w:eastAsia="宋体" w:cs="宋体"/>
                <w:sz w:val="21"/>
                <w:szCs w:val="21"/>
                <w:lang w:val="en-US" w:eastAsia="zh-CN"/>
              </w:rPr>
            </w:pPr>
            <w:r>
              <w:rPr>
                <w:rFonts w:hint="eastAsia" w:cs="宋体"/>
                <w:sz w:val="21"/>
                <w:szCs w:val="21"/>
                <w:lang w:val="en-US" w:eastAsia="zh-CN"/>
              </w:rPr>
              <w:t>定期检查。</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31BA1B6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7C724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9FBA924">
            <w:pPr>
              <w:keepNext w:val="0"/>
              <w:keepLines w:val="0"/>
              <w:pageBreakBefore w:val="0"/>
              <w:widowControl w:val="0"/>
              <w:numPr>
                <w:ilvl w:val="0"/>
                <w:numId w:val="145"/>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65A9FB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润滑油、液压油储存在修理车间。</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984E0D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default" w:ascii="宋体" w:hAnsi="宋体" w:eastAsia="宋体" w:cs="宋体"/>
                <w:sz w:val="21"/>
                <w:szCs w:val="21"/>
                <w:lang w:val="en-US" w:eastAsia="zh-CN"/>
              </w:rPr>
            </w:pPr>
            <w:r>
              <w:rPr>
                <w:rFonts w:hint="eastAsia" w:cs="宋体"/>
                <w:sz w:val="21"/>
                <w:szCs w:val="21"/>
                <w:lang w:val="en-US" w:eastAsia="zh-CN"/>
              </w:rPr>
              <w:t>按要求储存。</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1863D5C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17D19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1B1AC52">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center"/>
              <w:textAlignment w:val="auto"/>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二</w:t>
            </w: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2ECDF9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场地布置与运输</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8B4A47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74F0E9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878C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03E8D20">
            <w:pPr>
              <w:keepNext w:val="0"/>
              <w:keepLines w:val="0"/>
              <w:pageBreakBefore w:val="0"/>
              <w:widowControl w:val="0"/>
              <w:numPr>
                <w:ilvl w:val="0"/>
                <w:numId w:val="146"/>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default"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151A69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厂区、厂房安全出口、消防通道、安全通道及疏散指示标志</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63E848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5D31E9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1FAE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2A8780C">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default"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091C74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消防通道宽度及净空高度不低于4m，转弯半径满足消防车转弯要求；实际道路宽度为4</w:t>
            </w:r>
            <w:r>
              <w:rPr>
                <w:rFonts w:hint="eastAsia" w:cs="宋体"/>
                <w:sz w:val="21"/>
                <w:szCs w:val="21"/>
                <w:lang w:val="en-US" w:eastAsia="zh-CN"/>
              </w:rPr>
              <w:t>-</w:t>
            </w:r>
            <w:r>
              <w:rPr>
                <w:rFonts w:hint="eastAsia" w:ascii="宋体" w:hAnsi="宋体" w:eastAsia="宋体" w:cs="宋体"/>
                <w:sz w:val="21"/>
                <w:szCs w:val="21"/>
              </w:rPr>
              <w:t>12m满足消防要求。</w:t>
            </w:r>
          </w:p>
          <w:p w14:paraId="4397AB5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车间通道、门窗的开设，满足物料、设备运输，方便生产操作，按照有关标准、规范的要求设计，留有便于人员疏散的安全通道。</w:t>
            </w:r>
          </w:p>
          <w:p w14:paraId="2C95F92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车间安全出口设置疏散指示标志。</w:t>
            </w:r>
          </w:p>
          <w:p w14:paraId="1085573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规范物料堆放方式和地点，划分区域实行定置管理，严禁占用、堵塞安全通道和安全出口，物料的堆放按照相关要求控制高度，避免发生坍塌、掉落事故造成物体打击、堵塞安全通道的危险。</w:t>
            </w:r>
          </w:p>
          <w:p w14:paraId="666FBC5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固定设备、有封闭罩的运行设备旁的通道净宽不小于0.8m，运转机械旁的通道净宽不小于1.0m。</w:t>
            </w:r>
          </w:p>
          <w:p w14:paraId="6799038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交叉路口安全措施：</w:t>
            </w:r>
          </w:p>
          <w:p w14:paraId="742985D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1）加宽出入口的宽度，减少车辆可能发生的碰撞；</w:t>
            </w:r>
          </w:p>
          <w:p w14:paraId="7801937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2）交叉路口设置安全标示和减速带；</w:t>
            </w:r>
          </w:p>
          <w:p w14:paraId="6F82A21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3）设置并完善道路交通标识，设置人车分离线，在视线盲区设置凸视镜等；</w:t>
            </w:r>
          </w:p>
          <w:p w14:paraId="2805B39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4）实行人流、物流分开。</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17079E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cs="宋体"/>
                <w:sz w:val="21"/>
                <w:szCs w:val="21"/>
                <w:lang w:val="en-US" w:eastAsia="zh-CN"/>
              </w:rPr>
            </w:pPr>
            <w:r>
              <w:rPr>
                <w:rFonts w:hint="eastAsia" w:cs="宋体"/>
                <w:sz w:val="21"/>
                <w:szCs w:val="21"/>
                <w:lang w:val="en-US" w:eastAsia="zh-CN"/>
              </w:rPr>
              <w:t>安全出口和通道、消防通道、疏散指示标志按要求设置。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4002F19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4BBA4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16B4992">
            <w:pPr>
              <w:keepNext w:val="0"/>
              <w:keepLines w:val="0"/>
              <w:pageBreakBefore w:val="0"/>
              <w:widowControl w:val="0"/>
              <w:numPr>
                <w:ilvl w:val="0"/>
                <w:numId w:val="146"/>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default"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EE80DB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rPr>
              <w:t>运输安全措施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990E17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F16A8B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21761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1DA8C06">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default"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DB2C93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厂区道路与建（构）筑物之间的安全距离按照《工业企业厂内铁路、道路运输安全规程》（GB4387-2008）、《工业企业总平面设计规范》（GB50187-2012）等要求设计。</w:t>
            </w:r>
          </w:p>
          <w:p w14:paraId="1EDD9EF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该项目道路主要以生产、检修、消防为主，厂区外围已规划建设有路网，厂区内道路面宽为4</w:t>
            </w:r>
            <w:r>
              <w:rPr>
                <w:rFonts w:hint="eastAsia" w:cs="宋体"/>
                <w:sz w:val="21"/>
                <w:szCs w:val="21"/>
                <w:lang w:eastAsia="zh-CN"/>
              </w:rPr>
              <w:t>—</w:t>
            </w:r>
            <w:r>
              <w:rPr>
                <w:rFonts w:hint="eastAsia" w:ascii="宋体" w:hAnsi="宋体" w:eastAsia="宋体" w:cs="宋体"/>
                <w:sz w:val="21"/>
                <w:szCs w:val="21"/>
              </w:rPr>
              <w:t>12m，两侧人行道道路宽度1m。道路路面采用混凝土路面，汽车荷载按汽-20级计算。生产装置的检修区、各车间检修通道的入口为硬化区域。</w:t>
            </w:r>
          </w:p>
          <w:p w14:paraId="37274F3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厂内道路设置交通标志，其设置、位置、形式、尺寸、图案和颜色等符合《道路交通标志和标线》（GB5768）的规定。</w:t>
            </w:r>
          </w:p>
          <w:p w14:paraId="7A174F7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跨越道路上空架设管线的净高不低于5m，并设置限高标志。跨越主干道路上空的建筑物（或构筑物）距路面的净高不小于4m，便于消防车道通行。</w:t>
            </w:r>
          </w:p>
          <w:p w14:paraId="6B4F870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厂区入口处设置“减速慢行”、限速5km/h等标识；道路路基平整，强度应能满足荷载及车辆运输要求。</w:t>
            </w:r>
          </w:p>
          <w:p w14:paraId="64FCF83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厂内道路的转弯半径便于车辆通行，主、次干道的纵坡不大于8%。</w:t>
            </w:r>
          </w:p>
          <w:p w14:paraId="1395AB8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厂内道路设置交通安全警示标志，交通标志的位置、形式、尺寸、颜色等按照现行国家标准《道路交通标志和标线》（GB5768）的有关规定执行。</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536E61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厂区道路按要求设置。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5D4CCFC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42042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15FC2EA">
            <w:pPr>
              <w:keepNext w:val="0"/>
              <w:keepLines w:val="0"/>
              <w:pageBreakBefore w:val="0"/>
              <w:widowControl w:val="0"/>
              <w:numPr>
                <w:ilvl w:val="0"/>
                <w:numId w:val="146"/>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default"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9D5CCD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动力设施的分布及防范措施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FC12D6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6E2E04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09FF4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7840CC4">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default"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F74F3B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变配电室的位置</w:t>
            </w:r>
            <w:r>
              <w:rPr>
                <w:rFonts w:hint="eastAsia" w:cs="宋体"/>
                <w:sz w:val="21"/>
                <w:szCs w:val="21"/>
                <w:lang w:eastAsia="zh-CN"/>
              </w:rPr>
              <w:t>靠近</w:t>
            </w:r>
            <w:r>
              <w:rPr>
                <w:rFonts w:hint="eastAsia" w:ascii="宋体" w:hAnsi="宋体" w:eastAsia="宋体" w:cs="宋体"/>
                <w:sz w:val="21"/>
                <w:szCs w:val="21"/>
              </w:rPr>
              <w:t>项目</w:t>
            </w:r>
            <w:r>
              <w:rPr>
                <w:rFonts w:hint="eastAsia" w:cs="宋体"/>
                <w:sz w:val="21"/>
                <w:szCs w:val="21"/>
                <w:lang w:eastAsia="zh-CN"/>
              </w:rPr>
              <w:t>用电</w:t>
            </w:r>
            <w:r>
              <w:rPr>
                <w:rFonts w:hint="eastAsia" w:ascii="宋体" w:hAnsi="宋体" w:eastAsia="宋体" w:cs="宋体"/>
                <w:sz w:val="21"/>
                <w:szCs w:val="21"/>
              </w:rPr>
              <w:t>负荷中心—生产车间，采用密闭措施，减少在尘埃、腐蚀介质、周围环境干燥和无剧烈</w:t>
            </w:r>
            <w:r>
              <w:rPr>
                <w:rFonts w:hint="eastAsia" w:cs="宋体"/>
                <w:sz w:val="21"/>
                <w:szCs w:val="21"/>
                <w:lang w:eastAsia="zh-CN"/>
              </w:rPr>
              <w:t>振动</w:t>
            </w:r>
            <w:r>
              <w:rPr>
                <w:rFonts w:hint="eastAsia" w:ascii="宋体" w:hAnsi="宋体" w:eastAsia="宋体" w:cs="宋体"/>
                <w:sz w:val="21"/>
                <w:szCs w:val="21"/>
              </w:rPr>
              <w:t>的场所对配电室的影响，采取防火、防潮等措施，其他无关管道择地敷设，不从配电室内穿过。</w:t>
            </w:r>
          </w:p>
          <w:p w14:paraId="54B6585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屋顶承重构件的耐火等级不低于二级。</w:t>
            </w:r>
          </w:p>
          <w:p w14:paraId="72680FE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变配电室内及其他部位的电缆沟采取防水和排水措施。</w:t>
            </w:r>
          </w:p>
          <w:p w14:paraId="7B9A9C9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变配电室通风效果良好。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51F83C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配电室设置满足</w:t>
            </w:r>
            <w:r>
              <w:rPr>
                <w:rFonts w:hint="eastAsia" w:cs="宋体"/>
                <w:sz w:val="21"/>
                <w:szCs w:val="21"/>
                <w:lang w:val="en-US" w:eastAsia="zh-CN"/>
              </w:rPr>
              <w:t>规范</w:t>
            </w:r>
            <w:r>
              <w:rPr>
                <w:rFonts w:hint="eastAsia" w:ascii="宋体" w:hAnsi="宋体" w:eastAsia="宋体" w:cs="宋体"/>
                <w:sz w:val="21"/>
                <w:szCs w:val="21"/>
                <w:lang w:val="en-US" w:eastAsia="zh-CN"/>
              </w:rPr>
              <w:t>要求。</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722C859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3BEE5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135ED17">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center"/>
              <w:textAlignment w:val="auto"/>
              <w:rPr>
                <w:rFonts w:hint="eastAsia" w:ascii="宋体" w:hAnsi="宋体" w:eastAsia="宋体" w:cs="宋体"/>
                <w:sz w:val="21"/>
                <w:szCs w:val="21"/>
                <w:lang w:val="en-US" w:eastAsia="zh-CN"/>
              </w:rPr>
            </w:pPr>
            <w:r>
              <w:rPr>
                <w:rFonts w:hint="eastAsia" w:cs="宋体"/>
                <w:b/>
                <w:bCs/>
                <w:sz w:val="21"/>
                <w:szCs w:val="21"/>
                <w:lang w:val="en-US" w:eastAsia="zh-CN"/>
              </w:rPr>
              <w:t>三</w:t>
            </w: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6A3E40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rPr>
              <w:t>生产工艺及设备设施安全防范措施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11CDD9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b/>
                <w:bCs/>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4E848D7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45FD1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20138B7">
            <w:pPr>
              <w:keepNext w:val="0"/>
              <w:keepLines w:val="0"/>
              <w:pageBreakBefore w:val="0"/>
              <w:widowControl w:val="0"/>
              <w:numPr>
                <w:ilvl w:val="0"/>
                <w:numId w:val="147"/>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97F926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主要危险、有害因素防范措施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A3529A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8A2CBD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05FD7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28A0213">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7E7273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防火灾爆炸安全措施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603E76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1D2BDA9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3B5BF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6F933FB">
            <w:pPr>
              <w:keepNext w:val="0"/>
              <w:keepLines w:val="0"/>
              <w:pageBreakBefore w:val="0"/>
              <w:widowControl w:val="0"/>
              <w:numPr>
                <w:ilvl w:val="0"/>
                <w:numId w:val="14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6DE7EB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按《建筑设计防火规范[2018版]》（GB50016-2014）、《建筑灭火器配置设计规范》（GB50140-2005）的规定进行灭火器配置，并确保灭火器处于可用状态。</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38E99D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灭火器按设计要求配置。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5A9F1E1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418E4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D88A4D2">
            <w:pPr>
              <w:keepNext w:val="0"/>
              <w:keepLines w:val="0"/>
              <w:pageBreakBefore w:val="0"/>
              <w:widowControl w:val="0"/>
              <w:numPr>
                <w:ilvl w:val="0"/>
                <w:numId w:val="14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7B7B34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对于存在火灾爆炸危险区域的电气设备，选型严格按照《爆炸危险环境电力装置设计规范》（GB50058-2014）要求执行。</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4AA428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rPr>
              <w:t>电气设备选型</w:t>
            </w:r>
            <w:r>
              <w:rPr>
                <w:rFonts w:hint="eastAsia" w:ascii="宋体" w:hAnsi="宋体" w:eastAsia="宋体" w:cs="宋体"/>
                <w:sz w:val="21"/>
                <w:szCs w:val="21"/>
                <w:lang w:val="en-US" w:eastAsia="zh-CN"/>
              </w:rPr>
              <w:t>按设计要求执行。</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465E4F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2AA97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2661544">
            <w:pPr>
              <w:keepNext w:val="0"/>
              <w:keepLines w:val="0"/>
              <w:pageBreakBefore w:val="0"/>
              <w:widowControl w:val="0"/>
              <w:numPr>
                <w:ilvl w:val="0"/>
                <w:numId w:val="14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7BE809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对可燃物料集中管理，设置专门的管理制度和管理人员。</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4C6ECF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石油焦集中管理，有相应制度和管理人员。</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27A9EB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59B69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F135BFA">
            <w:pPr>
              <w:keepNext w:val="0"/>
              <w:keepLines w:val="0"/>
              <w:pageBreakBefore w:val="0"/>
              <w:widowControl w:val="0"/>
              <w:numPr>
                <w:ilvl w:val="0"/>
                <w:numId w:val="14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15D784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项目内部的各类压力容器严格按照压力容器进行管理，并设置符合要求的安全阀、泄压阀，定期请相关单位进行检测。</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A7C6BA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特种设备由专人管理，强检设备已定期检测合格。</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E7743D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23754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BB2FB40">
            <w:pPr>
              <w:keepNext w:val="0"/>
              <w:keepLines w:val="0"/>
              <w:pageBreakBefore w:val="0"/>
              <w:widowControl w:val="0"/>
              <w:numPr>
                <w:ilvl w:val="0"/>
                <w:numId w:val="14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470086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防止熔炼过程中逐步加料，造成大量热料喷出灼伤人员</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FFACEA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4463926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BFF9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D8DF4BE">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B5DEB0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1）严格控制入电炉原料粒度、水分（水分含量应小于8％），如炉料湿度大必须先烘烤干燥后方可入炉；</w:t>
            </w:r>
          </w:p>
          <w:p w14:paraId="5D0ECC8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2）项目设置原料棚，使入炉物料在入炉前长时间不受雨淋，并能长期自然干燥；</w:t>
            </w:r>
          </w:p>
          <w:p w14:paraId="1BCA290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3）电炉设置整体吸尘排烟罩，加强炉况观察和维护，确保炉况运行正常；</w:t>
            </w:r>
          </w:p>
          <w:p w14:paraId="3595737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4）当熔炼中发生熔池</w:t>
            </w:r>
            <w:r>
              <w:rPr>
                <w:rFonts w:hint="eastAsia" w:cs="宋体"/>
                <w:sz w:val="21"/>
                <w:szCs w:val="21"/>
                <w:lang w:eastAsia="zh-CN"/>
              </w:rPr>
              <w:t>物料</w:t>
            </w:r>
            <w:r>
              <w:rPr>
                <w:rFonts w:hint="eastAsia" w:ascii="宋体" w:hAnsi="宋体" w:eastAsia="宋体" w:cs="宋体"/>
                <w:sz w:val="21"/>
                <w:szCs w:val="21"/>
              </w:rPr>
              <w:t>剧烈沸腾时，炉面操作人员停止加料，立即远离炉门两侧，配电工应立即调整电流，必要时切断电源；</w:t>
            </w:r>
          </w:p>
          <w:p w14:paraId="417ABE3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5）配电工在吹球冷却操作中，先打铃示警并注意观察，</w:t>
            </w:r>
            <w:r>
              <w:rPr>
                <w:rFonts w:hint="eastAsia" w:ascii="宋体" w:hAnsi="宋体" w:eastAsia="宋体" w:cs="宋体"/>
                <w:sz w:val="21"/>
                <w:szCs w:val="21"/>
                <w:lang w:eastAsia="zh-CN"/>
              </w:rPr>
              <w:t>督促</w:t>
            </w:r>
            <w:r>
              <w:rPr>
                <w:rFonts w:hint="eastAsia" w:ascii="宋体" w:hAnsi="宋体" w:eastAsia="宋体" w:cs="宋体"/>
                <w:sz w:val="21"/>
                <w:szCs w:val="21"/>
              </w:rPr>
              <w:t>炉面作业人员离开炉旁，以防塌料引发热料喷溅灼伤事故发生；</w:t>
            </w:r>
          </w:p>
          <w:p w14:paraId="7B074B8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6）</w:t>
            </w:r>
            <w:r>
              <w:rPr>
                <w:rFonts w:hint="eastAsia" w:ascii="宋体" w:hAnsi="宋体" w:eastAsia="宋体" w:cs="宋体"/>
                <w:sz w:val="21"/>
                <w:szCs w:val="21"/>
                <w:lang w:val="en-US" w:eastAsia="zh-CN"/>
              </w:rPr>
              <w:t>严格石墨电极采购标准，加强监督管理，确保生产选用优质石墨电极，从工艺上控制石墨电极储存及运输中的防潮措施，加强石墨电极日常维护、检查，发现损坏，及时更换</w:t>
            </w:r>
            <w:r>
              <w:rPr>
                <w:rFonts w:hint="eastAsia" w:ascii="宋体" w:hAnsi="宋体" w:eastAsia="宋体" w:cs="宋体"/>
                <w:sz w:val="21"/>
                <w:szCs w:val="21"/>
              </w:rPr>
              <w:t>。</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86ABC8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已按安全设施设计要求设置和操作。</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2699EF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752E4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8E9315E">
            <w:pPr>
              <w:keepNext w:val="0"/>
              <w:keepLines w:val="0"/>
              <w:pageBreakBefore w:val="0"/>
              <w:widowControl w:val="0"/>
              <w:numPr>
                <w:ilvl w:val="0"/>
                <w:numId w:val="14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0029F3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防止爆溅灼伤人员</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F09244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F0D0A7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0BA7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3D7F45B">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D21C85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1）炉前加锆英砂料、吹球冷却作业过程中，防护挡板设施完好无损方能使用，作业时，要侧身操作；</w:t>
            </w:r>
          </w:p>
          <w:p w14:paraId="34106DE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2）作业要按规定穿戴好个人劳保防护用品，特别是防护面罩；</w:t>
            </w:r>
          </w:p>
          <w:p w14:paraId="75541F4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3）冶炼加料、翻料、取样，其用具均应干燥，以防爆溅灼伤人员；</w:t>
            </w:r>
          </w:p>
          <w:p w14:paraId="374034F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4）严禁人员在炉面、炉底旁及浇铸间摆放椅子休息；</w:t>
            </w:r>
          </w:p>
          <w:p w14:paraId="353CC9A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5）出氧化锆时，对炉口周围5m半径内的环境及出炉工具所用工具和溜槽等保持干燥，以防潮湿物件与熔体接触后爆炸伤人；</w:t>
            </w:r>
          </w:p>
          <w:p w14:paraId="781141B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6）加强炉前场地监督检查，发现电炉前场地积水，要及时疏排处理，避免接触引起爆炸灼伤事故发生。出硅口附近不放置易燃、易爆、有毒物品；</w:t>
            </w:r>
          </w:p>
          <w:p w14:paraId="4913FEB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7）电炉炉底设置事故池，事故池内铺设黄沙，容积大于炉膛体积，坑内内衬耐火砖，使流入事故坑；</w:t>
            </w:r>
          </w:p>
          <w:p w14:paraId="1F1EE96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8）炉子周围土建柱地面上1.0m处外包耐火砖，</w:t>
            </w:r>
            <w:r>
              <w:rPr>
                <w:rFonts w:hint="eastAsia" w:cs="宋体"/>
                <w:sz w:val="21"/>
                <w:szCs w:val="21"/>
                <w:lang w:eastAsia="zh-CN"/>
              </w:rPr>
              <w:t>防止</w:t>
            </w:r>
            <w:r>
              <w:rPr>
                <w:rFonts w:hint="eastAsia" w:ascii="宋体" w:hAnsi="宋体" w:eastAsia="宋体" w:cs="宋体"/>
                <w:sz w:val="21"/>
                <w:szCs w:val="21"/>
              </w:rPr>
              <w:t>对土建柱的危害；</w:t>
            </w:r>
          </w:p>
          <w:p w14:paraId="7FEDD09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9）生产车间（熔炼区）的地坪高出室外300mm，在出硅口、浇铸等有高温熔体经过和工作区域的地下不设置给排水管，地面保持干燥，防止漏水引起爆炸；</w:t>
            </w:r>
          </w:p>
          <w:p w14:paraId="03A7EF7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10）电炉、变压器等采用软水循环冷却，以防结垢。电炉的水冷却系统设温度极限指示及报警器。</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C1A578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r>
              <w:rPr>
                <w:rFonts w:hint="eastAsia" w:ascii="宋体" w:hAnsi="宋体" w:eastAsia="宋体" w:cs="宋体"/>
                <w:sz w:val="21"/>
                <w:szCs w:val="21"/>
              </w:rPr>
              <w:t>炉前加锆英砂料、吹球冷却作业</w:t>
            </w:r>
            <w:r>
              <w:rPr>
                <w:rFonts w:hint="eastAsia" w:ascii="宋体" w:hAnsi="宋体" w:eastAsia="宋体" w:cs="宋体"/>
                <w:sz w:val="21"/>
                <w:szCs w:val="21"/>
                <w:lang w:val="en-US" w:eastAsia="zh-CN"/>
              </w:rPr>
              <w:t>严格按规程执行；</w:t>
            </w:r>
          </w:p>
          <w:p w14:paraId="1FACC2D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2）作业人员规范佩戴防护用品作业；</w:t>
            </w:r>
          </w:p>
          <w:p w14:paraId="37E19C7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rPr>
              <w:t>加料、翻料、取样用具</w:t>
            </w:r>
            <w:r>
              <w:rPr>
                <w:rFonts w:hint="eastAsia" w:ascii="宋体" w:hAnsi="宋体" w:eastAsia="宋体" w:cs="宋体"/>
                <w:sz w:val="21"/>
                <w:szCs w:val="21"/>
                <w:lang w:val="en-US" w:eastAsia="zh-CN"/>
              </w:rPr>
              <w:t>已预热干燥；</w:t>
            </w:r>
          </w:p>
          <w:p w14:paraId="13FD23F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r>
              <w:rPr>
                <w:rFonts w:hint="eastAsia" w:ascii="宋体" w:hAnsi="宋体" w:eastAsia="宋体" w:cs="宋体"/>
                <w:sz w:val="21"/>
                <w:szCs w:val="21"/>
              </w:rPr>
              <w:t>炉面、炉底旁</w:t>
            </w:r>
            <w:r>
              <w:rPr>
                <w:rFonts w:hint="eastAsia" w:ascii="宋体" w:hAnsi="宋体" w:eastAsia="宋体" w:cs="宋体"/>
                <w:sz w:val="21"/>
                <w:szCs w:val="21"/>
                <w:lang w:val="en-US" w:eastAsia="zh-CN"/>
              </w:rPr>
              <w:t>未设置休息区；</w:t>
            </w:r>
          </w:p>
          <w:p w14:paraId="499178A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r>
              <w:rPr>
                <w:rFonts w:hint="eastAsia" w:ascii="宋体" w:hAnsi="宋体" w:eastAsia="宋体" w:cs="宋体"/>
                <w:sz w:val="21"/>
                <w:szCs w:val="21"/>
              </w:rPr>
              <w:t>氧化锆</w:t>
            </w:r>
            <w:r>
              <w:rPr>
                <w:rFonts w:hint="eastAsia" w:ascii="宋体" w:hAnsi="宋体" w:eastAsia="宋体" w:cs="宋体"/>
                <w:sz w:val="21"/>
                <w:szCs w:val="21"/>
                <w:lang w:val="en-US" w:eastAsia="zh-CN"/>
              </w:rPr>
              <w:t>出炉区的集球室和</w:t>
            </w:r>
            <w:r>
              <w:rPr>
                <w:rFonts w:hint="eastAsia" w:ascii="宋体" w:hAnsi="宋体" w:eastAsia="宋体" w:cs="宋体"/>
                <w:sz w:val="21"/>
                <w:szCs w:val="21"/>
              </w:rPr>
              <w:t>出炉工具</w:t>
            </w:r>
            <w:r>
              <w:rPr>
                <w:rFonts w:hint="eastAsia" w:ascii="宋体" w:hAnsi="宋体" w:eastAsia="宋体" w:cs="宋体"/>
                <w:sz w:val="21"/>
                <w:szCs w:val="21"/>
                <w:lang w:val="en-US" w:eastAsia="zh-CN"/>
              </w:rPr>
              <w:t>已预热干燥；</w:t>
            </w:r>
          </w:p>
          <w:p w14:paraId="60BD0BF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6）</w:t>
            </w:r>
            <w:r>
              <w:rPr>
                <w:rFonts w:hint="eastAsia" w:ascii="宋体" w:hAnsi="宋体" w:eastAsia="宋体" w:cs="宋体"/>
                <w:sz w:val="21"/>
                <w:szCs w:val="21"/>
              </w:rPr>
              <w:t>炉前场地</w:t>
            </w:r>
            <w:r>
              <w:rPr>
                <w:rFonts w:hint="eastAsia" w:ascii="宋体" w:hAnsi="宋体" w:eastAsia="宋体" w:cs="宋体"/>
                <w:sz w:val="21"/>
                <w:szCs w:val="21"/>
                <w:lang w:val="en-US" w:eastAsia="zh-CN"/>
              </w:rPr>
              <w:t>无积水；</w:t>
            </w:r>
            <w:r>
              <w:rPr>
                <w:rFonts w:hint="eastAsia" w:ascii="宋体" w:hAnsi="宋体" w:eastAsia="宋体" w:cs="宋体"/>
                <w:sz w:val="21"/>
                <w:szCs w:val="21"/>
              </w:rPr>
              <w:t>出硅口附近不放置易燃、易爆、有毒物品；</w:t>
            </w:r>
          </w:p>
          <w:p w14:paraId="3342CAB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7）本项目</w:t>
            </w:r>
            <w:r>
              <w:rPr>
                <w:rFonts w:hint="eastAsia" w:cs="宋体"/>
                <w:sz w:val="21"/>
                <w:szCs w:val="21"/>
                <w:lang w:val="en-US" w:eastAsia="zh-CN"/>
              </w:rPr>
              <w:t>采用外喷淋冷式特种电弧炉，其生产工艺要求炉底设置</w:t>
            </w:r>
            <w:r>
              <w:rPr>
                <w:rFonts w:hint="eastAsia" w:ascii="宋体" w:hAnsi="宋体" w:eastAsia="宋体" w:cs="宋体"/>
                <w:sz w:val="21"/>
                <w:szCs w:val="21"/>
                <w:lang w:val="en-US" w:eastAsia="zh-CN"/>
              </w:rPr>
              <w:t>集水坑和喷淋水系统；本条未按设计要求布置。</w:t>
            </w:r>
          </w:p>
          <w:p w14:paraId="1EA75B6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8）</w:t>
            </w:r>
            <w:r>
              <w:rPr>
                <w:rFonts w:hint="eastAsia" w:ascii="宋体" w:hAnsi="宋体" w:eastAsia="宋体" w:cs="宋体"/>
                <w:sz w:val="21"/>
                <w:szCs w:val="21"/>
              </w:rPr>
              <w:t>炉子周围土建柱地面上1.0m处外包耐火砖</w:t>
            </w:r>
            <w:r>
              <w:rPr>
                <w:rFonts w:hint="eastAsia" w:ascii="宋体" w:hAnsi="宋体" w:eastAsia="宋体" w:cs="宋体"/>
                <w:sz w:val="21"/>
                <w:szCs w:val="21"/>
                <w:lang w:eastAsia="zh-CN"/>
              </w:rPr>
              <w:t>；</w:t>
            </w:r>
          </w:p>
          <w:p w14:paraId="5E75A1B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9）电弧炉</w:t>
            </w:r>
            <w:r>
              <w:rPr>
                <w:rFonts w:hint="eastAsia" w:ascii="宋体" w:hAnsi="宋体" w:eastAsia="宋体" w:cs="宋体"/>
                <w:sz w:val="21"/>
                <w:szCs w:val="21"/>
              </w:rPr>
              <w:t>高温熔体</w:t>
            </w:r>
            <w:r>
              <w:rPr>
                <w:rFonts w:hint="eastAsia" w:ascii="宋体" w:hAnsi="宋体" w:eastAsia="宋体" w:cs="宋体"/>
                <w:sz w:val="21"/>
                <w:szCs w:val="21"/>
                <w:lang w:val="en-US" w:eastAsia="zh-CN"/>
              </w:rPr>
              <w:t>出料</w:t>
            </w:r>
            <w:r>
              <w:rPr>
                <w:rFonts w:hint="eastAsia" w:ascii="宋体" w:hAnsi="宋体" w:eastAsia="宋体" w:cs="宋体"/>
                <w:sz w:val="21"/>
                <w:szCs w:val="21"/>
              </w:rPr>
              <w:t>口</w:t>
            </w:r>
            <w:r>
              <w:rPr>
                <w:rFonts w:hint="eastAsia" w:ascii="宋体" w:hAnsi="宋体" w:eastAsia="宋体" w:cs="宋体"/>
                <w:sz w:val="21"/>
                <w:szCs w:val="21"/>
                <w:lang w:val="en-US" w:eastAsia="zh-CN"/>
              </w:rPr>
              <w:t>设置在集球室，室内</w:t>
            </w:r>
            <w:r>
              <w:rPr>
                <w:rFonts w:hint="eastAsia" w:ascii="宋体" w:hAnsi="宋体" w:eastAsia="宋体" w:cs="宋体"/>
                <w:sz w:val="21"/>
                <w:szCs w:val="21"/>
              </w:rPr>
              <w:t>地面干燥</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未设置地下排水管；</w:t>
            </w:r>
          </w:p>
          <w:p w14:paraId="0D21E38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r>
              <w:rPr>
                <w:rFonts w:hint="eastAsia" w:ascii="宋体" w:hAnsi="宋体" w:eastAsia="宋体" w:cs="宋体"/>
                <w:sz w:val="21"/>
                <w:szCs w:val="21"/>
              </w:rPr>
              <w:t>电炉、变压器等采用软水循环冷却</w:t>
            </w:r>
            <w:r>
              <w:rPr>
                <w:rFonts w:hint="eastAsia" w:ascii="宋体" w:hAnsi="宋体" w:eastAsia="宋体" w:cs="宋体"/>
                <w:sz w:val="21"/>
                <w:szCs w:val="21"/>
                <w:lang w:eastAsia="zh-CN"/>
              </w:rPr>
              <w:t>；</w:t>
            </w:r>
            <w:r>
              <w:rPr>
                <w:rFonts w:hint="eastAsia" w:ascii="宋体" w:hAnsi="宋体" w:eastAsia="宋体" w:cs="宋体"/>
                <w:sz w:val="21"/>
                <w:szCs w:val="21"/>
              </w:rPr>
              <w:t>电炉的水冷却系统设</w:t>
            </w:r>
            <w:r>
              <w:rPr>
                <w:rFonts w:hint="eastAsia" w:ascii="宋体" w:hAnsi="宋体" w:eastAsia="宋体" w:cs="宋体"/>
                <w:sz w:val="21"/>
                <w:szCs w:val="21"/>
                <w:lang w:val="en-US" w:eastAsia="zh-CN"/>
              </w:rPr>
              <w:t>有</w:t>
            </w:r>
            <w:r>
              <w:rPr>
                <w:rFonts w:hint="eastAsia" w:ascii="宋体" w:hAnsi="宋体" w:eastAsia="宋体" w:cs="宋体"/>
                <w:sz w:val="21"/>
                <w:szCs w:val="21"/>
              </w:rPr>
              <w:t>温度极限指示及报警器。</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7AC76E4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3CB93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6AFF318">
            <w:pPr>
              <w:keepNext w:val="0"/>
              <w:keepLines w:val="0"/>
              <w:pageBreakBefore w:val="0"/>
              <w:widowControl w:val="0"/>
              <w:numPr>
                <w:ilvl w:val="0"/>
                <w:numId w:val="14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4A4756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在工艺设计中重要设备均设置相应的备品、备件或备用系统。</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022395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已配置备品、备件。</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9E72F3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544C9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2998EEC">
            <w:pPr>
              <w:keepNext w:val="0"/>
              <w:keepLines w:val="0"/>
              <w:pageBreakBefore w:val="0"/>
              <w:widowControl w:val="0"/>
              <w:numPr>
                <w:ilvl w:val="0"/>
                <w:numId w:val="14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FFF1FA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电炉水冷元件应配置出水温度与进出水流量差检测、报警装置及温度监测，设置防止冷却水大量进入炉内快速切断阀等的安全设施。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AC68F3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A188A4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4BCFC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FA0980E">
            <w:pPr>
              <w:keepNext w:val="0"/>
              <w:keepLines w:val="0"/>
              <w:pageBreakBefore w:val="0"/>
              <w:widowControl w:val="0"/>
              <w:numPr>
                <w:ilvl w:val="0"/>
                <w:numId w:val="14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1B2723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电炉液压油采用水乙二醇等符合国家及行业要求的抗燃液压油，可以有效避免和减少因普通液压油泄漏引起的火灾事故。</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0D4F49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7CDD617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6D77E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B5469FE">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9DA3AD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防灼烫安全措施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681684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0695634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0C3FE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69DB267">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65656A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（1）项目熔炼炉管道等高温设备及管线采取绝热防护措施，设置隔热耐火砖。可能发生灼烫危险的部位设置安全警示标志。</w:t>
            </w:r>
          </w:p>
          <w:p w14:paraId="3947FA6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2）高温管线及设备做好保温，在工人有可能身体接触的高温设备管线处设人身防护，并设置明显的防高温警示标识，以提醒操作人员小心操作，防止烫伤。保温厚度为40～130mm，保温材料采用复合硅酸盐，保护层采用0.5mm厚的镀锌彩钢板。</w:t>
            </w:r>
          </w:p>
          <w:p w14:paraId="195ED75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（3）定期对职工进行安全培训，加强防烫伤安全意识。生产过程中严格按照岗位操作要求进行，严禁违章、违规等操作。</w:t>
            </w:r>
          </w:p>
          <w:p w14:paraId="6677800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（4）按《个体防护装备配备规范 第1部分：总则》（GB 39800.1-2020）的要求，为作业人员配发防护面罩、防护手套、防护服等劳动防护用品。加强个人保护，配备防高温手套，减少高温对人的伤害。涉及高温物料作业，穿戴相应防护用品如防护手套及防护眼镜等。</w:t>
            </w:r>
          </w:p>
          <w:p w14:paraId="1177E74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炉口操作平台、吹球设有移动式轴流通风机，工人操作时开启；熔炼炉及吹球区设有挡板作隔热防护；在温度较高的工作场所的操作人员采取个体防护与保健措施。</w:t>
            </w:r>
          </w:p>
          <w:p w14:paraId="3FEFB0D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在工序内部设置操作室、工人休息室等，并在室内设置必要的风扇或空调等装置。</w:t>
            </w:r>
          </w:p>
          <w:p w14:paraId="1C72A4C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设计中防暑和热辐射措施，使工作场所炎热季节气温</w:t>
            </w:r>
            <w:r>
              <w:rPr>
                <w:rFonts w:hint="eastAsia" w:cs="宋体"/>
                <w:sz w:val="21"/>
                <w:szCs w:val="21"/>
                <w:lang w:eastAsia="zh-CN"/>
              </w:rPr>
              <w:t>符合</w:t>
            </w:r>
            <w:r>
              <w:rPr>
                <w:rFonts w:hint="eastAsia" w:ascii="宋体" w:hAnsi="宋体" w:eastAsia="宋体" w:cs="宋体"/>
                <w:sz w:val="21"/>
                <w:szCs w:val="21"/>
              </w:rPr>
              <w:t>《工业企业设计卫生标准》相应的要求；经采取上述措施后，休息室夏季温度、工作地点室内温度能达到《采暖通风与空气调节设计规范》等相应规定。</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503FD6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已按安全设施设计要求设置和操作。</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1082C1C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00D1E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D3C77BD">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5637A1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防机械伤害安全措施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539C58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E00028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397BB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4FC4D27">
            <w:pPr>
              <w:keepNext w:val="0"/>
              <w:keepLines w:val="0"/>
              <w:pageBreakBefore w:val="0"/>
              <w:widowControl w:val="0"/>
              <w:numPr>
                <w:ilvl w:val="0"/>
                <w:numId w:val="15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E52402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机械设备选择</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0DF10F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176866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37B62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5E5AF7F">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000B17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1）机械设备选型原则：既要满足生产工艺的要求，又要综合考虑以最少的投资选购高质量、高效率、功能全和能耗小的产品。同时，设备选型要保证生产操作简便、清洗和维修方便、运行可靠、出现故障少，此外还要考虑配套性好和选用必要的备用设备，保证在重要设备检修期间也能进行正常生产。</w:t>
            </w:r>
          </w:p>
          <w:p w14:paraId="7BD8FBC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2）机械设备应选购经国家认证的设计制造企业的产品。</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E38803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机械设备已按设计要求选型和采购。</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5A57C0C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5D515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2901DF8">
            <w:pPr>
              <w:keepNext w:val="0"/>
              <w:keepLines w:val="0"/>
              <w:pageBreakBefore w:val="0"/>
              <w:widowControl w:val="0"/>
              <w:numPr>
                <w:ilvl w:val="0"/>
                <w:numId w:val="15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B51BD5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安全防护、安全隔离措施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13165A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782C3E5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7DF6F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6F78B6C">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8B1543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1）为防机械伤害，各种传动设备旁设置 “事故停机”按钮，对皮带轮、齿轮、飞轮、</w:t>
            </w:r>
            <w:r>
              <w:rPr>
                <w:rFonts w:hint="eastAsia" w:cs="宋体"/>
                <w:b w:val="0"/>
                <w:bCs w:val="0"/>
                <w:sz w:val="21"/>
                <w:szCs w:val="21"/>
                <w:lang w:eastAsia="zh-CN"/>
              </w:rPr>
              <w:t>联轴器</w:t>
            </w:r>
            <w:r>
              <w:rPr>
                <w:rFonts w:hint="eastAsia" w:ascii="宋体" w:hAnsi="宋体" w:eastAsia="宋体" w:cs="宋体"/>
                <w:b w:val="0"/>
                <w:bCs w:val="0"/>
                <w:sz w:val="21"/>
                <w:szCs w:val="21"/>
              </w:rPr>
              <w:t>等传动件设置防护罩；对于可能产生机械伤害</w:t>
            </w:r>
            <w:r>
              <w:rPr>
                <w:rFonts w:hint="eastAsia" w:cs="宋体"/>
                <w:b w:val="0"/>
                <w:bCs w:val="0"/>
                <w:sz w:val="21"/>
                <w:szCs w:val="21"/>
                <w:lang w:eastAsia="zh-CN"/>
              </w:rPr>
              <w:t>的其他</w:t>
            </w:r>
            <w:r>
              <w:rPr>
                <w:rFonts w:hint="eastAsia" w:ascii="宋体" w:hAnsi="宋体" w:eastAsia="宋体" w:cs="宋体"/>
                <w:b w:val="0"/>
                <w:bCs w:val="0"/>
                <w:sz w:val="21"/>
                <w:szCs w:val="21"/>
              </w:rPr>
              <w:t>部位，采用设置安全罩、挡板或防护栏杆等安全措施，同时以警示标志提醒作业人员注意；为保障安全生产，在易发生机伤处及开关、按钮箱处都设置安全标志。</w:t>
            </w:r>
          </w:p>
          <w:p w14:paraId="15F9519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生产线上凡是由中央控制室集中控制的电动机，在控制室设置正常运行和事故报警装置的声光信号，在电动机启动前发出声光开车信号。并且，集中控制的电机均在机旁设单机开、停机按钮及可以解除遥控的钥匙按钮，以防误操作造成安全事故，并便于检修、试车和紧急停车。</w:t>
            </w:r>
          </w:p>
          <w:p w14:paraId="18BC1F3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3）为防止误操作，在控制回路设计中设置相应的电气联锁以及机械联锁。</w:t>
            </w:r>
          </w:p>
          <w:p w14:paraId="0406698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4）操作人员在设备运行时可能触及的可动零部件，配置必要的安全防护装置。</w:t>
            </w:r>
          </w:p>
          <w:p w14:paraId="050A629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5）泵的联轴器等设备转（传）动外露装置处设置有效的机械防护装置，如防护罩、防护网等；设备控制柜设置紧急停车按钮。</w:t>
            </w:r>
          </w:p>
          <w:p w14:paraId="7A75F85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6）高速旋转或往复运动的机械零部件设置可靠的防护设施、挡板或安全围栏。</w:t>
            </w:r>
          </w:p>
          <w:p w14:paraId="1AC4797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表6.2-1 防护围栏的高度标准</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5"/>
              <w:gridCol w:w="1939"/>
              <w:gridCol w:w="1061"/>
            </w:tblGrid>
            <w:tr w14:paraId="27829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6" w:type="pct"/>
                  <w:vAlign w:val="center"/>
                </w:tcPr>
                <w:p w14:paraId="7E73D67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围栏的种类</w:t>
                  </w:r>
                </w:p>
              </w:tc>
              <w:tc>
                <w:tcPr>
                  <w:tcW w:w="2284" w:type="pct"/>
                  <w:vAlign w:val="center"/>
                </w:tcPr>
                <w:p w14:paraId="3CF77B1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具体目的</w:t>
                  </w:r>
                </w:p>
              </w:tc>
              <w:tc>
                <w:tcPr>
                  <w:tcW w:w="1250" w:type="pct"/>
                  <w:vAlign w:val="center"/>
                </w:tcPr>
                <w:p w14:paraId="7D39A52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高度的标准</w:t>
                  </w:r>
                </w:p>
              </w:tc>
            </w:tr>
            <w:tr w14:paraId="2A82D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6" w:type="pct"/>
                  <w:vAlign w:val="center"/>
                </w:tcPr>
                <w:p w14:paraId="5759D6C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禁止进入的安全栏</w:t>
                  </w:r>
                </w:p>
              </w:tc>
              <w:tc>
                <w:tcPr>
                  <w:tcW w:w="2284" w:type="pct"/>
                  <w:vAlign w:val="center"/>
                </w:tcPr>
                <w:p w14:paraId="2C924A8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防止与危险部分的接近和接触</w:t>
                  </w:r>
                </w:p>
              </w:tc>
              <w:tc>
                <w:tcPr>
                  <w:tcW w:w="1250" w:type="pct"/>
                  <w:vAlign w:val="center"/>
                </w:tcPr>
                <w:p w14:paraId="034288B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≥1200mm</w:t>
                  </w:r>
                </w:p>
              </w:tc>
            </w:tr>
            <w:tr w14:paraId="1A23F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6" w:type="pct"/>
                  <w:vAlign w:val="center"/>
                </w:tcPr>
                <w:p w14:paraId="77C32D8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防止坠落的扶手</w:t>
                  </w:r>
                </w:p>
              </w:tc>
              <w:tc>
                <w:tcPr>
                  <w:tcW w:w="2284" w:type="pct"/>
                  <w:vAlign w:val="center"/>
                </w:tcPr>
                <w:p w14:paraId="15B75F9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防止操作者从高处坠落。</w:t>
                  </w:r>
                </w:p>
              </w:tc>
              <w:tc>
                <w:tcPr>
                  <w:tcW w:w="1250" w:type="pct"/>
                  <w:vAlign w:val="center"/>
                </w:tcPr>
                <w:p w14:paraId="36DB67A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≥1100mm</w:t>
                  </w:r>
                </w:p>
              </w:tc>
            </w:tr>
            <w:tr w14:paraId="7E3ED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6" w:type="pct"/>
                  <w:vAlign w:val="center"/>
                </w:tcPr>
                <w:p w14:paraId="6FCD090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区域划分栏</w:t>
                  </w:r>
                </w:p>
              </w:tc>
              <w:tc>
                <w:tcPr>
                  <w:tcW w:w="2284" w:type="pct"/>
                  <w:vAlign w:val="center"/>
                </w:tcPr>
                <w:p w14:paraId="27E03EC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区域划分。</w:t>
                  </w:r>
                  <w:r>
                    <w:rPr>
                      <w:rFonts w:hint="eastAsia" w:cs="宋体"/>
                      <w:b w:val="0"/>
                      <w:bCs w:val="0"/>
                      <w:sz w:val="21"/>
                      <w:szCs w:val="21"/>
                      <w:lang w:eastAsia="zh-CN"/>
                    </w:rPr>
                    <w:t>（</w:t>
                  </w:r>
                  <w:r>
                    <w:rPr>
                      <w:rFonts w:hint="eastAsia" w:ascii="宋体" w:hAnsi="宋体" w:eastAsia="宋体" w:cs="宋体"/>
                      <w:b w:val="0"/>
                      <w:bCs w:val="0"/>
                      <w:sz w:val="21"/>
                      <w:szCs w:val="21"/>
                    </w:rPr>
                    <w:t>属人、车通道</w:t>
                  </w:r>
                  <w:r>
                    <w:rPr>
                      <w:rFonts w:hint="eastAsia" w:cs="宋体"/>
                      <w:b w:val="0"/>
                      <w:bCs w:val="0"/>
                      <w:sz w:val="21"/>
                      <w:szCs w:val="21"/>
                      <w:lang w:eastAsia="zh-CN"/>
                    </w:rPr>
                    <w:t>）</w:t>
                  </w:r>
                </w:p>
              </w:tc>
              <w:tc>
                <w:tcPr>
                  <w:tcW w:w="1250" w:type="pct"/>
                  <w:vAlign w:val="center"/>
                </w:tcPr>
                <w:p w14:paraId="60D59EE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1000mm左右</w:t>
                  </w:r>
                </w:p>
              </w:tc>
            </w:tr>
          </w:tbl>
          <w:p w14:paraId="4C876C0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A</w:t>
            </w:r>
            <w:r>
              <w:rPr>
                <w:rFonts w:hint="eastAsia" w:ascii="宋体" w:hAnsi="宋体" w:eastAsia="宋体" w:cs="宋体"/>
                <w:b w:val="0"/>
                <w:bCs w:val="0"/>
                <w:sz w:val="21"/>
                <w:szCs w:val="21"/>
              </w:rPr>
              <w:t>防止手从围栏间隙触摸设备的对策：</w:t>
            </w:r>
          </w:p>
          <w:p w14:paraId="01742D8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a</w:t>
            </w:r>
            <w:r>
              <w:rPr>
                <w:rFonts w:hint="eastAsia" w:ascii="宋体" w:hAnsi="宋体" w:eastAsia="宋体" w:cs="宋体"/>
                <w:b w:val="0"/>
                <w:bCs w:val="0"/>
                <w:sz w:val="21"/>
                <w:szCs w:val="21"/>
              </w:rPr>
              <w:t>护栏与危险地方要距离750mm以上；</w:t>
            </w:r>
          </w:p>
          <w:p w14:paraId="4BFA9CD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b</w:t>
            </w:r>
            <w:r>
              <w:rPr>
                <w:rFonts w:hint="eastAsia" w:ascii="宋体" w:hAnsi="宋体" w:eastAsia="宋体" w:cs="宋体"/>
                <w:b w:val="0"/>
                <w:bCs w:val="0"/>
                <w:sz w:val="21"/>
                <w:szCs w:val="21"/>
              </w:rPr>
              <w:t>围栏上装金属网；③危险部分要设置防护罩。</w:t>
            </w:r>
            <w:r>
              <w:rPr>
                <w:rFonts w:hint="eastAsia" w:cs="宋体"/>
                <w:b w:val="0"/>
                <w:bCs w:val="0"/>
                <w:sz w:val="21"/>
                <w:szCs w:val="21"/>
                <w:lang w:eastAsia="zh-CN"/>
              </w:rPr>
              <w:t>（</w:t>
            </w:r>
            <w:r>
              <w:rPr>
                <w:rFonts w:hint="eastAsia" w:ascii="宋体" w:hAnsi="宋体" w:eastAsia="宋体" w:cs="宋体"/>
                <w:b w:val="0"/>
                <w:bCs w:val="0"/>
                <w:sz w:val="21"/>
                <w:szCs w:val="21"/>
              </w:rPr>
              <w:t>符合其中之一</w:t>
            </w:r>
            <w:r>
              <w:rPr>
                <w:rFonts w:hint="eastAsia" w:cs="宋体"/>
                <w:b w:val="0"/>
                <w:bCs w:val="0"/>
                <w:sz w:val="21"/>
                <w:szCs w:val="21"/>
                <w:lang w:eastAsia="zh-CN"/>
              </w:rPr>
              <w:t>）</w:t>
            </w:r>
            <w:r>
              <w:rPr>
                <w:rFonts w:hint="eastAsia" w:ascii="宋体" w:hAnsi="宋体" w:eastAsia="宋体" w:cs="宋体"/>
                <w:b w:val="0"/>
                <w:bCs w:val="0"/>
                <w:sz w:val="21"/>
                <w:szCs w:val="21"/>
              </w:rPr>
              <w:t xml:space="preserve"> </w:t>
            </w:r>
          </w:p>
          <w:p w14:paraId="47871F0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B</w:t>
            </w:r>
            <w:r>
              <w:rPr>
                <w:rFonts w:hint="eastAsia" w:ascii="宋体" w:hAnsi="宋体" w:eastAsia="宋体" w:cs="宋体"/>
                <w:b w:val="0"/>
                <w:bCs w:val="0"/>
                <w:sz w:val="21"/>
                <w:szCs w:val="21"/>
              </w:rPr>
              <w:t>围栏的间隙：</w:t>
            </w:r>
          </w:p>
          <w:p w14:paraId="11673F9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a</w:t>
            </w:r>
            <w:r>
              <w:rPr>
                <w:rFonts w:hint="eastAsia" w:ascii="宋体" w:hAnsi="宋体" w:eastAsia="宋体" w:cs="宋体"/>
                <w:b w:val="0"/>
                <w:bCs w:val="0"/>
                <w:sz w:val="21"/>
                <w:szCs w:val="21"/>
              </w:rPr>
              <w:t>纵向间隙在150mm以内。</w:t>
            </w:r>
          </w:p>
          <w:p w14:paraId="7D3D3C3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b</w:t>
            </w:r>
            <w:r>
              <w:rPr>
                <w:rFonts w:hint="eastAsia" w:ascii="宋体" w:hAnsi="宋体" w:eastAsia="宋体" w:cs="宋体"/>
                <w:b w:val="0"/>
                <w:bCs w:val="0"/>
                <w:sz w:val="21"/>
                <w:szCs w:val="21"/>
              </w:rPr>
              <w:t>围栏间以及围栏与固定物间隙150mm以内。</w:t>
            </w:r>
          </w:p>
          <w:p w14:paraId="685EACC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c</w:t>
            </w:r>
            <w:r>
              <w:rPr>
                <w:rFonts w:hint="eastAsia" w:ascii="宋体" w:hAnsi="宋体" w:eastAsia="宋体" w:cs="宋体"/>
                <w:b w:val="0"/>
                <w:bCs w:val="0"/>
                <w:sz w:val="21"/>
                <w:szCs w:val="21"/>
              </w:rPr>
              <w:t>地面与围栏下面的间隙200mm以下。</w:t>
            </w:r>
          </w:p>
          <w:p w14:paraId="47FB86A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防护罩应具备足够的强度、硬度，一般用金属材料制作，在满足上述要求的前提下也可用</w:t>
            </w:r>
            <w:r>
              <w:rPr>
                <w:rFonts w:hint="eastAsia" w:cs="宋体"/>
                <w:b w:val="0"/>
                <w:bCs w:val="0"/>
                <w:sz w:val="21"/>
                <w:szCs w:val="21"/>
                <w:lang w:eastAsia="zh-CN"/>
              </w:rPr>
              <w:t>其他的</w:t>
            </w:r>
            <w:r>
              <w:rPr>
                <w:rFonts w:hint="eastAsia" w:ascii="宋体" w:hAnsi="宋体" w:eastAsia="宋体" w:cs="宋体"/>
                <w:b w:val="0"/>
                <w:bCs w:val="0"/>
                <w:sz w:val="21"/>
                <w:szCs w:val="21"/>
              </w:rPr>
              <w:t>材料制作。</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5A3086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rPr>
              <w:t>安全防护、安全隔离</w:t>
            </w:r>
            <w:r>
              <w:rPr>
                <w:rFonts w:hint="eastAsia" w:ascii="宋体" w:hAnsi="宋体" w:eastAsia="宋体" w:cs="宋体"/>
                <w:b w:val="0"/>
                <w:bCs w:val="0"/>
                <w:sz w:val="21"/>
                <w:szCs w:val="21"/>
                <w:lang w:val="en-US" w:eastAsia="zh-CN"/>
              </w:rPr>
              <w:t>装置已按设计要求设置。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5D9C6E0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2A946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80D6BD2">
            <w:pPr>
              <w:keepNext w:val="0"/>
              <w:keepLines w:val="0"/>
              <w:pageBreakBefore w:val="0"/>
              <w:widowControl w:val="0"/>
              <w:numPr>
                <w:ilvl w:val="0"/>
                <w:numId w:val="15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269436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一般情况下，应采用固定式全封闭结构防护罩，可根据实际需要选择钢板防护罩或网状结构防护罩。经常进行调节和维护的运动部件应采用联锁式防护罩，或采用开启式、可调式防护罩。 进行拆下防护罩作业前，须挂“有人作业，禁止合闸”停机牌，确保断电使设备停机，防止误操作。</w:t>
            </w:r>
          </w:p>
          <w:p w14:paraId="5AF23C8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防护罩应尽量采用封闭结构；当现场需要采用网状结构时，应满足对不同网眼开口尺寸的安全距离（防护罩外缘与危险区域——人体进入后，可能引起致伤危险的空间区域）间的直线距离的规定。见下表：</w:t>
            </w:r>
          </w:p>
          <w:p w14:paraId="1A08BE0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表6.2-2防护罩网眼开口宽度及安全距离表</w:t>
            </w:r>
          </w:p>
          <w:tbl>
            <w:tblPr>
              <w:tblStyle w:val="32"/>
              <w:tblW w:w="4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0"/>
              <w:gridCol w:w="1820"/>
              <w:gridCol w:w="948"/>
            </w:tblGrid>
            <w:tr w14:paraId="2727A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490" w:type="dxa"/>
                  <w:vAlign w:val="center"/>
                </w:tcPr>
                <w:p w14:paraId="5C6F6BE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防护人体通过部位</w:t>
                  </w:r>
                </w:p>
              </w:tc>
              <w:tc>
                <w:tcPr>
                  <w:tcW w:w="1820" w:type="dxa"/>
                  <w:vAlign w:val="center"/>
                </w:tcPr>
                <w:p w14:paraId="398BA12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网眼开口宽度（直径及边长或椭圆形孔短轴尺寸）mm</w:t>
                  </w:r>
                </w:p>
              </w:tc>
              <w:tc>
                <w:tcPr>
                  <w:tcW w:w="948" w:type="dxa"/>
                  <w:vAlign w:val="center"/>
                </w:tcPr>
                <w:p w14:paraId="3CB281B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安全距离 mm</w:t>
                  </w:r>
                </w:p>
              </w:tc>
            </w:tr>
            <w:tr w14:paraId="17337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490" w:type="dxa"/>
                  <w:vAlign w:val="center"/>
                </w:tcPr>
                <w:p w14:paraId="369696B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手指尖</w:t>
                  </w:r>
                </w:p>
              </w:tc>
              <w:tc>
                <w:tcPr>
                  <w:tcW w:w="1820" w:type="dxa"/>
                  <w:vAlign w:val="center"/>
                </w:tcPr>
                <w:p w14:paraId="4A21967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&lt;6.5mm</w:t>
                  </w:r>
                </w:p>
              </w:tc>
              <w:tc>
                <w:tcPr>
                  <w:tcW w:w="948" w:type="dxa"/>
                  <w:vAlign w:val="center"/>
                </w:tcPr>
                <w:p w14:paraId="059744B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≥35</w:t>
                  </w:r>
                </w:p>
              </w:tc>
            </w:tr>
            <w:tr w14:paraId="79804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490" w:type="dxa"/>
                  <w:vAlign w:val="center"/>
                </w:tcPr>
                <w:p w14:paraId="2CF1E9F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手指</w:t>
                  </w:r>
                </w:p>
              </w:tc>
              <w:tc>
                <w:tcPr>
                  <w:tcW w:w="1820" w:type="dxa"/>
                  <w:vAlign w:val="center"/>
                </w:tcPr>
                <w:p w14:paraId="57A961A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&lt;12.5mm</w:t>
                  </w:r>
                </w:p>
              </w:tc>
              <w:tc>
                <w:tcPr>
                  <w:tcW w:w="948" w:type="dxa"/>
                  <w:vAlign w:val="center"/>
                </w:tcPr>
                <w:p w14:paraId="1815057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≥92</w:t>
                  </w:r>
                </w:p>
              </w:tc>
            </w:tr>
            <w:tr w14:paraId="01024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490" w:type="dxa"/>
                  <w:vAlign w:val="center"/>
                </w:tcPr>
                <w:p w14:paraId="48F74F7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手掌（不含第一掌指关节）</w:t>
                  </w:r>
                </w:p>
              </w:tc>
              <w:tc>
                <w:tcPr>
                  <w:tcW w:w="1820" w:type="dxa"/>
                  <w:vAlign w:val="center"/>
                </w:tcPr>
                <w:p w14:paraId="52AF52F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&lt;20</w:t>
                  </w:r>
                </w:p>
              </w:tc>
              <w:tc>
                <w:tcPr>
                  <w:tcW w:w="948" w:type="dxa"/>
                  <w:vAlign w:val="center"/>
                </w:tcPr>
                <w:p w14:paraId="2B0F321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≥135</w:t>
                  </w:r>
                </w:p>
              </w:tc>
            </w:tr>
            <w:tr w14:paraId="60895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490" w:type="dxa"/>
                  <w:vAlign w:val="center"/>
                </w:tcPr>
                <w:p w14:paraId="508DB85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上肢</w:t>
                  </w:r>
                </w:p>
              </w:tc>
              <w:tc>
                <w:tcPr>
                  <w:tcW w:w="1820" w:type="dxa"/>
                  <w:vAlign w:val="center"/>
                </w:tcPr>
                <w:p w14:paraId="67E5D85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&lt;47</w:t>
                  </w:r>
                </w:p>
              </w:tc>
              <w:tc>
                <w:tcPr>
                  <w:tcW w:w="948" w:type="dxa"/>
                  <w:vAlign w:val="center"/>
                </w:tcPr>
                <w:p w14:paraId="77AA6FA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≥460</w:t>
                  </w:r>
                </w:p>
              </w:tc>
            </w:tr>
            <w:tr w14:paraId="0E30A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490" w:type="dxa"/>
                  <w:vAlign w:val="center"/>
                </w:tcPr>
                <w:p w14:paraId="10372C5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足尖</w:t>
                  </w:r>
                </w:p>
              </w:tc>
              <w:tc>
                <w:tcPr>
                  <w:tcW w:w="1820" w:type="dxa"/>
                  <w:vAlign w:val="center"/>
                </w:tcPr>
                <w:p w14:paraId="2FADE03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&lt;76（罩底部与所站面间隙）</w:t>
                  </w:r>
                </w:p>
              </w:tc>
              <w:tc>
                <w:tcPr>
                  <w:tcW w:w="948" w:type="dxa"/>
                  <w:vAlign w:val="center"/>
                </w:tcPr>
                <w:p w14:paraId="3C7FCEE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≥150</w:t>
                  </w:r>
                </w:p>
              </w:tc>
            </w:tr>
          </w:tbl>
          <w:p w14:paraId="0B21A261">
            <w:pPr>
              <w:keepNext w:val="0"/>
              <w:keepLines w:val="0"/>
              <w:pageBreakBefore w:val="0"/>
              <w:widowControl w:val="0"/>
              <w:numPr>
                <w:ilvl w:val="0"/>
                <w:numId w:val="151"/>
              </w:numPr>
              <w:suppressLineNumbers w:val="0"/>
              <w:kinsoku/>
              <w:wordWrap/>
              <w:overflowPunct/>
              <w:topLinePunct/>
              <w:autoSpaceDE/>
              <w:autoSpaceDN/>
              <w:bidi w:val="0"/>
              <w:adjustRightInd/>
              <w:snapToGrid/>
              <w:spacing w:before="0" w:beforeAutospacing="0" w:after="0" w:afterAutospacing="0" w:line="240" w:lineRule="auto"/>
              <w:ind w:left="0" w:leftChars="0" w:right="0" w:firstLine="0" w:firstLineChars="0"/>
              <w:jc w:val="left"/>
              <w:textAlignment w:val="auto"/>
              <w:rPr>
                <w:rFonts w:hint="eastAsia" w:ascii="宋体" w:hAnsi="宋体" w:eastAsia="宋体" w:cs="宋体"/>
                <w:b w:val="0"/>
                <w:bCs w:val="0"/>
                <w:sz w:val="21"/>
                <w:szCs w:val="21"/>
              </w:rPr>
            </w:pP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42FC65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default" w:ascii="宋体" w:hAnsi="宋体" w:eastAsia="宋体" w:cs="宋体"/>
                <w:b w:val="0"/>
                <w:bCs w:val="0"/>
                <w:sz w:val="21"/>
                <w:szCs w:val="21"/>
                <w:lang w:val="en-US" w:eastAsia="zh-CN"/>
              </w:rPr>
            </w:pPr>
            <w:r>
              <w:rPr>
                <w:rFonts w:hint="eastAsia" w:cs="宋体"/>
                <w:b w:val="0"/>
                <w:bCs w:val="0"/>
                <w:sz w:val="21"/>
                <w:szCs w:val="21"/>
                <w:lang w:val="en-US" w:eastAsia="zh-CN"/>
              </w:rPr>
              <w:t>防护罩已按设计要求设置。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BA66D9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39570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AAB9162">
            <w:pPr>
              <w:keepNext w:val="0"/>
              <w:keepLines w:val="0"/>
              <w:pageBreakBefore w:val="0"/>
              <w:widowControl w:val="0"/>
              <w:numPr>
                <w:ilvl w:val="0"/>
                <w:numId w:val="15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1C2618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各机械设备设置急停开关。</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1AA505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各机械设备设置</w:t>
            </w:r>
            <w:r>
              <w:rPr>
                <w:rFonts w:hint="eastAsia" w:ascii="宋体" w:hAnsi="宋体" w:eastAsia="宋体" w:cs="宋体"/>
                <w:b w:val="0"/>
                <w:bCs w:val="0"/>
                <w:sz w:val="21"/>
                <w:szCs w:val="21"/>
                <w:lang w:val="en-US" w:eastAsia="zh-CN"/>
              </w:rPr>
              <w:t>有</w:t>
            </w:r>
            <w:r>
              <w:rPr>
                <w:rFonts w:hint="eastAsia" w:ascii="宋体" w:hAnsi="宋体" w:eastAsia="宋体" w:cs="宋体"/>
                <w:b w:val="0"/>
                <w:bCs w:val="0"/>
                <w:sz w:val="21"/>
                <w:szCs w:val="21"/>
              </w:rPr>
              <w:t>急停开关</w:t>
            </w:r>
            <w:r>
              <w:rPr>
                <w:rFonts w:hint="eastAsia" w:ascii="宋体" w:hAnsi="宋体" w:eastAsia="宋体" w:cs="宋体"/>
                <w:b w:val="0"/>
                <w:bCs w:val="0"/>
                <w:sz w:val="21"/>
                <w:szCs w:val="21"/>
                <w:lang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20DC8FE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default" w:ascii="宋体" w:hAnsi="宋体" w:eastAsia="宋体" w:cs="宋体"/>
                <w:sz w:val="21"/>
                <w:szCs w:val="21"/>
                <w:lang w:val="en-US" w:eastAsia="zh-CN"/>
              </w:rPr>
            </w:pPr>
            <w:r>
              <w:rPr>
                <w:rFonts w:hint="eastAsia" w:cs="宋体"/>
                <w:sz w:val="21"/>
                <w:szCs w:val="21"/>
                <w:lang w:val="en-US" w:eastAsia="zh-CN"/>
              </w:rPr>
              <w:t>符合</w:t>
            </w:r>
          </w:p>
        </w:tc>
      </w:tr>
      <w:tr w14:paraId="29B0D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5FF6089">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D79CE6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 xml:space="preserve">防高处坠落安全措施 </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3ECCC6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B6DEFE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2CB4A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4CA009A">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6EC321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距下方相邻地板或地面1.2m及以上的平台、通道或工作面的所有敞开边缘设置防护栏杆，并保证安全有效，防护栏杆采取防腐蚀措施。</w:t>
            </w:r>
          </w:p>
          <w:p w14:paraId="5E498B7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在易发生高处坠落作业地点设安全防护网、安全警示标识。</w:t>
            </w:r>
          </w:p>
          <w:p w14:paraId="4677632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平台、通道及作业场所距基准面高度小于2m时防护栏杆高度不小于900mm，高度大于等于2m小于20m的作业场所高度不低于1050mm，高度高于20m的作业场所安装高度不低于1200mm强度不小于500N/mm</w:t>
            </w:r>
            <w:r>
              <w:rPr>
                <w:rFonts w:hint="eastAsia" w:ascii="宋体" w:hAnsi="宋体" w:eastAsia="宋体" w:cs="宋体"/>
                <w:b w:val="0"/>
                <w:bCs w:val="0"/>
                <w:sz w:val="21"/>
                <w:szCs w:val="21"/>
                <w:vertAlign w:val="superscript"/>
              </w:rPr>
              <w:t>2</w:t>
            </w:r>
            <w:r>
              <w:rPr>
                <w:rFonts w:hint="eastAsia" w:ascii="宋体" w:hAnsi="宋体" w:eastAsia="宋体" w:cs="宋体"/>
                <w:b w:val="0"/>
                <w:bCs w:val="0"/>
                <w:sz w:val="21"/>
                <w:szCs w:val="21"/>
              </w:rPr>
              <w:t>的安全护栏。</w:t>
            </w:r>
          </w:p>
          <w:p w14:paraId="6D24186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在平台、通道或工作面上可能使用工具、机器部件或物品场合，在所有敞开边缘设置带踢脚板的防护栏杆。</w:t>
            </w:r>
          </w:p>
          <w:p w14:paraId="1CC9E31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设置钢直梯的场所，单梯段高度大于7m时，设置安全护笼。</w:t>
            </w:r>
          </w:p>
          <w:p w14:paraId="0819CCF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在高于2m的作业平台、巡视通道及车顶作业等处进行检维修及作业时配置安全带、安全绳等防护用品；高处作业的安全防护设施的施工质量应合格，安全有效。</w:t>
            </w:r>
          </w:p>
          <w:p w14:paraId="60D7D60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⑦</w:t>
            </w:r>
            <w:r>
              <w:rPr>
                <w:rFonts w:hint="eastAsia" w:ascii="宋体" w:hAnsi="宋体" w:eastAsia="宋体" w:cs="宋体"/>
                <w:b w:val="0"/>
                <w:bCs w:val="0"/>
                <w:sz w:val="21"/>
                <w:szCs w:val="21"/>
              </w:rPr>
              <w:t>高处作业人员进行体检，防止有</w:t>
            </w:r>
            <w:r>
              <w:rPr>
                <w:rFonts w:hint="eastAsia" w:cs="宋体"/>
                <w:b w:val="0"/>
                <w:bCs w:val="0"/>
                <w:sz w:val="21"/>
                <w:szCs w:val="21"/>
                <w:lang w:eastAsia="zh-CN"/>
              </w:rPr>
              <w:t>禁忌症</w:t>
            </w:r>
            <w:r>
              <w:rPr>
                <w:rFonts w:hint="eastAsia" w:ascii="宋体" w:hAnsi="宋体" w:eastAsia="宋体" w:cs="宋体"/>
                <w:b w:val="0"/>
                <w:bCs w:val="0"/>
                <w:sz w:val="21"/>
                <w:szCs w:val="21"/>
              </w:rPr>
              <w:t>和具有不适于登高生理、心理因素的人员进行高处作业；不得安排高处作业禁忌</w:t>
            </w:r>
            <w:r>
              <w:rPr>
                <w:rFonts w:hint="eastAsia" w:cs="宋体"/>
                <w:b w:val="0"/>
                <w:bCs w:val="0"/>
                <w:sz w:val="21"/>
                <w:szCs w:val="21"/>
                <w:lang w:eastAsia="zh-CN"/>
              </w:rPr>
              <w:t>者</w:t>
            </w:r>
            <w:r>
              <w:rPr>
                <w:rFonts w:hint="eastAsia" w:ascii="宋体" w:hAnsi="宋体" w:eastAsia="宋体" w:cs="宋体"/>
                <w:b w:val="0"/>
                <w:bCs w:val="0"/>
                <w:sz w:val="21"/>
                <w:szCs w:val="21"/>
              </w:rPr>
              <w:t>参加高处作业；加强高处作业人员的安全培训，提高高处作业安全意识。</w:t>
            </w:r>
          </w:p>
          <w:p w14:paraId="533A7EE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⑧</w:t>
            </w:r>
            <w:r>
              <w:rPr>
                <w:rFonts w:hint="eastAsia" w:ascii="宋体" w:hAnsi="宋体" w:eastAsia="宋体" w:cs="宋体"/>
                <w:b w:val="0"/>
                <w:bCs w:val="0"/>
                <w:sz w:val="21"/>
                <w:szCs w:val="21"/>
              </w:rPr>
              <w:t>高处作业进行审批，制定防坠落安全措施和应急处理措施，设立监护；严格遵守有关的高处作业规程，使用有效的安全带等防坠落用品，禁止酒后作业或作业过程中饮酒等；遇大风大雨等恶劣天气必须停止高处作业。</w:t>
            </w:r>
          </w:p>
          <w:p w14:paraId="0623D5F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⑨</w:t>
            </w:r>
            <w:r>
              <w:rPr>
                <w:rFonts w:hint="eastAsia" w:ascii="宋体" w:hAnsi="宋体" w:eastAsia="宋体" w:cs="宋体"/>
                <w:b w:val="0"/>
                <w:bCs w:val="0"/>
                <w:sz w:val="21"/>
                <w:szCs w:val="21"/>
              </w:rPr>
              <w:t>有下列情况出现时，不进行室内高处作业，当必须进行作业时必须采取有效的安全措施：</w:t>
            </w:r>
          </w:p>
          <w:p w14:paraId="27D3267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1）自然光线不足，能见度差；</w:t>
            </w:r>
          </w:p>
          <w:p w14:paraId="6A785C2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2）接近或接触危险电压带电体；</w:t>
            </w:r>
          </w:p>
          <w:p w14:paraId="3F05C8C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3）摆动，立足处不是平面或只有很小的平面，致使作业者无法维持正常姿势。</w:t>
            </w:r>
          </w:p>
          <w:p w14:paraId="2560F80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⑩</w:t>
            </w:r>
            <w:r>
              <w:rPr>
                <w:rFonts w:hint="eastAsia" w:ascii="宋体" w:hAnsi="宋体" w:eastAsia="宋体" w:cs="宋体"/>
                <w:b w:val="0"/>
                <w:bCs w:val="0"/>
                <w:sz w:val="21"/>
                <w:szCs w:val="21"/>
              </w:rPr>
              <w:t>高处作业必须采取防坠落措施，使用速差防坠器、全身式安全带等。</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312F24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已按安全设施设计要求设置和操作。</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7FCF773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61761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6510AB0">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E654FD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t>防触电安全措施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932015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17BBF93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001E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7E173AB">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EDC29E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供配电系统应严格按照《供配电系统设计规范》（GB50052-2009）、《低压配电设计规范》（GB50054-2011）、《20kV及以下变电所设计规范》（GB50053-2013）等国家标准规范进行设计。</w:t>
            </w:r>
          </w:p>
          <w:p w14:paraId="2F40032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cs="宋体"/>
                <w:b w:val="0"/>
                <w:bCs w:val="0"/>
                <w:sz w:val="21"/>
                <w:szCs w:val="21"/>
                <w:lang w:val="en-US" w:eastAsia="zh-CN"/>
              </w:rPr>
              <w:t>电气设备</w:t>
            </w:r>
            <w:r>
              <w:rPr>
                <w:rFonts w:hint="eastAsia" w:ascii="宋体" w:hAnsi="宋体" w:eastAsia="宋体" w:cs="宋体"/>
                <w:b w:val="0"/>
                <w:bCs w:val="0"/>
                <w:sz w:val="21"/>
                <w:szCs w:val="21"/>
              </w:rPr>
              <w:t>均采用可靠的保护接零或保护接地系统。</w:t>
            </w:r>
          </w:p>
          <w:p w14:paraId="45C56AD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在可能导致触电的地点（如开关、刀闸等），悬挂</w:t>
            </w:r>
            <w:r>
              <w:rPr>
                <w:rFonts w:hint="eastAsia" w:cs="宋体"/>
                <w:b w:val="0"/>
                <w:bCs w:val="0"/>
                <w:sz w:val="21"/>
                <w:szCs w:val="21"/>
                <w:lang w:eastAsia="zh-CN"/>
              </w:rPr>
              <w:t>标识</w:t>
            </w:r>
            <w:r>
              <w:rPr>
                <w:rFonts w:hint="eastAsia" w:ascii="宋体" w:hAnsi="宋体" w:eastAsia="宋体" w:cs="宋体"/>
                <w:b w:val="0"/>
                <w:bCs w:val="0"/>
                <w:sz w:val="21"/>
                <w:szCs w:val="21"/>
              </w:rPr>
              <w:t>牌和装设防护盖。</w:t>
            </w:r>
          </w:p>
          <w:p w14:paraId="419FE5F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当电气设备采用超过安全电压的电源时，采取防止直接接触带电体的保护措施。</w:t>
            </w:r>
          </w:p>
          <w:p w14:paraId="2E45E8E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电气作业应由持有相应资格证书的作业人员承担，工作人员必须配备必要的电气安全用具和劳动保护用品，如绝缘棒、绝缘夹钳、绝缘胶鞋等，防止人员触电。</w:t>
            </w:r>
          </w:p>
          <w:p w14:paraId="4B03E9C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手持式电动工具使用，在一般作业场所，使用Ⅱ类工具；在潮湿作业场所或金属构架上等导电性能良好的作业场所，使用Ⅱ类或Ⅲ类工具。</w:t>
            </w:r>
          </w:p>
          <w:p w14:paraId="03C1515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⑦</w:t>
            </w:r>
            <w:r>
              <w:rPr>
                <w:rFonts w:hint="eastAsia" w:ascii="宋体" w:hAnsi="宋体" w:eastAsia="宋体" w:cs="宋体"/>
                <w:b w:val="0"/>
                <w:bCs w:val="0"/>
                <w:sz w:val="21"/>
                <w:szCs w:val="21"/>
              </w:rPr>
              <w:t>设计中设置过载、过电流、短路等电气保护装置，同时还应装设漏电流超过预定值时，能发出光报警信号或自动切断电源的漏电保护器。</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70B098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已按安全设施设计要求设置和操作。</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7C4E0BF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1FDE7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3E38C12">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6490CB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t>防物体打击安全措施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008033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4205590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360F5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5F71E09">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C9BC75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在高处平台、通道或工作面上可能使用工具、机器部件或物品的区域，在所有敞开边缘设置带踢脚板的防护栏杆。踢脚板顶部在平台地面之上高度不小于100mm，其底部距地面不大于10mm。踢脚板采用不小于100mm×2mm的钢板制造。</w:t>
            </w:r>
          </w:p>
          <w:p w14:paraId="5F3C141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高处作业采取防物体坠落措施。禁止高空作业时向下抛扔物体。为作业人员配备安全帽等防护用品。</w:t>
            </w:r>
          </w:p>
          <w:p w14:paraId="1EDBF0B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高处平台堆放物品时应按规定进行堆放，并采取防坍塌、滑动等措施。堆放易滚动原辅料，应设置防止物体滚动及坠落的措施。</w:t>
            </w:r>
          </w:p>
          <w:p w14:paraId="5CBC899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对于可能发生零部件或者物料受力弹出伤人区域，应设置防护板等进行隔离。</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B5479E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27775C5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3EE4E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F53929C">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5AD436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防车辆伤害安全措施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D1AE61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14611EA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714ED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C567E68">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247A1D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提高员工安全意识，严禁与车辆抢道及扒跳车。</w:t>
            </w:r>
          </w:p>
          <w:p w14:paraId="511798A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加强安全管理，严禁违章作业、违章调度、无证上岗、酒后驾车等行为。</w:t>
            </w:r>
          </w:p>
          <w:p w14:paraId="114834A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作业前对车辆进行检查，确保运输车辆车况良好。司机持证上岗，严格遵守安全操作规程；精心操作，杜绝操作失误。</w:t>
            </w:r>
          </w:p>
          <w:p w14:paraId="1A19D44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装车时，禁止检查、维护车辆；驾驶员不得将头和手臂伸出驾驶室外。</w:t>
            </w:r>
          </w:p>
          <w:p w14:paraId="6BF14BD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在厂区内按照限速及划定的路线要求行驶，实现人、货分流，避免繁忙的货流与人流交叉；急转弯处严禁超车，厂区入口等处设置限速标志，车辆运行速度不得超过5km/h。跨越道路上方的管线设置限高标志。</w:t>
            </w:r>
          </w:p>
          <w:p w14:paraId="22F7126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在进入厂房的道路弯度较大的地方设置球面镜、减速带及相关的安全警示标志，安全警示标志的设置、位置、形式、尺寸、图案和颜色等必须符合《道路交通标志和标线》（GB 5768）的规定。</w:t>
            </w:r>
          </w:p>
          <w:p w14:paraId="7B88F19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⑦</w:t>
            </w:r>
            <w:r>
              <w:rPr>
                <w:rFonts w:hint="eastAsia" w:ascii="宋体" w:hAnsi="宋体" w:eastAsia="宋体" w:cs="宋体"/>
                <w:b w:val="0"/>
                <w:bCs w:val="0"/>
                <w:sz w:val="21"/>
                <w:szCs w:val="21"/>
              </w:rPr>
              <w:t>车辆通行及装车区域可能存在车辆碰撞危险的门、柱、设施等采取防撞措施，并涂刷黄黑防撞警示色。装车平台处设置防撞装置。</w:t>
            </w:r>
          </w:p>
          <w:p w14:paraId="03A58F7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⑧</w:t>
            </w:r>
            <w:r>
              <w:rPr>
                <w:rFonts w:hint="eastAsia" w:ascii="宋体" w:hAnsi="宋体" w:eastAsia="宋体" w:cs="宋体"/>
                <w:b w:val="0"/>
                <w:bCs w:val="0"/>
                <w:sz w:val="21"/>
                <w:szCs w:val="21"/>
              </w:rPr>
              <w:t>夜间作业时，确保照明充分，无照明死角。</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E99678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已按安全设施设计要求设置和操作，并加强员工安全教育培训。</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7D0EB74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5F91E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CAEF0E7">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A01FFE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t>防止起重伤害安全措施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E1B66D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01255FC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74AAD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9FC275D">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73A3F7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rPr>
              <w:t>设备选型时选择信誉好、质量过硬、有生产资质厂家的设备；桥式起重机均设有检修平台，便于起重机的维护和操作，起重机天车行走时设有超载报警。起重机运行中设置安全装置，防止发生坠落物体打击事故。起重设备要按照国家安全技术规范要求进行定期维护、保养，操作人员必须持证上岗。</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0655F4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宋体"/>
                <w:kern w:val="2"/>
                <w:sz w:val="21"/>
                <w:szCs w:val="21"/>
                <w:lang w:val="en-US" w:eastAsia="zh-CN" w:bidi="ar-SA"/>
              </w:rPr>
            </w:pPr>
            <w:r>
              <w:rPr>
                <w:rFonts w:hint="eastAsia" w:ascii="宋体" w:hAnsi="宋体" w:eastAsia="宋体" w:cs="宋体"/>
                <w:b w:val="0"/>
                <w:bCs w:val="0"/>
                <w:sz w:val="21"/>
                <w:szCs w:val="21"/>
              </w:rPr>
              <w:t>起重</w:t>
            </w:r>
            <w:r>
              <w:rPr>
                <w:rFonts w:hint="eastAsia" w:ascii="宋体" w:hAnsi="宋体" w:eastAsia="宋体" w:cs="宋体"/>
                <w:b w:val="0"/>
                <w:bCs w:val="0"/>
                <w:sz w:val="21"/>
                <w:szCs w:val="21"/>
                <w:lang w:val="en-US" w:eastAsia="zh-CN"/>
              </w:rPr>
              <w:t>机械</w:t>
            </w:r>
            <w:r>
              <w:rPr>
                <w:rFonts w:hint="eastAsia" w:ascii="宋体" w:hAnsi="宋体" w:eastAsia="宋体" w:cs="宋体"/>
                <w:sz w:val="21"/>
                <w:szCs w:val="21"/>
                <w:lang w:val="en-US" w:eastAsia="zh-CN"/>
              </w:rPr>
              <w:t>已按设计要求选型和采购。作业人员经培训合格。</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3A3E37A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008D1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66332E9">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199F45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t>防坍塌安全措施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2E8325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71B9119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03BDC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DE7FB2C">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F626F4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对厂房、设备设施的建构筑的结构稳定性进行检查监测，防止发生建构筑物坍塌事故。</w:t>
            </w:r>
          </w:p>
          <w:p w14:paraId="7E55273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施工或检修时，脚手架的搭建应稳固可靠，满足承重要求，严禁脚手架上堆放建筑材料、建筑垃圾，并对临边堆放的材料进行清理，做好防坠物的防护措施，外脚手架上不必要的附着物应予以拆除。</w:t>
            </w:r>
          </w:p>
          <w:p w14:paraId="23CDD95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机械设备各节、腿与安装地基</w:t>
            </w:r>
            <w:r>
              <w:rPr>
                <w:rFonts w:hint="eastAsia" w:cs="宋体"/>
                <w:b w:val="0"/>
                <w:bCs w:val="0"/>
                <w:sz w:val="21"/>
                <w:szCs w:val="21"/>
                <w:lang w:eastAsia="zh-CN"/>
              </w:rPr>
              <w:t>的连接</w:t>
            </w:r>
            <w:r>
              <w:rPr>
                <w:rFonts w:hint="eastAsia" w:ascii="宋体" w:hAnsi="宋体" w:eastAsia="宋体" w:cs="宋体"/>
                <w:b w:val="0"/>
                <w:bCs w:val="0"/>
                <w:sz w:val="21"/>
                <w:szCs w:val="21"/>
              </w:rPr>
              <w:t>应牢固。</w:t>
            </w:r>
          </w:p>
          <w:p w14:paraId="2B16FA2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各平台承载能力应满足要求，重点检查立杆基础、拉结点、连墙件设置以及悬挑梁锚固、钢丝绳拉结等情况，并采取防腐等加固措施，确保稳固、牢靠。</w:t>
            </w:r>
          </w:p>
          <w:p w14:paraId="2B86879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车辆进出频繁，特别是各物料卸车、装车场所，设安全警示标识、停车限位器等。</w:t>
            </w:r>
          </w:p>
          <w:p w14:paraId="0EE59B8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原料、产品码垛应严格按照产品码垛安全操作规程执行，避免</w:t>
            </w:r>
            <w:r>
              <w:rPr>
                <w:rFonts w:hint="eastAsia" w:cs="宋体"/>
                <w:b w:val="0"/>
                <w:bCs w:val="0"/>
                <w:sz w:val="21"/>
                <w:szCs w:val="21"/>
                <w:lang w:eastAsia="zh-CN"/>
              </w:rPr>
              <w:t>因</w:t>
            </w:r>
            <w:r>
              <w:rPr>
                <w:rFonts w:hint="eastAsia" w:ascii="宋体" w:hAnsi="宋体" w:eastAsia="宋体" w:cs="宋体"/>
                <w:b w:val="0"/>
                <w:bCs w:val="0"/>
                <w:sz w:val="21"/>
                <w:szCs w:val="21"/>
              </w:rPr>
              <w:t>摆放不平、码垛过高、操作不当、人员安全意识薄弱未穿戴安全防护用品等引起的坍塌事故。</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4665A0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4E230BC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01D10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F406CA2">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F0C0DF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t>防中毒和窒息安全措施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172C56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26B1EC6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3F438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337FA35">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D4EE48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该项目在电炉操作区设置CO浓度报警仪。</w:t>
            </w:r>
          </w:p>
          <w:p w14:paraId="26A1983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加强个人防护，在处理有危险的物质时，必须穿戴工作服和防护用具，如眼镜、面罩等。</w:t>
            </w:r>
          </w:p>
          <w:p w14:paraId="2058230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输送物料的设备及管道保证密闭。</w:t>
            </w:r>
          </w:p>
          <w:p w14:paraId="7045C41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人员进入有限空间作业时，认真做好监护、检测和通风措施。并按照《工贸企业有限空间作业安全规定》（中华人民共和国应急管理部令第13号，自2024年1月1日起施行）等相关规定进行作业。</w:t>
            </w:r>
          </w:p>
          <w:p w14:paraId="104AA52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为作业人员配备劳动防护用品，并按要求佩戴。</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921EF7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宋体"/>
                <w:kern w:val="2"/>
                <w:sz w:val="21"/>
                <w:szCs w:val="21"/>
                <w:lang w:val="en-US" w:eastAsia="zh-CN" w:bidi="ar-SA"/>
              </w:rPr>
            </w:pPr>
            <w:r>
              <w:rPr>
                <w:rFonts w:hint="eastAsia" w:cs="宋体"/>
                <w:sz w:val="21"/>
                <w:szCs w:val="21"/>
                <w:lang w:val="en-US" w:eastAsia="zh-CN"/>
              </w:rPr>
              <w:t>电弧炉控制室外设置有固定式CO检测声光报警仪，中控室内设置有报警装置。已</w:t>
            </w:r>
            <w:r>
              <w:rPr>
                <w:rFonts w:hint="eastAsia" w:ascii="宋体" w:hAnsi="宋体" w:eastAsia="宋体" w:cs="宋体"/>
                <w:sz w:val="21"/>
                <w:szCs w:val="21"/>
                <w:lang w:val="en-US" w:eastAsia="zh-CN"/>
              </w:rPr>
              <w:t>督促员工严格按照</w:t>
            </w:r>
            <w:r>
              <w:rPr>
                <w:rFonts w:hint="eastAsia" w:ascii="宋体" w:hAnsi="宋体" w:eastAsia="宋体" w:cs="宋体"/>
                <w:b w:val="0"/>
                <w:bCs w:val="0"/>
                <w:sz w:val="21"/>
                <w:szCs w:val="21"/>
              </w:rPr>
              <w:t>《工贸企业有限空间作业安全规定》</w:t>
            </w:r>
            <w:r>
              <w:rPr>
                <w:rFonts w:hint="eastAsia" w:ascii="宋体" w:hAnsi="宋体" w:eastAsia="宋体" w:cs="宋体"/>
                <w:b w:val="0"/>
                <w:bCs w:val="0"/>
                <w:sz w:val="21"/>
                <w:szCs w:val="21"/>
                <w:lang w:val="en-US" w:eastAsia="zh-CN"/>
              </w:rPr>
              <w:t>作业</w:t>
            </w:r>
            <w:r>
              <w:rPr>
                <w:rFonts w:hint="eastAsia" w:ascii="宋体" w:hAnsi="宋体" w:eastAsia="宋体" w:cs="宋体"/>
                <w:sz w:val="21"/>
                <w:szCs w:val="21"/>
                <w:lang w:val="en-US"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1B469A4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141B5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7C0C7E5">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94A6C8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t>防雷电危害安全措施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8FF9DD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C50734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3900C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0E4D046">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DADEBD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生产区所有建（构）筑物、电器设备的静电接地和避雷设施均严格遵循《建筑物防雷设计规范》（GB50057-2010）及《防止静电事故通用导则》（GB12158-2006）、《系统接地的型式及安全技术要求》（GB14050-2008）等有关技术规范的要求进行设计施工，建筑物和生产装置采取防雷、防静电措施；</w:t>
            </w:r>
          </w:p>
          <w:p w14:paraId="343E69D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建（构）筑物的防雷装置定期由具有资质的单位进行检测，确保防雷装置安全有效；定期组织防雷装置专业检查，及时修复损坏的防雷装置；雷雨天气时，室外不得有人作业；</w:t>
            </w:r>
          </w:p>
          <w:p w14:paraId="596FD7F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防直击雷措施：宜采用装设在建筑物上的接闪器（避雷针、避雷线、避雷带、避雷网）、引下线、接地装置等避雷装置（每根引下线的冲击接地电阻≤10Ω）并采取等电位连接；</w:t>
            </w:r>
          </w:p>
          <w:p w14:paraId="32BCFDA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防雷电感应措施：将建筑物内设备、管道构架等主要金属物就近接地（其工频接地电阻≤10Ω），平行长金属物间的净距小于100 mm时应采用金属线跨接；</w:t>
            </w:r>
          </w:p>
          <w:p w14:paraId="175C41E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防雷电波侵入措施：低压线路全长采用埋地电缆引入时，入户端应将电缆金属外皮（套管）接地。对于存在爆炸危险环境的车间，其入户端电缆金属外皮（套管）除接地外，还应与防雷的接地装置相连；</w:t>
            </w:r>
          </w:p>
          <w:p w14:paraId="4959A21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避雷针（线）的防直击雷保护范围要满足被保护设备、设施和建筑物的要求。各处避雷器配置、选型必须正确，防雷设施在雷雨季节要能全部投入；</w:t>
            </w:r>
          </w:p>
          <w:p w14:paraId="2064850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⑦</w:t>
            </w:r>
            <w:r>
              <w:rPr>
                <w:rFonts w:hint="eastAsia" w:ascii="宋体" w:hAnsi="宋体" w:eastAsia="宋体" w:cs="宋体"/>
                <w:b w:val="0"/>
                <w:bCs w:val="0"/>
                <w:sz w:val="21"/>
                <w:szCs w:val="21"/>
              </w:rPr>
              <w:t>为防止跨步电压，接地装置距建筑物出入口和人行道的距离不小于3m，否则，应</w:t>
            </w:r>
            <w:r>
              <w:rPr>
                <w:rFonts w:hint="eastAsia" w:cs="宋体"/>
                <w:b w:val="0"/>
                <w:bCs w:val="0"/>
                <w:sz w:val="21"/>
                <w:szCs w:val="21"/>
                <w:lang w:eastAsia="zh-CN"/>
              </w:rPr>
              <w:t>采取其他</w:t>
            </w:r>
            <w:r>
              <w:rPr>
                <w:rFonts w:hint="eastAsia" w:ascii="宋体" w:hAnsi="宋体" w:eastAsia="宋体" w:cs="宋体"/>
                <w:b w:val="0"/>
                <w:bCs w:val="0"/>
                <w:sz w:val="21"/>
                <w:szCs w:val="21"/>
              </w:rPr>
              <w:t>安全措施。严禁在装有避雷针、避雷线的构筑物上</w:t>
            </w:r>
            <w:r>
              <w:rPr>
                <w:rFonts w:hint="eastAsia" w:cs="宋体"/>
                <w:b w:val="0"/>
                <w:bCs w:val="0"/>
                <w:sz w:val="21"/>
                <w:szCs w:val="21"/>
                <w:lang w:eastAsia="zh-CN"/>
              </w:rPr>
              <w:t>架设通信</w:t>
            </w:r>
            <w:r>
              <w:rPr>
                <w:rFonts w:hint="eastAsia" w:ascii="宋体" w:hAnsi="宋体" w:eastAsia="宋体" w:cs="宋体"/>
                <w:b w:val="0"/>
                <w:bCs w:val="0"/>
                <w:sz w:val="21"/>
                <w:szCs w:val="21"/>
              </w:rPr>
              <w:t>线、广播线或低压线。</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0B5760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已按安全设施设计要求设置和操作，并加强员工安全教育培训。</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58A804F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675C3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A9998AC">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00314E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t>防噪声危害安全措施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03949E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87B0FF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740C7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D5C3486">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D3F11C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生产区与办公区分开布置，避免噪声危害。</w:t>
            </w:r>
          </w:p>
          <w:p w14:paraId="579AF90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各种机械设备均选用低噪声产品，并符合现行国家标准《工业企业厂界环境噪声排放标准》（GB12348-2008）的有关规定。对于噪声值超标的设备，设置隔声、降噪设施，在作业区域出入口设置“噪声危险”等安全警示标识。</w:t>
            </w:r>
          </w:p>
          <w:p w14:paraId="6F4F8E2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配备劳动防护用品，加强个体防护。</w:t>
            </w:r>
          </w:p>
          <w:p w14:paraId="5A0D527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高噪声环境不设固定岗位，减少作业人员接触噪声的时间。</w:t>
            </w:r>
          </w:p>
          <w:p w14:paraId="718EEFA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对噪声较大设备（空压机等）的基础设置隔声垫和吸音板；生产车间房顶和墙面辐射50</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t>80mm厚的吸声材料，门窗选用隔音门窗，利用密闭厂房进行隔声来降低设备噪声对外界的影响。</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7FE8E1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已按安全设施设计要求设置和操作，并督促员工规范佩戴</w:t>
            </w:r>
            <w:r>
              <w:rPr>
                <w:rFonts w:hint="eastAsia" w:ascii="宋体" w:hAnsi="宋体" w:eastAsia="宋体" w:cs="宋体"/>
                <w:b w:val="0"/>
                <w:bCs w:val="0"/>
                <w:sz w:val="21"/>
                <w:szCs w:val="21"/>
              </w:rPr>
              <w:t>劳动防护用品</w:t>
            </w:r>
            <w:r>
              <w:rPr>
                <w:rFonts w:hint="eastAsia" w:ascii="宋体" w:hAnsi="宋体" w:eastAsia="宋体" w:cs="宋体"/>
                <w:sz w:val="21"/>
                <w:szCs w:val="21"/>
                <w:lang w:val="en-US"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515A112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5B5DE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6F11580">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C4AEBC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t>防粉尘危害安全措施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9FDF58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02D4BB0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28F13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6B359F6">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65979E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本工程粉尘防治从两方面考虑，首先，从工艺上控制尘源，原料上料、吸粉等生产系统严格密闭，采用负压吸风工艺，并设置各除尘点独立设置除尘器。</w:t>
            </w:r>
          </w:p>
          <w:p w14:paraId="51A6FE3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粉尘区域应设置“当心粉尘”等安全警示标识、告知牌，作业人员在操作过程中应佩戴呼吸防护装置、穿戴工作服、手套等，严格按照操作规程进行操作。</w:t>
            </w:r>
          </w:p>
          <w:p w14:paraId="50F207A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rPr>
              <w:t>设计对各有害尘源均采取了相应</w:t>
            </w:r>
            <w:r>
              <w:rPr>
                <w:rFonts w:hint="eastAsia" w:cs="宋体"/>
                <w:b w:val="0"/>
                <w:bCs w:val="0"/>
                <w:sz w:val="21"/>
                <w:szCs w:val="21"/>
                <w:lang w:eastAsia="zh-CN"/>
              </w:rPr>
              <w:t>地</w:t>
            </w:r>
            <w:r>
              <w:rPr>
                <w:rFonts w:hint="eastAsia" w:ascii="宋体" w:hAnsi="宋体" w:eastAsia="宋体" w:cs="宋体"/>
                <w:b w:val="0"/>
                <w:bCs w:val="0"/>
                <w:sz w:val="21"/>
                <w:szCs w:val="21"/>
              </w:rPr>
              <w:t>采取密闭除尘等综合防尘措施，厂区内对粉尘浓度进行连续监测，发现超标应及时喷雾降尘，使岗位周围空气中的含尘浓度满足《工作场所有害因素职业接触限值化学有害因素》（GBZ 2.1-2019）标准的规定；通风空气调节满足《采暖通风与空气调节设计规范》（GB50019-2003）的要求。</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3C851A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已按安全设施设计要求设置和操作，并督促员工规范佩戴</w:t>
            </w:r>
            <w:r>
              <w:rPr>
                <w:rFonts w:hint="eastAsia" w:ascii="宋体" w:hAnsi="宋体" w:eastAsia="宋体" w:cs="宋体"/>
                <w:b w:val="0"/>
                <w:bCs w:val="0"/>
                <w:sz w:val="21"/>
                <w:szCs w:val="21"/>
              </w:rPr>
              <w:t>劳动防护用品</w:t>
            </w:r>
            <w:r>
              <w:rPr>
                <w:rFonts w:hint="eastAsia" w:ascii="宋体" w:hAnsi="宋体" w:eastAsia="宋体" w:cs="宋体"/>
                <w:sz w:val="21"/>
                <w:szCs w:val="21"/>
                <w:lang w:val="en-US"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652C8C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1936E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ABF4107">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9FCAB0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t>防淹溺安全措施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B26B6E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1C45284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6235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C2C0CB1">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0E704F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各类水池周边应设置安全防护栏或盖板，并在明显位置设置安全警示标识，防止人员发生落水事故；</w:t>
            </w:r>
          </w:p>
          <w:p w14:paraId="29B6164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存在夜间作业的水池区域，应保证足够的照明条件；</w:t>
            </w:r>
          </w:p>
          <w:p w14:paraId="4982660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涉及水池区域作业，应至少两人以上进行；</w:t>
            </w:r>
          </w:p>
          <w:p w14:paraId="4DF60B4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涉及湿滑区域作业时，作业人员应配备防滑鞋及其他劳动防护用品。</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DD1821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已按安全设施设计要求设置和操作，并督促员工规范佩戴</w:t>
            </w:r>
            <w:r>
              <w:rPr>
                <w:rFonts w:hint="eastAsia" w:ascii="宋体" w:hAnsi="宋体" w:eastAsia="宋体" w:cs="宋体"/>
                <w:b w:val="0"/>
                <w:bCs w:val="0"/>
                <w:sz w:val="21"/>
                <w:szCs w:val="21"/>
              </w:rPr>
              <w:t>劳动防护用品</w:t>
            </w:r>
            <w:r>
              <w:rPr>
                <w:rFonts w:hint="eastAsia" w:ascii="宋体" w:hAnsi="宋体" w:eastAsia="宋体" w:cs="宋体"/>
                <w:sz w:val="21"/>
                <w:szCs w:val="21"/>
                <w:lang w:val="en-US"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55396BF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2D1BE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FE5A870">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679636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t>防腐蚀安全措施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6CA096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47D77F4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0549B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61381BB">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945300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项目中钢制设备、管线、钢平台、护栏、设备立柱和钢架基础裙座采用除锈后，刷环氧富锌防腐底漆（两遍）、环氧防腐面漆（两遍）进行防腐。</w:t>
            </w:r>
          </w:p>
          <w:p w14:paraId="702BCDC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循环水管道等采用无缝钢管，管道外表面刷环氧富锌防腐底漆（两遍）、环氧防腐面漆（两遍）进行防腐。</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5F326F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998AD7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5F839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7CB7CE0">
            <w:pPr>
              <w:keepNext w:val="0"/>
              <w:keepLines w:val="0"/>
              <w:pageBreakBefore w:val="0"/>
              <w:widowControl w:val="0"/>
              <w:numPr>
                <w:ilvl w:val="0"/>
                <w:numId w:val="14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6F4A3D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t>有限空间作业安全措施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F35C10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2E20468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48F54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801DA29">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6A19E3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对该项目的有限空间进行辨识，确定有限空间的数量、位置以及危险有害因素等基本情况，建立有限空间管理台账，并及时更新。</w:t>
            </w:r>
          </w:p>
          <w:p w14:paraId="413F372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凡涉及有限空间作业的，严格按照《工贸企业有限空间作业安全规定》（中华人民共和国应急管理部令第13号，自2024年1月1日起施行）的要求进行管理和作业，并做好安全防范措施。</w:t>
            </w:r>
          </w:p>
          <w:p w14:paraId="31340CE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有限空间作业严格遵守“先通风、再检测、后作业”的原则，检测指标包括氧浓度、易燃易爆物质浓度、有毒有害气体浓度，检测应当符合相关国家标准或者行业标准的规定，未经通风和检测合格，任何人员不得进入有限空间作业，检测的时间不得早于作业开始前30min。</w:t>
            </w:r>
          </w:p>
          <w:p w14:paraId="34E051D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实施有限空间作业前，对作业环境进行评估，充分分析存在的危险有害因素，提出消除、控制危害的措施，制定有限空间作业方案，制定相应应急预案，配备应急</w:t>
            </w:r>
            <w:r>
              <w:rPr>
                <w:rFonts w:hint="eastAsia" w:cs="宋体"/>
                <w:b w:val="0"/>
                <w:bCs w:val="0"/>
                <w:sz w:val="21"/>
                <w:szCs w:val="21"/>
                <w:lang w:eastAsia="zh-CN"/>
              </w:rPr>
              <w:t>救援</w:t>
            </w:r>
            <w:r>
              <w:rPr>
                <w:rFonts w:hint="eastAsia" w:ascii="宋体" w:hAnsi="宋体" w:eastAsia="宋体" w:cs="宋体"/>
                <w:b w:val="0"/>
                <w:bCs w:val="0"/>
                <w:sz w:val="21"/>
                <w:szCs w:val="21"/>
              </w:rPr>
              <w:t>物资，并严格执行审批制度，经本企业负责人批准后方可实施。</w:t>
            </w:r>
          </w:p>
          <w:p w14:paraId="1CB1517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实施有限空间作业前，将有限空间作业方案和作业现场可能存在的危险有害因素、防控措施告知作业人员。</w:t>
            </w:r>
          </w:p>
          <w:p w14:paraId="5990302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按照有限空间作业方案，明确作业现场负责人、监护人员、作业人员及其安全职责，现场负责人监督作业人员按照方案进行作业准备。</w:t>
            </w:r>
          </w:p>
          <w:p w14:paraId="0B9533A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⑦</w:t>
            </w:r>
            <w:r>
              <w:rPr>
                <w:rFonts w:hint="eastAsia" w:ascii="宋体" w:hAnsi="宋体" w:eastAsia="宋体" w:cs="宋体"/>
                <w:b w:val="0"/>
                <w:bCs w:val="0"/>
                <w:sz w:val="21"/>
                <w:szCs w:val="21"/>
              </w:rPr>
              <w:t>有限空间作业时设监护人员且监护人员不得脱岗，监护人员配备与作业人员联络工具。</w:t>
            </w:r>
          </w:p>
          <w:p w14:paraId="75EB201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⑧</w:t>
            </w:r>
            <w:r>
              <w:rPr>
                <w:rFonts w:hint="eastAsia" w:ascii="宋体" w:hAnsi="宋体" w:eastAsia="宋体" w:cs="宋体"/>
                <w:b w:val="0"/>
                <w:bCs w:val="0"/>
                <w:sz w:val="21"/>
                <w:szCs w:val="21"/>
              </w:rPr>
              <w:t>进入有限空间前打开人孔等进行通风，对残留危险物质进行充分通风、吹扫、置换。</w:t>
            </w:r>
          </w:p>
          <w:p w14:paraId="583B532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⑨</w:t>
            </w:r>
            <w:r>
              <w:rPr>
                <w:rFonts w:hint="eastAsia" w:ascii="宋体" w:hAnsi="宋体" w:eastAsia="宋体" w:cs="宋体"/>
                <w:b w:val="0"/>
                <w:bCs w:val="0"/>
                <w:sz w:val="21"/>
                <w:szCs w:val="21"/>
              </w:rPr>
              <w:t>对有限空间内气体采样分析或分析时间超过规定分析间隔时间应重新进行采样分析。</w:t>
            </w:r>
          </w:p>
          <w:p w14:paraId="76F19A3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⑩</w:t>
            </w:r>
            <w:r>
              <w:rPr>
                <w:rFonts w:hint="eastAsia" w:ascii="宋体" w:hAnsi="宋体" w:eastAsia="宋体" w:cs="宋体"/>
                <w:b w:val="0"/>
                <w:bCs w:val="0"/>
                <w:sz w:val="21"/>
                <w:szCs w:val="21"/>
              </w:rPr>
              <w:t>根据有限空间存在危险有害因素的种类和危害程度，为作业人员提供符合国家标准或者行业标准规定的劳动防护用品，并教育监督作业人员正确佩戴与使用。</w:t>
            </w:r>
          </w:p>
          <w:p w14:paraId="2DB61FC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微软雅黑" w:hAnsi="微软雅黑" w:eastAsia="微软雅黑" w:cs="微软雅黑"/>
                <w:b w:val="0"/>
                <w:bCs w:val="0"/>
                <w:sz w:val="21"/>
                <w:szCs w:val="21"/>
              </w:rPr>
              <w:t>⑪</w:t>
            </w:r>
            <w:r>
              <w:rPr>
                <w:rFonts w:hint="eastAsia" w:ascii="宋体" w:hAnsi="宋体" w:eastAsia="宋体" w:cs="宋体"/>
                <w:b w:val="0"/>
                <w:bCs w:val="0"/>
                <w:sz w:val="21"/>
                <w:szCs w:val="21"/>
              </w:rPr>
              <w:t>有限空间作业使用安全电压，使用手持电动工具或进行电焊作业时，设漏电保护装置。</w:t>
            </w:r>
          </w:p>
          <w:p w14:paraId="3EEDC91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微软雅黑" w:hAnsi="微软雅黑" w:eastAsia="微软雅黑" w:cs="微软雅黑"/>
                <w:b w:val="0"/>
                <w:bCs w:val="0"/>
                <w:sz w:val="21"/>
                <w:szCs w:val="21"/>
              </w:rPr>
              <w:t>⑫</w:t>
            </w:r>
            <w:r>
              <w:rPr>
                <w:rFonts w:hint="eastAsia" w:ascii="宋体" w:hAnsi="宋体" w:eastAsia="宋体" w:cs="宋体"/>
                <w:b w:val="0"/>
                <w:bCs w:val="0"/>
                <w:sz w:val="21"/>
                <w:szCs w:val="21"/>
              </w:rPr>
              <w:t>有限空间作业存在交叉作业时，采取避免互相伤害的措施。</w:t>
            </w:r>
          </w:p>
          <w:p w14:paraId="43477EB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微软雅黑" w:hAnsi="微软雅黑" w:eastAsia="微软雅黑" w:cs="微软雅黑"/>
                <w:b w:val="0"/>
                <w:bCs w:val="0"/>
                <w:sz w:val="21"/>
                <w:szCs w:val="21"/>
              </w:rPr>
              <w:t>⑬</w:t>
            </w:r>
            <w:r>
              <w:rPr>
                <w:rFonts w:hint="eastAsia" w:ascii="宋体" w:hAnsi="宋体" w:eastAsia="宋体" w:cs="宋体"/>
                <w:b w:val="0"/>
                <w:bCs w:val="0"/>
                <w:sz w:val="21"/>
                <w:szCs w:val="21"/>
              </w:rPr>
              <w:t>有限空间作业结束后，作业现场负责人、监护人员应当对作业现场进行清理，撤离作业人员。</w:t>
            </w:r>
          </w:p>
          <w:p w14:paraId="25FA5FF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微软雅黑" w:hAnsi="微软雅黑" w:eastAsia="微软雅黑" w:cs="微软雅黑"/>
                <w:b w:val="0"/>
                <w:bCs w:val="0"/>
                <w:sz w:val="21"/>
                <w:szCs w:val="21"/>
              </w:rPr>
              <w:t>⑭</w:t>
            </w:r>
            <w:r>
              <w:rPr>
                <w:rFonts w:hint="eastAsia" w:ascii="宋体" w:hAnsi="宋体" w:eastAsia="宋体" w:cs="宋体"/>
                <w:b w:val="0"/>
                <w:bCs w:val="0"/>
                <w:sz w:val="21"/>
                <w:szCs w:val="21"/>
              </w:rPr>
              <w:t>有限空间作业中发生事故后，现场有关人员应当立即报警，禁止盲目施救，应急救援人员实施救援时，应当做好自身防护，佩戴必要的呼吸器具、救援器材。</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8DC265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已按安全设施设计要求设置和操作，并督促员工规范佩戴</w:t>
            </w:r>
            <w:r>
              <w:rPr>
                <w:rFonts w:hint="eastAsia" w:ascii="宋体" w:hAnsi="宋体" w:eastAsia="宋体" w:cs="宋体"/>
                <w:b w:val="0"/>
                <w:bCs w:val="0"/>
                <w:sz w:val="21"/>
                <w:szCs w:val="21"/>
              </w:rPr>
              <w:t>劳动防护用品</w:t>
            </w:r>
            <w:r>
              <w:rPr>
                <w:rFonts w:hint="eastAsia" w:ascii="宋体" w:hAnsi="宋体" w:eastAsia="宋体" w:cs="宋体"/>
                <w:b w:val="0"/>
                <w:bCs w:val="0"/>
                <w:sz w:val="21"/>
                <w:szCs w:val="21"/>
                <w:lang w:val="en-US" w:eastAsia="zh-CN"/>
              </w:rPr>
              <w:t>和加强有限空间作业安全教育培训</w:t>
            </w:r>
            <w:r>
              <w:rPr>
                <w:rFonts w:hint="eastAsia" w:ascii="宋体" w:hAnsi="宋体" w:eastAsia="宋体" w:cs="宋体"/>
                <w:sz w:val="21"/>
                <w:szCs w:val="21"/>
                <w:lang w:val="en-US"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2DD90BB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44368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DB242B9">
            <w:pPr>
              <w:keepNext w:val="0"/>
              <w:keepLines w:val="0"/>
              <w:pageBreakBefore w:val="0"/>
              <w:widowControl w:val="0"/>
              <w:numPr>
                <w:ilvl w:val="0"/>
                <w:numId w:val="147"/>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9B5E5B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生产工艺及设备设施安全防范措施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6BF8E1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1D2F74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4DC81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01F5FAA">
            <w:pPr>
              <w:keepNext w:val="0"/>
              <w:keepLines w:val="0"/>
              <w:pageBreakBefore w:val="0"/>
              <w:widowControl w:val="0"/>
              <w:numPr>
                <w:ilvl w:val="0"/>
                <w:numId w:val="152"/>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035A8F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生产工艺安全措施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15A0DF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1411A7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A964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BDDCF1A">
            <w:pPr>
              <w:keepNext w:val="0"/>
              <w:keepLines w:val="0"/>
              <w:pageBreakBefore w:val="0"/>
              <w:widowControl w:val="0"/>
              <w:numPr>
                <w:ilvl w:val="0"/>
                <w:numId w:val="153"/>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27872D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原料、产品仓储安全措施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57E73E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1A657BF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0A878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BFECB28">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025244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1）原料及产品分区仓储，原料及产品均采用袋装储存。</w:t>
            </w:r>
          </w:p>
          <w:p w14:paraId="33599DA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2）在库房、车间内等限制动火区域动火，应严格执行《动火审批制度</w:t>
            </w:r>
            <w:r>
              <w:rPr>
                <w:rFonts w:hint="eastAsia" w:cs="宋体"/>
                <w:b w:val="0"/>
                <w:bCs w:val="0"/>
                <w:sz w:val="21"/>
                <w:szCs w:val="21"/>
                <w:lang w:eastAsia="zh-CN"/>
              </w:rPr>
              <w:t>》《</w:t>
            </w:r>
            <w:r>
              <w:rPr>
                <w:rFonts w:hint="eastAsia" w:ascii="宋体" w:hAnsi="宋体" w:eastAsia="宋体" w:cs="宋体"/>
                <w:b w:val="0"/>
                <w:bCs w:val="0"/>
                <w:sz w:val="21"/>
                <w:szCs w:val="21"/>
              </w:rPr>
              <w:t>禁烟禁火制度》，动火作业前必须办理《动火许可证》，采取切实有效的防范措施后方可作业，并且在作业现场设置专人监护。</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CC7F55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已按安全设施设计要求设置和操作。</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2AF5E7F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365BA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A384568">
            <w:pPr>
              <w:keepNext w:val="0"/>
              <w:keepLines w:val="0"/>
              <w:pageBreakBefore w:val="0"/>
              <w:widowControl w:val="0"/>
              <w:numPr>
                <w:ilvl w:val="0"/>
                <w:numId w:val="153"/>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E4CB1E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混料工序生产工艺安全措施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D9E333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42F2AC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7DD84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E41BE98">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683150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1）项目生产工艺采用成熟的混料机，最大可能避免人员操作导致的伤害。</w:t>
            </w:r>
          </w:p>
          <w:p w14:paraId="6DCB534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2）各工序分区独立，分别设置有混料操作区，设备设有警告标志和防护装置。生产线内除生产工序外，还设置有疏散通道。</w:t>
            </w:r>
          </w:p>
          <w:p w14:paraId="2C460C6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3）混料设备设置有防护罩，烘干设备设置及烟道有隔热层，职工配置口罩等劳动防护用品。</w:t>
            </w:r>
          </w:p>
          <w:p w14:paraId="1655B36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混料设备均设置独立基础，设备间、设备与墙柱间保持合理距离。设备间距：大型≥2m，中型≥lm，小型≥0.7m。设备与墙、柱距离：大型≥0.9m，中型≥0.8m，小型≥0.7m。在墙、柱与设备间有人操作的，应满足设备与墙、柱间和操作空间的最大距离要求。</w:t>
            </w:r>
          </w:p>
          <w:p w14:paraId="70CFC81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bookmarkStart w:id="1209" w:name="_Hlk100330671"/>
            <w:r>
              <w:rPr>
                <w:rFonts w:hint="eastAsia" w:ascii="宋体" w:hAnsi="宋体" w:eastAsia="宋体" w:cs="宋体"/>
                <w:b w:val="0"/>
                <w:bCs w:val="0"/>
                <w:sz w:val="21"/>
                <w:szCs w:val="21"/>
              </w:rPr>
              <w:t>5）在生产车间内等限制动火区域动火，应严格执行《动火审批制度</w:t>
            </w:r>
            <w:r>
              <w:rPr>
                <w:rFonts w:hint="eastAsia" w:cs="宋体"/>
                <w:b w:val="0"/>
                <w:bCs w:val="0"/>
                <w:sz w:val="21"/>
                <w:szCs w:val="21"/>
                <w:lang w:eastAsia="zh-CN"/>
              </w:rPr>
              <w:t>》《</w:t>
            </w:r>
            <w:r>
              <w:rPr>
                <w:rFonts w:hint="eastAsia" w:ascii="宋体" w:hAnsi="宋体" w:eastAsia="宋体" w:cs="宋体"/>
                <w:b w:val="0"/>
                <w:bCs w:val="0"/>
                <w:sz w:val="21"/>
                <w:szCs w:val="21"/>
              </w:rPr>
              <w:t>禁烟禁火制度》，动火作业前必须办理《动火许可证》，采取切实有效的防范措施后方可作业，并且在作业现场设置专人监护。</w:t>
            </w:r>
          </w:p>
          <w:bookmarkEnd w:id="1209"/>
          <w:p w14:paraId="29C68ED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6）生产设备控制指示按钮、开关、仪表设置指示功能和/或动作的标志，标志内容和动作、功能一致，标志文字清晰、完整、准确；设置急停按钮。</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235C4D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已按安全设施设计要求设置和操作。</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1E38B41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5699B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77BCDD6">
            <w:pPr>
              <w:keepNext w:val="0"/>
              <w:keepLines w:val="0"/>
              <w:pageBreakBefore w:val="0"/>
              <w:widowControl w:val="0"/>
              <w:numPr>
                <w:ilvl w:val="0"/>
                <w:numId w:val="153"/>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A3E3CB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熔炼吹球工序生产工艺安全措施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DA5C61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67A390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4D8A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E5FA2A1">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EB5FC6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1）熔炼、吹球区设置安全警示标志。</w:t>
            </w:r>
          </w:p>
          <w:p w14:paraId="46A10EE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2）熔炼炉炉子上面设置防护罩，侧面设置防护门，底下设置事故坑作为熔融物料紧急排放和储存的设施，并在设备周围设置拦挡围堰，防止熔融金属外流，炉子旋转结构设置限位器。</w:t>
            </w:r>
          </w:p>
          <w:p w14:paraId="2BC4933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3）熔炼炉炉子周边地面保持干燥，炉子基础地坪高于车间内地坪约0.8m以上，周边不设置积水坑；厂房内的地坑进行防渗漏设计和施工，防止地下水渗入；炉子周边杜绝任何存在滴、漏水隐患的设施。</w:t>
            </w:r>
          </w:p>
          <w:p w14:paraId="2F4FCD9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w:t>
            </w:r>
            <w:r>
              <w:rPr>
                <w:rFonts w:hint="eastAsia" w:ascii="宋体" w:hAnsi="宋体" w:eastAsia="宋体" w:cs="宋体"/>
                <w:b w:val="0"/>
                <w:bCs w:val="0"/>
                <w:sz w:val="21"/>
                <w:szCs w:val="21"/>
                <w:lang w:eastAsia="zh-CN"/>
              </w:rPr>
              <w:t>熔炼炉</w:t>
            </w:r>
            <w:r>
              <w:rPr>
                <w:rFonts w:hint="eastAsia" w:ascii="宋体" w:hAnsi="宋体" w:eastAsia="宋体" w:cs="宋体"/>
                <w:b w:val="0"/>
                <w:bCs w:val="0"/>
                <w:sz w:val="21"/>
                <w:szCs w:val="21"/>
              </w:rPr>
              <w:t>设置安全通道，并设置应急疏散通道，以便在异常情况下提供人员使用，安全通道宽度不小于1m，保持通畅，不堆放无关杂物。</w:t>
            </w:r>
          </w:p>
          <w:p w14:paraId="238FE1D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5）熔炼炉设置保证机电设备安全操作的联锁装置。水冷却电热设备的排水管，设有水温过高报警和供水中断时炉子自动切断电源的安全装置。</w:t>
            </w:r>
          </w:p>
          <w:p w14:paraId="61D6EA5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6）熔炼炉冶炼过程中产生的废气经集气罩吸入除尘器中处理达标后经排气筒外排。</w:t>
            </w:r>
          </w:p>
          <w:p w14:paraId="0CE8D62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7）厂区一期建设生产消防循环水池及外部水源、二期设置1000m</w:t>
            </w:r>
            <w:r>
              <w:rPr>
                <w:rFonts w:hint="eastAsia" w:ascii="宋体" w:hAnsi="宋体" w:eastAsia="宋体" w:cs="宋体"/>
                <w:b w:val="0"/>
                <w:bCs w:val="0"/>
                <w:sz w:val="21"/>
                <w:szCs w:val="21"/>
                <w:vertAlign w:val="superscript"/>
              </w:rPr>
              <w:t>3</w:t>
            </w:r>
            <w:r>
              <w:rPr>
                <w:rFonts w:hint="eastAsia" w:ascii="宋体" w:hAnsi="宋体" w:eastAsia="宋体" w:cs="宋体"/>
                <w:b w:val="0"/>
                <w:bCs w:val="0"/>
                <w:sz w:val="21"/>
                <w:szCs w:val="21"/>
              </w:rPr>
              <w:t>循环水池，可作为熔炼炉事故状态下的应急水源。</w:t>
            </w:r>
          </w:p>
          <w:p w14:paraId="5B6CB27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8）</w:t>
            </w:r>
            <w:r>
              <w:rPr>
                <w:rFonts w:hint="eastAsia" w:ascii="宋体" w:hAnsi="宋体" w:eastAsia="宋体" w:cs="宋体"/>
                <w:b w:val="0"/>
                <w:bCs w:val="0"/>
                <w:sz w:val="21"/>
                <w:szCs w:val="21"/>
                <w:lang w:val="en-US" w:eastAsia="zh-CN"/>
              </w:rPr>
              <w:t>若发现有穿、漏炉迹象，漏点部位较高，要立即切断电源，不可关停冷却水，并紧急出炉，待高温熔体冷却后检查穿炉位置。如果穿炉迹象明显、穿漏量大，对设备能够造成严重损坏，要将设备损失减少到最低，立即关掉电源，将高温熔体翻入炉事故坑内，并用干砂铺盖，防止烤坏炉体</w:t>
            </w:r>
            <w:r>
              <w:rPr>
                <w:rFonts w:hint="eastAsia" w:ascii="宋体" w:hAnsi="宋体" w:eastAsia="宋体" w:cs="宋体"/>
                <w:b w:val="0"/>
                <w:bCs w:val="0"/>
                <w:sz w:val="21"/>
                <w:szCs w:val="21"/>
              </w:rPr>
              <w:t>。</w:t>
            </w:r>
          </w:p>
          <w:p w14:paraId="74077BA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9）发生穿、漏事故或有穿、漏迹象，若电源未停，切断电源，保护可控硅逆变管及整流管。</w:t>
            </w:r>
          </w:p>
          <w:p w14:paraId="5E20DD7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10）熔炼炉底部设置事故坑防止高温熔体泄漏，事故坑周围做好防水排水设施。 </w:t>
            </w:r>
          </w:p>
          <w:p w14:paraId="2DDCDF7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11）熔炼炉设置防止电磁场危害周围设备和人员的屏蔽措施。</w:t>
            </w:r>
          </w:p>
          <w:p w14:paraId="0D76C6A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12）与生产无关的人员，不可进入生产操作场所。生产车间内划出人员行走的安全路线，其宽度为1.5m。</w:t>
            </w:r>
          </w:p>
          <w:p w14:paraId="696EA05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13）熔炼炉采用PLC控制系统单体就地控制，各设备设置独立的控制屏，实现工艺参数设置，启停控制及逻辑控制等控制过程。各设备配套设置温度、压力监测及报警装置，工作参数超过限值时，进行报警；设置急停按钮。</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555546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1）熔炼、吹球区设置有安全警示标志；</w:t>
            </w:r>
          </w:p>
          <w:p w14:paraId="4CBA03F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2）炉面设置有炉盖，侧面设置防护门，本项目采用外喷淋冷式特种电弧炉，按其设备生产工艺要求炉底设置有集水坑；本条未按设计要求布置</w:t>
            </w:r>
            <w:r>
              <w:rPr>
                <w:rFonts w:hint="eastAsia" w:cs="宋体"/>
                <w:b w:val="0"/>
                <w:bCs w:val="0"/>
                <w:sz w:val="21"/>
                <w:szCs w:val="21"/>
                <w:lang w:val="en-US" w:eastAsia="zh-CN"/>
              </w:rPr>
              <w:t>；</w:t>
            </w:r>
          </w:p>
          <w:p w14:paraId="4614F18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3）炉子周边地面保持干燥，周边未设置积水坑；厂房内的地坑能防止地下水渗入；炉子周边无滴、漏水隐患的设施</w:t>
            </w:r>
            <w:r>
              <w:rPr>
                <w:rFonts w:hint="eastAsia" w:cs="宋体"/>
                <w:b w:val="0"/>
                <w:bCs w:val="0"/>
                <w:sz w:val="21"/>
                <w:szCs w:val="21"/>
                <w:lang w:val="en-US" w:eastAsia="zh-CN"/>
              </w:rPr>
              <w:t>；</w:t>
            </w:r>
          </w:p>
          <w:p w14:paraId="00A64AA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4)设置有安全通道；</w:t>
            </w:r>
          </w:p>
          <w:p w14:paraId="60E524C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5）设置了联锁装置；</w:t>
            </w:r>
          </w:p>
          <w:p w14:paraId="1F61D2D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6）废气经集气罩吸入除尘器中处理达标后经排气筒外排；</w:t>
            </w:r>
          </w:p>
          <w:p w14:paraId="4934B4B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7）有电弧炉事故状态下的应急水源；</w:t>
            </w:r>
          </w:p>
          <w:p w14:paraId="1EE86B4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8）严格按照操作规程执行；</w:t>
            </w:r>
          </w:p>
          <w:p w14:paraId="20AE280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9）严格按照操作规程执行；</w:t>
            </w:r>
          </w:p>
          <w:p w14:paraId="5DCB69D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10）本项目采用外喷淋冷式特种电弧炉，按其设备生产工艺要求炉底设置有集水坑；本条未按设计要求布置；</w:t>
            </w:r>
          </w:p>
          <w:p w14:paraId="311D64E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11）电弧炉设有</w:t>
            </w:r>
            <w:r>
              <w:rPr>
                <w:rFonts w:hint="eastAsia" w:ascii="宋体" w:hAnsi="宋体" w:eastAsia="宋体" w:cs="宋体"/>
                <w:b w:val="0"/>
                <w:bCs w:val="0"/>
                <w:sz w:val="21"/>
                <w:szCs w:val="21"/>
              </w:rPr>
              <w:t>防止电磁场危害周围设备和人员的</w:t>
            </w:r>
            <w:r>
              <w:rPr>
                <w:rFonts w:hint="eastAsia" w:ascii="宋体" w:hAnsi="宋体" w:eastAsia="宋体" w:cs="宋体"/>
                <w:b w:val="0"/>
                <w:bCs w:val="0"/>
                <w:sz w:val="21"/>
                <w:szCs w:val="21"/>
                <w:lang w:val="en-US" w:eastAsia="zh-CN"/>
              </w:rPr>
              <w:t>屏蔽措施；</w:t>
            </w:r>
          </w:p>
          <w:p w14:paraId="57FFC21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12）</w:t>
            </w:r>
            <w:r>
              <w:rPr>
                <w:rFonts w:hint="eastAsia" w:cs="宋体"/>
                <w:b w:val="0"/>
                <w:bCs w:val="0"/>
                <w:sz w:val="21"/>
                <w:szCs w:val="21"/>
                <w:lang w:val="en-US" w:eastAsia="zh-CN"/>
              </w:rPr>
              <w:t>现场勘查</w:t>
            </w:r>
            <w:r>
              <w:rPr>
                <w:rFonts w:hint="eastAsia" w:ascii="宋体" w:hAnsi="宋体" w:eastAsia="宋体" w:cs="宋体"/>
                <w:b w:val="0"/>
                <w:bCs w:val="0"/>
                <w:sz w:val="21"/>
                <w:szCs w:val="21"/>
                <w:lang w:val="en-US" w:eastAsia="zh-CN"/>
              </w:rPr>
              <w:t>时，未见</w:t>
            </w:r>
            <w:r>
              <w:rPr>
                <w:rFonts w:hint="eastAsia" w:ascii="宋体" w:hAnsi="宋体" w:eastAsia="宋体" w:cs="宋体"/>
                <w:b w:val="0"/>
                <w:bCs w:val="0"/>
                <w:sz w:val="21"/>
                <w:szCs w:val="21"/>
              </w:rPr>
              <w:t>与生产无关的人员</w:t>
            </w:r>
            <w:r>
              <w:rPr>
                <w:rFonts w:hint="eastAsia" w:ascii="宋体" w:hAnsi="宋体" w:eastAsia="宋体" w:cs="宋体"/>
                <w:b w:val="0"/>
                <w:bCs w:val="0"/>
                <w:sz w:val="21"/>
                <w:szCs w:val="21"/>
                <w:lang w:val="en-US" w:eastAsia="zh-CN"/>
              </w:rPr>
              <w:t>进入生产操作场所；</w:t>
            </w:r>
          </w:p>
          <w:p w14:paraId="194B2D5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13）电弧炉</w:t>
            </w:r>
            <w:r>
              <w:rPr>
                <w:rFonts w:hint="eastAsia" w:ascii="宋体" w:hAnsi="宋体" w:eastAsia="宋体" w:cs="宋体"/>
                <w:b w:val="0"/>
                <w:bCs w:val="0"/>
                <w:sz w:val="21"/>
                <w:szCs w:val="21"/>
              </w:rPr>
              <w:t>PLC</w:t>
            </w:r>
            <w:r>
              <w:rPr>
                <w:rFonts w:hint="eastAsia" w:ascii="宋体" w:hAnsi="宋体" w:eastAsia="宋体" w:cs="宋体"/>
                <w:b w:val="0"/>
                <w:bCs w:val="0"/>
                <w:sz w:val="21"/>
                <w:szCs w:val="21"/>
                <w:lang w:val="en-US" w:eastAsia="zh-CN"/>
              </w:rPr>
              <w:t>集中</w:t>
            </w:r>
            <w:r>
              <w:rPr>
                <w:rFonts w:hint="eastAsia" w:ascii="宋体" w:hAnsi="宋体" w:eastAsia="宋体" w:cs="宋体"/>
                <w:b w:val="0"/>
                <w:bCs w:val="0"/>
                <w:sz w:val="21"/>
                <w:szCs w:val="21"/>
              </w:rPr>
              <w:t>控制系统</w:t>
            </w:r>
            <w:r>
              <w:rPr>
                <w:rFonts w:hint="eastAsia" w:ascii="宋体" w:hAnsi="宋体" w:eastAsia="宋体" w:cs="宋体"/>
                <w:b w:val="0"/>
                <w:bCs w:val="0"/>
                <w:sz w:val="21"/>
                <w:szCs w:val="21"/>
                <w:lang w:val="en-US" w:eastAsia="zh-CN"/>
              </w:rPr>
              <w:t>已按设计要求设置。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201782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7DA25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723DD62">
            <w:pPr>
              <w:keepNext w:val="0"/>
              <w:keepLines w:val="0"/>
              <w:pageBreakBefore w:val="0"/>
              <w:widowControl w:val="0"/>
              <w:numPr>
                <w:ilvl w:val="0"/>
                <w:numId w:val="153"/>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30F1F7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磨粉包装工序生产工艺安全措施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2939C8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05B5A2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B090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DE00900">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6B6225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1）各设备均设置独立基础，设备间、设备与墙柱间保持合理距离。设备间距：大型≥2 m，中型≥l m，小型≥0.7 m。设备与墙、柱距离：大型≥0.9 m，中型≥0.8 m，小型≥0.7 m。在墙、柱与设备间有人操作的，应满足设备与墙、柱间和操作空间的最大距离要求。</w:t>
            </w:r>
          </w:p>
          <w:p w14:paraId="04511C6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2）各生产设备采用成套设备，自动化程度高，安全设施设置充分，各设备均设置有应急开关，各设备均接地，防漏电插头。</w:t>
            </w:r>
          </w:p>
          <w:p w14:paraId="36BC8F3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3）在库房、车间内等限制动火区域动火，应严格执行《动火审批制度</w:t>
            </w:r>
            <w:r>
              <w:rPr>
                <w:rFonts w:hint="eastAsia" w:cs="宋体"/>
                <w:b w:val="0"/>
                <w:bCs w:val="0"/>
                <w:sz w:val="21"/>
                <w:szCs w:val="21"/>
                <w:lang w:eastAsia="zh-CN"/>
              </w:rPr>
              <w:t>》《</w:t>
            </w:r>
            <w:r>
              <w:rPr>
                <w:rFonts w:hint="eastAsia" w:ascii="宋体" w:hAnsi="宋体" w:eastAsia="宋体" w:cs="宋体"/>
                <w:b w:val="0"/>
                <w:bCs w:val="0"/>
                <w:sz w:val="21"/>
                <w:szCs w:val="21"/>
              </w:rPr>
              <w:t>禁烟禁火制度》，动火作业前必须办理《动火许可证》，采取切实有效的防范措施后方可作业，并且在作业现场设置专人监护。</w:t>
            </w:r>
          </w:p>
          <w:p w14:paraId="7ACEEFF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4）加强企业重视员工技能培养，上岗前操作者务必熟悉本设备的性能、结构、传动系统，并持证操作。</w:t>
            </w:r>
          </w:p>
          <w:p w14:paraId="6FD9DA4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5）磨机系统的对策措施</w:t>
            </w:r>
          </w:p>
          <w:p w14:paraId="139700E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A</w:t>
            </w:r>
            <w:r>
              <w:rPr>
                <w:rFonts w:hint="eastAsia" w:ascii="宋体" w:hAnsi="宋体" w:eastAsia="宋体" w:cs="宋体"/>
                <w:b w:val="0"/>
                <w:bCs w:val="0"/>
                <w:sz w:val="21"/>
                <w:szCs w:val="21"/>
              </w:rPr>
              <w:t>磨机两侧和轴瓦侧面应设防护栏杆，机器运转时，人员不得在运转筒体两侧和下部逗留；</w:t>
            </w:r>
          </w:p>
          <w:p w14:paraId="230A593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B</w:t>
            </w:r>
            <w:r>
              <w:rPr>
                <w:rFonts w:hint="eastAsia" w:ascii="宋体" w:hAnsi="宋体" w:eastAsia="宋体" w:cs="宋体"/>
                <w:b w:val="0"/>
                <w:bCs w:val="0"/>
                <w:sz w:val="21"/>
                <w:szCs w:val="21"/>
              </w:rPr>
              <w:t>机观察孔门应保持严密，严防磨矿介质飞出伤人，检修完毕后在确认机内无人时，方可封闭；</w:t>
            </w:r>
          </w:p>
          <w:p w14:paraId="5F0C53E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C</w:t>
            </w:r>
            <w:r>
              <w:rPr>
                <w:rFonts w:hint="eastAsia" w:ascii="宋体" w:hAnsi="宋体" w:eastAsia="宋体" w:cs="宋体"/>
                <w:b w:val="0"/>
                <w:bCs w:val="0"/>
                <w:sz w:val="21"/>
                <w:szCs w:val="21"/>
              </w:rPr>
              <w:t>检修、更换磨机衬板时，事先固定滚筒；并确认机体内无脱落物，通风换气充分，温度适宜，方可进入。</w:t>
            </w:r>
          </w:p>
          <w:p w14:paraId="76FC0AC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6）厂房设置通风换气设施，其排风能力满足《工业企业设计卫生标准》（GBZ1-2010）的要求。</w:t>
            </w:r>
          </w:p>
          <w:p w14:paraId="6541D0B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7）操作人员配置手套、防护罩、防尘口罩等劳保用品。</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103185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已按安全设施设计要求设置和操作。已督促员工规范佩戴和使用</w:t>
            </w:r>
            <w:r>
              <w:rPr>
                <w:rFonts w:hint="eastAsia" w:ascii="宋体" w:hAnsi="宋体" w:eastAsia="宋体" w:cs="宋体"/>
                <w:b w:val="0"/>
                <w:bCs w:val="0"/>
                <w:sz w:val="21"/>
                <w:szCs w:val="21"/>
              </w:rPr>
              <w:t>劳保用品</w:t>
            </w:r>
            <w:r>
              <w:rPr>
                <w:rFonts w:hint="eastAsia" w:ascii="宋体" w:hAnsi="宋体" w:eastAsia="宋体" w:cs="宋体"/>
                <w:b w:val="0"/>
                <w:bCs w:val="0"/>
                <w:sz w:val="21"/>
                <w:szCs w:val="21"/>
                <w:lang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9DA330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09F92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97DC4F5">
            <w:pPr>
              <w:keepNext w:val="0"/>
              <w:keepLines w:val="0"/>
              <w:pageBreakBefore w:val="0"/>
              <w:widowControl w:val="0"/>
              <w:numPr>
                <w:ilvl w:val="0"/>
                <w:numId w:val="153"/>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ED1198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通风除尘系统方面的对策措施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3A7DBC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93D681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59769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F1ED283">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2E0A9C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1）厂房内粉尘大的区域设置除尘器、喷淋水降尘措施；</w:t>
            </w:r>
          </w:p>
          <w:p w14:paraId="16FCC8E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2）项目环保设备生产线装设除尘设备，并保持完好和正常运行。</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82F2A3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sz w:val="21"/>
                <w:szCs w:val="21"/>
                <w:lang w:val="en-US" w:eastAsia="zh-CN"/>
              </w:rPr>
              <w:t>已按安全设施设计要求设置和操作。</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755180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3E7F2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EECF07F">
            <w:pPr>
              <w:keepNext w:val="0"/>
              <w:keepLines w:val="0"/>
              <w:pageBreakBefore w:val="0"/>
              <w:widowControl w:val="0"/>
              <w:numPr>
                <w:ilvl w:val="0"/>
                <w:numId w:val="152"/>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1475AB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生产设备安全措施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0BDDE5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2B561BE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4342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61A3DB2">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59C5BB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设备选型应选择具有符合国家安全标准的产品；非标设备应请有资质的单位设计、施工，确保安全设施防护到位。设备应具备必要的防护、净化、减振、消音、保险、联锁、信号、监测等可靠的安全、卫生装置。对有突然超压或瞬间爆炸危险的设备，设置符合标准要求的泄压、防爆等安全装置。</w:t>
            </w:r>
          </w:p>
          <w:p w14:paraId="0A76BCD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生产设备本身应具备必要的防护、净化、减振、消音、联锁、报警等可靠的安全防护装置。</w:t>
            </w:r>
          </w:p>
          <w:p w14:paraId="083763A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加强生产区域的动火分区设计，并留有足够的防火间距和配备消防设施。</w:t>
            </w:r>
          </w:p>
          <w:p w14:paraId="4FF654C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设备布置原则：便于操作，发生火灾或出现紧急情况时，便于人员迅速撤离，尽量避免生产装置之间危害因素的相互影响，减小对人员的综合作用。</w:t>
            </w:r>
          </w:p>
          <w:p w14:paraId="381E699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生产设备必须保证操作地点和操作区域有足够的照度。</w:t>
            </w:r>
          </w:p>
          <w:p w14:paraId="401DD96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人员有可能接触的机械传动部位均应加装防护罩，并处于完好状态，确保生产设备的正常运转。</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C45EF2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sz w:val="21"/>
                <w:szCs w:val="21"/>
                <w:lang w:val="en-US" w:eastAsia="zh-CN"/>
              </w:rPr>
              <w:t>已按安全设施设计要求设置和操作。</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51A40A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6F9CD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4233E60">
            <w:pPr>
              <w:keepNext w:val="0"/>
              <w:keepLines w:val="0"/>
              <w:pageBreakBefore w:val="0"/>
              <w:widowControl w:val="0"/>
              <w:numPr>
                <w:ilvl w:val="0"/>
                <w:numId w:val="152"/>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7DB000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其他措施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0419E9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2547CCB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0200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BBBEAB6">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93709F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加强设备、管道的质量管理，从设计、制造、安装各环节加强控制，投入运行前需进行通电试运行检验。</w:t>
            </w:r>
          </w:p>
          <w:p w14:paraId="1B4215C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定期检查设备运行情况，杜绝跑、冒、滴、漏，保持器、管、阀完好。</w:t>
            </w:r>
          </w:p>
          <w:p w14:paraId="2C2B636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针对该项目涉及的物料的输送、贮存、使用等环节采取的防撒漏，及时清理。</w:t>
            </w:r>
          </w:p>
          <w:p w14:paraId="3E30F80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厂房、操作室通风良好。</w:t>
            </w:r>
          </w:p>
          <w:p w14:paraId="5B8645B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压缩空气等生产设备、管道、管件与阀门以及法兰垫片材料的选择都要符合要求。</w:t>
            </w:r>
          </w:p>
          <w:p w14:paraId="0E160BB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对具有职业危害场所，应配置必要的防护用品及防护设施，如配置防护面具等。</w:t>
            </w:r>
          </w:p>
          <w:p w14:paraId="2EB2D88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⑦</w:t>
            </w:r>
            <w:r>
              <w:rPr>
                <w:rFonts w:hint="eastAsia" w:ascii="宋体" w:hAnsi="宋体" w:eastAsia="宋体" w:cs="宋体"/>
                <w:b w:val="0"/>
                <w:bCs w:val="0"/>
                <w:sz w:val="21"/>
                <w:szCs w:val="21"/>
              </w:rPr>
              <w:t>加强职工职业卫生教育，杜绝盲目直接接触压缩空气等，避免产生中毒事故，并定期为职工进行体检等。</w:t>
            </w:r>
          </w:p>
          <w:p w14:paraId="0971EDE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⑧</w:t>
            </w:r>
            <w:r>
              <w:rPr>
                <w:rFonts w:hint="eastAsia" w:ascii="宋体" w:hAnsi="宋体" w:eastAsia="宋体" w:cs="宋体"/>
                <w:b w:val="0"/>
                <w:bCs w:val="0"/>
                <w:sz w:val="21"/>
                <w:szCs w:val="21"/>
              </w:rPr>
              <w:t>加强职工技术培训，杜绝违规操作等。发现操作问题及时按照规程要求及时调整。</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B596DB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sz w:val="21"/>
                <w:szCs w:val="21"/>
                <w:lang w:val="en-US" w:eastAsia="zh-CN"/>
              </w:rPr>
              <w:t>已按安全设施设计要求设置和操作。督促员工规范佩戴</w:t>
            </w:r>
            <w:r>
              <w:rPr>
                <w:rFonts w:hint="eastAsia" w:ascii="宋体" w:hAnsi="宋体" w:eastAsia="宋体" w:cs="宋体"/>
                <w:b w:val="0"/>
                <w:bCs w:val="0"/>
                <w:sz w:val="21"/>
                <w:szCs w:val="21"/>
              </w:rPr>
              <w:t>劳动防护用品</w:t>
            </w:r>
            <w:r>
              <w:rPr>
                <w:rFonts w:hint="eastAsia" w:ascii="宋体" w:hAnsi="宋体" w:eastAsia="宋体" w:cs="宋体"/>
                <w:b w:val="0"/>
                <w:bCs w:val="0"/>
                <w:sz w:val="21"/>
                <w:szCs w:val="21"/>
                <w:lang w:val="en-US" w:eastAsia="zh-CN"/>
              </w:rPr>
              <w:t>和加强员工安全教育培训</w:t>
            </w:r>
            <w:r>
              <w:rPr>
                <w:rFonts w:hint="eastAsia" w:ascii="宋体" w:hAnsi="宋体" w:eastAsia="宋体" w:cs="宋体"/>
                <w:sz w:val="21"/>
                <w:szCs w:val="21"/>
                <w:lang w:val="en-US"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54588E9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72FF7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5F7845E">
            <w:pPr>
              <w:keepNext w:val="0"/>
              <w:keepLines w:val="0"/>
              <w:pageBreakBefore w:val="0"/>
              <w:widowControl w:val="0"/>
              <w:numPr>
                <w:ilvl w:val="0"/>
                <w:numId w:val="147"/>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A031B9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特种设备安全防范措施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9DB409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26BCC76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5BF79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6EABD25">
            <w:pPr>
              <w:keepNext w:val="0"/>
              <w:keepLines w:val="0"/>
              <w:pageBreakBefore w:val="0"/>
              <w:widowControl w:val="0"/>
              <w:numPr>
                <w:ilvl w:val="0"/>
                <w:numId w:val="154"/>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89EF0D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防压力容器爆炸安全措施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9EEBBE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4DFDA5A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7F5B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20395CD">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28140D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项目设计压力容器有压缩空气储罐。</w:t>
            </w:r>
          </w:p>
          <w:p w14:paraId="03A17E4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压缩空气储罐等压力容器购买相应取得特种设备制造许可证单位制造的合格产品，压缩空气储罐的安装改造维修单位是已取得相应安装改造维修许可证的单位。</w:t>
            </w:r>
          </w:p>
          <w:p w14:paraId="6577360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压缩空气储罐上装设安全阀、压力表等安全附件。</w:t>
            </w:r>
          </w:p>
          <w:p w14:paraId="29606D2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空气压缩机电动机的控制和保护，按国家现行的《通用用电设备配电设计规范》（GB50055-2011）的有关要求执行。</w:t>
            </w:r>
          </w:p>
          <w:p w14:paraId="73485D5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空气压缩罐及安全附件要定期检查检验，保证其灵敏可靠。</w:t>
            </w:r>
          </w:p>
          <w:p w14:paraId="3A329DB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压缩空气储罐等压力容器至少每月进行一次自行检查，并作出记录。对特种设备进行自行检查和日常维护保养时发现异常情况的，及时处理。</w:t>
            </w:r>
          </w:p>
          <w:p w14:paraId="42D942B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压力容器的安全附件、安全保护装置、测量调控装置及有关附属仪器仪表进行定期校验、检修，并作出记录。</w:t>
            </w:r>
          </w:p>
          <w:p w14:paraId="23E1E43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⑦</w:t>
            </w:r>
            <w:r>
              <w:rPr>
                <w:rFonts w:hint="eastAsia" w:ascii="宋体" w:hAnsi="宋体" w:eastAsia="宋体" w:cs="宋体"/>
                <w:b w:val="0"/>
                <w:bCs w:val="0"/>
                <w:sz w:val="21"/>
                <w:szCs w:val="21"/>
              </w:rPr>
              <w:t>按照安全技术规范建立压力容器及压力管道定期检验制度，在安全检验合格有效期届满前1个月向特种设备检验检测机构提出定期检验要求。</w:t>
            </w:r>
          </w:p>
          <w:p w14:paraId="2BFBE0A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⑧</w:t>
            </w:r>
            <w:r>
              <w:rPr>
                <w:rFonts w:hint="eastAsia" w:ascii="宋体" w:hAnsi="宋体" w:eastAsia="宋体" w:cs="宋体"/>
                <w:b w:val="0"/>
                <w:bCs w:val="0"/>
                <w:sz w:val="21"/>
                <w:szCs w:val="21"/>
              </w:rPr>
              <w:t>压力容器出现故障或者发生异常情况，对其进行全面检查，消除事故隐患后，方可重新投入使用。</w:t>
            </w:r>
          </w:p>
          <w:p w14:paraId="2719626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⑨</w:t>
            </w:r>
            <w:r>
              <w:rPr>
                <w:rFonts w:hint="eastAsia" w:ascii="宋体" w:hAnsi="宋体" w:eastAsia="宋体" w:cs="宋体"/>
                <w:b w:val="0"/>
                <w:bCs w:val="0"/>
                <w:sz w:val="21"/>
                <w:szCs w:val="21"/>
              </w:rPr>
              <w:t>压力容器存在严重事故隐患，无改造、维修价值，或者超过安全技术规范规定使用年限，及时予以报废，并向原登记的特种设备安全监督管理部门办理注销。</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3C740A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default" w:ascii="宋体" w:hAnsi="宋体" w:eastAsia="宋体" w:cs="宋体"/>
                <w:b w:val="0"/>
                <w:bCs w:val="0"/>
                <w:sz w:val="21"/>
                <w:szCs w:val="21"/>
                <w:lang w:val="en-US" w:eastAsia="zh-CN"/>
              </w:rPr>
            </w:pPr>
            <w:r>
              <w:rPr>
                <w:rFonts w:hint="eastAsia" w:cs="宋体"/>
                <w:b w:val="0"/>
                <w:bCs w:val="0"/>
                <w:sz w:val="21"/>
                <w:szCs w:val="21"/>
                <w:lang w:val="en-US" w:eastAsia="zh-CN"/>
              </w:rPr>
              <w:t>严格按照设计要求执行。</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D7B5B3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75D4B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03B3898">
            <w:pPr>
              <w:keepNext w:val="0"/>
              <w:keepLines w:val="0"/>
              <w:pageBreakBefore w:val="0"/>
              <w:widowControl w:val="0"/>
              <w:numPr>
                <w:ilvl w:val="0"/>
                <w:numId w:val="154"/>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3DC9D2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起重设备安全措施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3ECD58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832B6E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0B0D8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B1C3CED">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F6AB3B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应采购具备相关资质的厂家生产的、有出厂合格证和使用证的起重设备。设置制动器、高度限位器、行程限位器、超载限位器、缓冲器等防火措施。</w:t>
            </w:r>
          </w:p>
          <w:p w14:paraId="0B7D2D2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起重设备应有资质的单位安装。</w:t>
            </w:r>
          </w:p>
          <w:p w14:paraId="5C3AEBF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根据《起重机械安全规程 第1部分：总则》（GB 6067.1-2010）等法规和标准，对本项目的起重机械进行设计和安装。</w:t>
            </w:r>
          </w:p>
          <w:p w14:paraId="628DCB8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起重机械如属于特种设备，则应按特种设备的安全要求定期检测，并登记注册。</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CAC1AA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严格按照设计要求执行。</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77230C4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5F573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91782F7">
            <w:pPr>
              <w:keepNext w:val="0"/>
              <w:keepLines w:val="0"/>
              <w:pageBreakBefore w:val="0"/>
              <w:widowControl w:val="0"/>
              <w:numPr>
                <w:ilvl w:val="0"/>
                <w:numId w:val="154"/>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D5F1FD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叉车安全措施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B8F6FD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29D0F1C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009E5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17E1735">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373835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叉车的安全防护设施如下：</w:t>
            </w:r>
          </w:p>
          <w:p w14:paraId="1182A33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灯光：照明及指示转向等作用；</w:t>
            </w:r>
          </w:p>
          <w:p w14:paraId="5BBBF2B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喇叭、倒车蜂鸣器：提示人员注意的作用；</w:t>
            </w:r>
          </w:p>
          <w:p w14:paraId="545BDEE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 xml:space="preserve">后视镜、左右车门镜：转向、变道、倒车时观察路况及场地情况； </w:t>
            </w:r>
          </w:p>
          <w:p w14:paraId="63831E2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叉车安全带：防止驾驶员在叉车行驶时前部发生猛烈碰撞或紧急制动时驾驶员</w:t>
            </w:r>
            <w:r>
              <w:rPr>
                <w:rFonts w:hint="eastAsia" w:cs="宋体"/>
                <w:b w:val="0"/>
                <w:bCs w:val="0"/>
                <w:sz w:val="21"/>
                <w:szCs w:val="21"/>
                <w:lang w:eastAsia="zh-CN"/>
              </w:rPr>
              <w:t>安全带</w:t>
            </w:r>
            <w:r>
              <w:rPr>
                <w:rFonts w:hint="eastAsia" w:ascii="宋体" w:hAnsi="宋体" w:eastAsia="宋体" w:cs="宋体"/>
                <w:b w:val="0"/>
                <w:bCs w:val="0"/>
                <w:sz w:val="21"/>
                <w:szCs w:val="21"/>
              </w:rPr>
              <w:t>与方向盘、挡风玻璃等发生二次碰撞或抛出车外；</w:t>
            </w:r>
          </w:p>
          <w:p w14:paraId="3827CC8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顶罩：如没有顶罩保护叉车操作人员，就不应对叉车进行操作；</w:t>
            </w:r>
          </w:p>
          <w:p w14:paraId="69DD35A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货物防护装置：固定在叉车上在叉运货物的过程中使用，用于人员和货物的安全防护，由支架、缓冲支杆和推盘构成，缓冲支杆的前端连接推盘，缓冲支杆的后端连接支架；</w:t>
            </w:r>
          </w:p>
          <w:p w14:paraId="665FF16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⑦</w:t>
            </w:r>
            <w:r>
              <w:rPr>
                <w:rFonts w:hint="eastAsia" w:ascii="宋体" w:hAnsi="宋体" w:eastAsia="宋体" w:cs="宋体"/>
                <w:b w:val="0"/>
                <w:bCs w:val="0"/>
                <w:sz w:val="21"/>
                <w:szCs w:val="21"/>
              </w:rPr>
              <w:t>升降高度限位器：限制货叉运行高度保持在安全高度内，防止过度升高；</w:t>
            </w:r>
          </w:p>
          <w:p w14:paraId="1396CA4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⑧</w:t>
            </w:r>
            <w:r>
              <w:rPr>
                <w:rFonts w:hint="eastAsia" w:ascii="宋体" w:hAnsi="宋体" w:eastAsia="宋体" w:cs="宋体"/>
                <w:b w:val="0"/>
                <w:bCs w:val="0"/>
                <w:sz w:val="21"/>
                <w:szCs w:val="21"/>
              </w:rPr>
              <w:t>负荷限制器：防止超过叉车荷载重量，以免损坏叉车。</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F14B14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严格按照设计要求执行。</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2096F36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7E064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4E69A19">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center"/>
              <w:textAlignment w:val="auto"/>
              <w:rPr>
                <w:rFonts w:hint="eastAsia" w:ascii="宋体" w:hAnsi="宋体" w:eastAsia="宋体" w:cs="宋体"/>
                <w:b/>
                <w:bCs/>
                <w:sz w:val="21"/>
                <w:szCs w:val="21"/>
                <w:lang w:val="en-US" w:eastAsia="zh-CN"/>
              </w:rPr>
            </w:pPr>
            <w:r>
              <w:rPr>
                <w:rFonts w:hint="eastAsia" w:cs="宋体"/>
                <w:b/>
                <w:bCs/>
                <w:sz w:val="21"/>
                <w:szCs w:val="21"/>
                <w:lang w:val="en-US" w:eastAsia="zh-CN"/>
              </w:rPr>
              <w:t>四</w:t>
            </w: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DDCF72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公用工程及辅助设施安全防范措施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73F28D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270C5EB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5E5C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BC5C4EE">
            <w:pPr>
              <w:keepNext w:val="0"/>
              <w:keepLines w:val="0"/>
              <w:pageBreakBefore w:val="0"/>
              <w:widowControl w:val="0"/>
              <w:numPr>
                <w:ilvl w:val="0"/>
                <w:numId w:val="155"/>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C97B42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消防安全防范措施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FC8E17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0730E26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0BAF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9CDEFB1">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DA4B99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该项目生产中可能存在火灾危险的部位为联合生产车间，按丁类考虑。该项目主要配置消防水及建筑灭火器。</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BA7EF3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color w:val="auto"/>
                <w:sz w:val="21"/>
                <w:szCs w:val="21"/>
              </w:rPr>
              <w:t>联合车间</w:t>
            </w:r>
            <w:r>
              <w:rPr>
                <w:rFonts w:hint="eastAsia" w:ascii="宋体" w:hAnsi="宋体" w:eastAsia="宋体" w:cs="宋体"/>
                <w:b w:val="0"/>
                <w:bCs w:val="0"/>
                <w:color w:val="auto"/>
                <w:sz w:val="21"/>
                <w:szCs w:val="21"/>
                <w:lang w:val="en-US" w:eastAsia="zh-CN"/>
              </w:rPr>
              <w:t>设置有消火栓和灭火器</w:t>
            </w:r>
            <w:r>
              <w:rPr>
                <w:rFonts w:hint="eastAsia" w:cs="宋体"/>
                <w:b w:val="0"/>
                <w:bCs w:val="0"/>
                <w:sz w:val="21"/>
                <w:szCs w:val="21"/>
                <w:lang w:val="en-US"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CBD5F1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4A792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79ABEC5">
            <w:pPr>
              <w:keepNext w:val="0"/>
              <w:keepLines w:val="0"/>
              <w:pageBreakBefore w:val="0"/>
              <w:widowControl w:val="0"/>
              <w:numPr>
                <w:ilvl w:val="0"/>
                <w:numId w:val="156"/>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347FD2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总图消防</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9F067F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73BD0B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43CE2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9E3E5F0">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F8EBAD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在该项目厂区设置环形消防通道。保证消防车辆畅通无阻。在总图布置上，</w:t>
            </w:r>
            <w:r>
              <w:rPr>
                <w:rFonts w:hint="eastAsia" w:cs="宋体"/>
                <w:b w:val="0"/>
                <w:bCs w:val="0"/>
                <w:sz w:val="21"/>
                <w:szCs w:val="21"/>
                <w:lang w:eastAsia="zh-CN"/>
              </w:rPr>
              <w:t>建筑</w:t>
            </w:r>
            <w:r>
              <w:rPr>
                <w:rFonts w:hint="eastAsia" w:ascii="宋体" w:hAnsi="宋体" w:eastAsia="宋体" w:cs="宋体"/>
                <w:b w:val="0"/>
                <w:bCs w:val="0"/>
                <w:sz w:val="21"/>
                <w:szCs w:val="21"/>
              </w:rPr>
              <w:t>、构筑物之间的防火间距严格按照《建筑设计防火规范[2018版]》（GB50016-2014）执行。</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141990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val="en-US" w:eastAsia="zh-CN"/>
              </w:rPr>
              <w:t>已</w:t>
            </w:r>
            <w:r>
              <w:rPr>
                <w:rFonts w:hint="eastAsia" w:ascii="宋体" w:hAnsi="宋体" w:eastAsia="宋体" w:cs="宋体"/>
                <w:b w:val="0"/>
                <w:bCs w:val="0"/>
                <w:sz w:val="21"/>
                <w:szCs w:val="21"/>
              </w:rPr>
              <w:t>设置环形消防通道</w:t>
            </w:r>
            <w:r>
              <w:rPr>
                <w:rFonts w:hint="eastAsia" w:ascii="宋体" w:hAnsi="宋体" w:eastAsia="宋体" w:cs="宋体"/>
                <w:b w:val="0"/>
                <w:bCs w:val="0"/>
                <w:sz w:val="21"/>
                <w:szCs w:val="21"/>
                <w:lang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961879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6AAD4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DB3AEE6">
            <w:pPr>
              <w:keepNext w:val="0"/>
              <w:keepLines w:val="0"/>
              <w:pageBreakBefore w:val="0"/>
              <w:widowControl w:val="0"/>
              <w:numPr>
                <w:ilvl w:val="0"/>
                <w:numId w:val="156"/>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CC7C64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建筑消防</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6F23A1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71F4896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E56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05964E6">
            <w:pPr>
              <w:keepNext w:val="0"/>
              <w:keepLines w:val="0"/>
              <w:pageBreakBefore w:val="0"/>
              <w:widowControl w:val="0"/>
              <w:numPr>
                <w:ilvl w:val="0"/>
                <w:numId w:val="157"/>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9619A3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防火等级</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1402DC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225937B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5E30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2F7335D">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019195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该项目原料车间火灾危险等级为丙类、联合生产车间火灾危险等级为丁类，产品仓库为戊类，变压器及配电室等级丁类。该项目各建筑物的耐火等级均为二级。</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8A06BA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default" w:ascii="宋体" w:hAnsi="宋体" w:eastAsia="宋体" w:cs="宋体"/>
                <w:b w:val="0"/>
                <w:bCs w:val="0"/>
                <w:sz w:val="21"/>
                <w:szCs w:val="21"/>
                <w:lang w:val="en-US" w:eastAsia="zh-CN"/>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3ECE638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2F7AD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5DEFEEC">
            <w:pPr>
              <w:keepNext w:val="0"/>
              <w:keepLines w:val="0"/>
              <w:pageBreakBefore w:val="0"/>
              <w:widowControl w:val="0"/>
              <w:numPr>
                <w:ilvl w:val="0"/>
                <w:numId w:val="157"/>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0AD718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消防措施和设施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65D5E5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B0CCDB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7E35E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CABCCD6">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933881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根据《建筑设计防火规范[2018版]》（GB50016-2014），该项目设置相应的室外消防水及室内灭火器。</w:t>
            </w:r>
          </w:p>
          <w:p w14:paraId="554673E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1）总图消防</w:t>
            </w:r>
          </w:p>
          <w:p w14:paraId="1FF465E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依据《建筑设计防火规范[2018版]》（GB50016-2014），该项目在总图布局设计中考虑了各建筑物间的防火间距和消防通道，建构筑之间的距离见4.2节所述，满足厂区总图方面的消防要求。</w:t>
            </w:r>
          </w:p>
          <w:p w14:paraId="07A0CBA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2）建筑消防</w:t>
            </w:r>
          </w:p>
          <w:p w14:paraId="121E990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A</w:t>
            </w:r>
            <w:r>
              <w:rPr>
                <w:rFonts w:hint="eastAsia" w:ascii="宋体" w:hAnsi="宋体" w:eastAsia="宋体" w:cs="宋体"/>
                <w:b w:val="0"/>
                <w:bCs w:val="0"/>
                <w:sz w:val="21"/>
                <w:szCs w:val="21"/>
              </w:rPr>
              <w:t>各建筑物按规范设置灭火器材和消防水。</w:t>
            </w:r>
          </w:p>
          <w:p w14:paraId="670A229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B</w:t>
            </w:r>
            <w:r>
              <w:rPr>
                <w:rFonts w:hint="eastAsia" w:ascii="宋体" w:hAnsi="宋体" w:eastAsia="宋体" w:cs="宋体"/>
                <w:b w:val="0"/>
                <w:bCs w:val="0"/>
                <w:sz w:val="21"/>
                <w:szCs w:val="21"/>
              </w:rPr>
              <w:t>建筑按防雷设计规范设计防雷装置，以防引起火灾。</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634C01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2EF06A1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3590C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7DA3E42">
            <w:pPr>
              <w:keepNext w:val="0"/>
              <w:keepLines w:val="0"/>
              <w:pageBreakBefore w:val="0"/>
              <w:widowControl w:val="0"/>
              <w:numPr>
                <w:ilvl w:val="0"/>
                <w:numId w:val="157"/>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9E56D3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电气消防</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0FE1DE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1FD172E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9DD7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A18789A">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AA4A1C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所有用电设备安全接地，接地电阻≤10Ω，所有用电导线穿管敷设。</w:t>
            </w:r>
          </w:p>
          <w:p w14:paraId="1541E8D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建筑内设计有消防事故照明设施及疏散指示标志等。</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522505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41309B3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3D7D0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77774B5">
            <w:pPr>
              <w:keepNext w:val="0"/>
              <w:keepLines w:val="0"/>
              <w:pageBreakBefore w:val="0"/>
              <w:widowControl w:val="0"/>
              <w:numPr>
                <w:ilvl w:val="0"/>
                <w:numId w:val="157"/>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737AF3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水消防</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5A84C8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2481B5F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48E06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5E3A5E4">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84C8DB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根据《消防给水及消火栓系统技术规范》（GB50974-2014） 第 3.3.2 条的规定：本建设项</w:t>
            </w:r>
            <w:r>
              <w:rPr>
                <w:rFonts w:hint="eastAsia" w:ascii="宋体" w:hAnsi="宋体" w:eastAsia="宋体" w:cs="宋体"/>
                <w:b w:val="0"/>
                <w:bCs w:val="0"/>
                <w:color w:val="auto"/>
                <w:sz w:val="21"/>
                <w:szCs w:val="21"/>
              </w:rPr>
              <w:t>目</w:t>
            </w:r>
            <w:r>
              <w:rPr>
                <w:rFonts w:hint="eastAsia" w:ascii="宋体" w:hAnsi="宋体" w:eastAsia="宋体" w:cs="宋体"/>
                <w:b w:val="0"/>
                <w:bCs w:val="0"/>
                <w:color w:val="auto"/>
                <w:sz w:val="21"/>
                <w:szCs w:val="21"/>
                <w:highlight w:val="none"/>
              </w:rPr>
              <w:t>最大厂房体积为 84384m</w:t>
            </w:r>
            <w:r>
              <w:rPr>
                <w:rFonts w:hint="eastAsia" w:ascii="宋体" w:hAnsi="宋体" w:eastAsia="宋体" w:cs="宋体"/>
                <w:b w:val="0"/>
                <w:bCs w:val="0"/>
                <w:color w:val="auto"/>
                <w:sz w:val="21"/>
                <w:szCs w:val="21"/>
                <w:highlight w:val="none"/>
                <w:vertAlign w:val="superscript"/>
              </w:rPr>
              <w:t>3</w:t>
            </w:r>
            <w:r>
              <w:rPr>
                <w:rFonts w:hint="eastAsia" w:ascii="宋体" w:hAnsi="宋体" w:eastAsia="宋体" w:cs="宋体"/>
                <w:b w:val="0"/>
                <w:bCs w:val="0"/>
                <w:color w:val="auto"/>
                <w:sz w:val="21"/>
                <w:szCs w:val="21"/>
                <w:highlight w:val="none"/>
              </w:rPr>
              <w:t>，火灾</w:t>
            </w:r>
            <w:r>
              <w:rPr>
                <w:rFonts w:hint="eastAsia" w:ascii="宋体" w:hAnsi="宋体" w:eastAsia="宋体" w:cs="宋体"/>
                <w:b w:val="0"/>
                <w:bCs w:val="0"/>
                <w:sz w:val="21"/>
                <w:szCs w:val="21"/>
                <w:highlight w:val="none"/>
              </w:rPr>
              <w:t>危</w:t>
            </w:r>
            <w:r>
              <w:rPr>
                <w:rFonts w:hint="eastAsia" w:ascii="宋体" w:hAnsi="宋体" w:eastAsia="宋体" w:cs="宋体"/>
                <w:b w:val="0"/>
                <w:bCs w:val="0"/>
                <w:sz w:val="21"/>
                <w:szCs w:val="21"/>
              </w:rPr>
              <w:t>险性分类为丁类，室外消防水量25L/s，室内消防水量10L/s，火灾延续时间2h。根据《消防给水及消火栓系统技术规范》（GB50974-2014） 第3.3.1条的规定：本建设项目同一时间内的火灾起数为1起，项目一期最大消防用水量252m</w:t>
            </w:r>
            <w:r>
              <w:rPr>
                <w:rFonts w:hint="eastAsia" w:ascii="宋体" w:hAnsi="宋体" w:eastAsia="宋体" w:cs="宋体"/>
                <w:b w:val="0"/>
                <w:bCs w:val="0"/>
                <w:sz w:val="21"/>
                <w:szCs w:val="21"/>
                <w:vertAlign w:val="superscript"/>
              </w:rPr>
              <w:t>3</w:t>
            </w:r>
            <w:r>
              <w:rPr>
                <w:rFonts w:hint="eastAsia" w:ascii="宋体" w:hAnsi="宋体" w:eastAsia="宋体" w:cs="宋体"/>
                <w:b w:val="0"/>
                <w:bCs w:val="0"/>
                <w:sz w:val="21"/>
                <w:szCs w:val="21"/>
              </w:rPr>
              <w:t xml:space="preserve">。 </w:t>
            </w:r>
          </w:p>
          <w:p w14:paraId="651F357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项目一期建设生产消防合用水池288m</w:t>
            </w:r>
            <w:r>
              <w:rPr>
                <w:rFonts w:hint="eastAsia" w:ascii="宋体" w:hAnsi="宋体" w:eastAsia="宋体" w:cs="宋体"/>
                <w:b w:val="0"/>
                <w:bCs w:val="0"/>
                <w:sz w:val="21"/>
                <w:szCs w:val="21"/>
                <w:vertAlign w:val="superscript"/>
              </w:rPr>
              <w:t>3</w:t>
            </w:r>
            <w:r>
              <w:rPr>
                <w:rFonts w:hint="eastAsia" w:ascii="宋体" w:hAnsi="宋体" w:eastAsia="宋体" w:cs="宋体"/>
                <w:b w:val="0"/>
                <w:bCs w:val="0"/>
                <w:sz w:val="21"/>
                <w:szCs w:val="21"/>
              </w:rPr>
              <w:t>，</w:t>
            </w:r>
            <w:r>
              <w:rPr>
                <w:rFonts w:hint="eastAsia" w:ascii="宋体" w:hAnsi="宋体" w:eastAsia="宋体" w:cs="宋体"/>
                <w:b w:val="0"/>
                <w:bCs w:val="0"/>
                <w:sz w:val="21"/>
                <w:szCs w:val="21"/>
                <w:highlight w:val="none"/>
              </w:rPr>
              <w:t>集中控制室楼顶设置18m</w:t>
            </w:r>
            <w:r>
              <w:rPr>
                <w:rFonts w:hint="eastAsia" w:ascii="宋体" w:hAnsi="宋体" w:eastAsia="宋体" w:cs="宋体"/>
                <w:b w:val="0"/>
                <w:bCs w:val="0"/>
                <w:sz w:val="21"/>
                <w:szCs w:val="21"/>
                <w:highlight w:val="none"/>
                <w:vertAlign w:val="superscript"/>
              </w:rPr>
              <w:t>3</w:t>
            </w:r>
            <w:r>
              <w:rPr>
                <w:rFonts w:hint="eastAsia" w:ascii="宋体" w:hAnsi="宋体" w:eastAsia="宋体" w:cs="宋体"/>
                <w:b w:val="0"/>
                <w:bCs w:val="0"/>
                <w:sz w:val="21"/>
                <w:szCs w:val="21"/>
                <w:highlight w:val="none"/>
              </w:rPr>
              <w:t>高位消防水箱及增压稳压</w:t>
            </w:r>
            <w:r>
              <w:rPr>
                <w:rFonts w:hint="eastAsia" w:ascii="宋体" w:hAnsi="宋体" w:eastAsia="宋体" w:cs="宋体"/>
                <w:b w:val="0"/>
                <w:bCs w:val="0"/>
                <w:sz w:val="21"/>
                <w:szCs w:val="21"/>
              </w:rPr>
              <w:t>设备。本建设二期建设 1000m</w:t>
            </w:r>
            <w:r>
              <w:rPr>
                <w:rFonts w:hint="eastAsia" w:ascii="宋体" w:hAnsi="宋体" w:eastAsia="宋体" w:cs="宋体"/>
                <w:b w:val="0"/>
                <w:bCs w:val="0"/>
                <w:sz w:val="21"/>
                <w:szCs w:val="21"/>
                <w:vertAlign w:val="superscript"/>
              </w:rPr>
              <w:t>3</w:t>
            </w:r>
            <w:r>
              <w:rPr>
                <w:rFonts w:hint="eastAsia" w:ascii="宋体" w:hAnsi="宋体" w:eastAsia="宋体" w:cs="宋体"/>
                <w:b w:val="0"/>
                <w:bCs w:val="0"/>
                <w:sz w:val="21"/>
                <w:szCs w:val="21"/>
              </w:rPr>
              <w:t>高位水箱1座，消防水泵房设置6台XBD4/20-L型消防水泵（Q=25L/s，H=40m， N=22kW），4开2备。厂区设置独立的环状消防给水管网，管径DN200，室外设 置室外消火栓，间距不大于120m，保护半径不大于150m，各厂房按规范要求设置室内消火栓。消防给水系统，自建高位水箱、</w:t>
            </w:r>
            <w:r>
              <w:rPr>
                <w:rFonts w:hint="eastAsia" w:cs="宋体"/>
                <w:b w:val="0"/>
                <w:bCs w:val="0"/>
                <w:sz w:val="21"/>
                <w:szCs w:val="21"/>
                <w:lang w:eastAsia="zh-CN"/>
              </w:rPr>
              <w:t>循环水池</w:t>
            </w:r>
            <w:r>
              <w:rPr>
                <w:rFonts w:hint="eastAsia" w:ascii="宋体" w:hAnsi="宋体" w:eastAsia="宋体" w:cs="宋体"/>
                <w:b w:val="0"/>
                <w:bCs w:val="0"/>
                <w:sz w:val="21"/>
                <w:szCs w:val="21"/>
              </w:rPr>
              <w:t>、冷却塔、水泵。</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217F9A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default" w:ascii="宋体" w:hAnsi="宋体" w:eastAsia="宋体" w:cs="宋体"/>
                <w:b w:val="0"/>
                <w:bCs w:val="0"/>
                <w:sz w:val="21"/>
                <w:szCs w:val="21"/>
                <w:lang w:val="en-US" w:eastAsia="zh-CN"/>
              </w:rPr>
            </w:pPr>
            <w:r>
              <w:rPr>
                <w:rFonts w:hint="eastAsia" w:cs="宋体"/>
                <w:b w:val="0"/>
                <w:bCs w:val="0"/>
                <w:sz w:val="21"/>
                <w:szCs w:val="21"/>
                <w:lang w:val="en-US" w:eastAsia="zh-CN"/>
              </w:rPr>
              <w:t>本项目一期工程已按安全设施设计要求设置消防设施。</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7E14EFA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3064F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760A2C0">
            <w:pPr>
              <w:keepNext w:val="0"/>
              <w:keepLines w:val="0"/>
              <w:pageBreakBefore w:val="0"/>
              <w:widowControl w:val="0"/>
              <w:numPr>
                <w:ilvl w:val="0"/>
                <w:numId w:val="157"/>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C42258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建筑灭火器配置</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8D9588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4A1E7DD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331E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20A4CC4">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930102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根据《建筑灭火器配置设计防火规范》（GB50140-2005），车间内按规范设置一定数量的手提式粉灭火器。</w:t>
            </w:r>
          </w:p>
          <w:p w14:paraId="03E7E78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1）原料车间、产品仓库、联合生产车间各消防箱处配置A类，轻危险级，最大保护面积100m</w:t>
            </w:r>
            <w:r>
              <w:rPr>
                <w:rFonts w:hint="eastAsia" w:ascii="宋体" w:hAnsi="宋体" w:eastAsia="宋体" w:cs="宋体"/>
                <w:b w:val="0"/>
                <w:bCs w:val="0"/>
                <w:sz w:val="21"/>
                <w:szCs w:val="21"/>
                <w:vertAlign w:val="superscript"/>
              </w:rPr>
              <w:t>2</w:t>
            </w:r>
            <w:r>
              <w:rPr>
                <w:rFonts w:hint="eastAsia" w:ascii="宋体" w:hAnsi="宋体" w:eastAsia="宋体" w:cs="宋体"/>
                <w:b w:val="0"/>
                <w:bCs w:val="0"/>
                <w:sz w:val="21"/>
                <w:szCs w:val="21"/>
              </w:rPr>
              <w:t>。设手提式干粉灭火器。</w:t>
            </w:r>
          </w:p>
          <w:p w14:paraId="72A9231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2）配电室配置：E类，轻危险级，最大保护面积100m</w:t>
            </w:r>
            <w:r>
              <w:rPr>
                <w:rFonts w:hint="eastAsia" w:ascii="宋体" w:hAnsi="宋体" w:eastAsia="宋体" w:cs="宋体"/>
                <w:b w:val="0"/>
                <w:bCs w:val="0"/>
                <w:sz w:val="21"/>
                <w:szCs w:val="21"/>
                <w:vertAlign w:val="superscript"/>
              </w:rPr>
              <w:t>2</w:t>
            </w:r>
            <w:r>
              <w:rPr>
                <w:rFonts w:hint="eastAsia" w:ascii="宋体" w:hAnsi="宋体" w:eastAsia="宋体" w:cs="宋体"/>
                <w:b w:val="0"/>
                <w:bCs w:val="0"/>
                <w:sz w:val="21"/>
                <w:szCs w:val="21"/>
              </w:rPr>
              <w:t>。按E类中危险级设手提式干粉灭火器。</w:t>
            </w:r>
          </w:p>
          <w:p w14:paraId="5DB32FE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根据《建筑灭火器配置设计规范》（GB50140-2005）设计，该项目设置干粉灭火器备用，具体消防设施的配置见下表所示。</w:t>
            </w:r>
          </w:p>
          <w:p w14:paraId="3E41539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表6.3-1 消防设施布置一览表</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1188"/>
              <w:gridCol w:w="975"/>
              <w:gridCol w:w="525"/>
              <w:gridCol w:w="491"/>
            </w:tblGrid>
            <w:tr w14:paraId="57651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blHeader/>
              </w:trPr>
              <w:tc>
                <w:tcPr>
                  <w:tcW w:w="1255" w:type="pct"/>
                  <w:vAlign w:val="center"/>
                </w:tcPr>
                <w:p w14:paraId="6B31655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灭火器布置地点</w:t>
                  </w:r>
                </w:p>
              </w:tc>
              <w:tc>
                <w:tcPr>
                  <w:tcW w:w="1399" w:type="pct"/>
                  <w:vAlign w:val="center"/>
                </w:tcPr>
                <w:p w14:paraId="610949A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型号</w:t>
                  </w:r>
                </w:p>
              </w:tc>
              <w:tc>
                <w:tcPr>
                  <w:tcW w:w="1148" w:type="pct"/>
                  <w:vAlign w:val="center"/>
                </w:tcPr>
                <w:p w14:paraId="3C5BEC3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规格</w:t>
                  </w:r>
                </w:p>
              </w:tc>
              <w:tc>
                <w:tcPr>
                  <w:tcW w:w="618" w:type="pct"/>
                  <w:vAlign w:val="center"/>
                </w:tcPr>
                <w:p w14:paraId="2D82555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数量</w:t>
                  </w:r>
                </w:p>
              </w:tc>
              <w:tc>
                <w:tcPr>
                  <w:tcW w:w="578" w:type="pct"/>
                  <w:vAlign w:val="center"/>
                </w:tcPr>
                <w:p w14:paraId="7C11F15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备注</w:t>
                  </w:r>
                </w:p>
              </w:tc>
            </w:tr>
            <w:tr w14:paraId="45A4B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55" w:type="pct"/>
                  <w:vAlign w:val="center"/>
                </w:tcPr>
                <w:p w14:paraId="5BB21D6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原料车间</w:t>
                  </w:r>
                </w:p>
              </w:tc>
              <w:tc>
                <w:tcPr>
                  <w:tcW w:w="1399" w:type="pct"/>
                  <w:vAlign w:val="center"/>
                </w:tcPr>
                <w:p w14:paraId="5B200FE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手提式干粉灭火器</w:t>
                  </w:r>
                </w:p>
              </w:tc>
              <w:tc>
                <w:tcPr>
                  <w:tcW w:w="1148" w:type="pct"/>
                  <w:vAlign w:val="center"/>
                </w:tcPr>
                <w:p w14:paraId="780DFB6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MF/ABC4</w:t>
                  </w:r>
                </w:p>
              </w:tc>
              <w:tc>
                <w:tcPr>
                  <w:tcW w:w="618" w:type="pct"/>
                  <w:vAlign w:val="center"/>
                </w:tcPr>
                <w:p w14:paraId="4B73C33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36</w:t>
                  </w:r>
                </w:p>
              </w:tc>
              <w:tc>
                <w:tcPr>
                  <w:tcW w:w="578" w:type="pct"/>
                  <w:vAlign w:val="center"/>
                </w:tcPr>
                <w:p w14:paraId="3314F26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r>
            <w:tr w14:paraId="0C944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55" w:type="pct"/>
                  <w:vAlign w:val="center"/>
                </w:tcPr>
                <w:p w14:paraId="5B76F48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bookmarkStart w:id="1210" w:name="_Hlk149686428"/>
                  <w:r>
                    <w:rPr>
                      <w:rFonts w:hint="eastAsia" w:ascii="宋体" w:hAnsi="宋体" w:eastAsia="宋体" w:cs="宋体"/>
                      <w:b w:val="0"/>
                      <w:bCs w:val="0"/>
                      <w:sz w:val="21"/>
                      <w:szCs w:val="21"/>
                    </w:rPr>
                    <w:t>1#联合生产车间</w:t>
                  </w:r>
                </w:p>
              </w:tc>
              <w:tc>
                <w:tcPr>
                  <w:tcW w:w="1399" w:type="pct"/>
                  <w:vAlign w:val="center"/>
                </w:tcPr>
                <w:p w14:paraId="7D8EFF6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手提式干粉灭火器</w:t>
                  </w:r>
                </w:p>
              </w:tc>
              <w:tc>
                <w:tcPr>
                  <w:tcW w:w="1148" w:type="pct"/>
                  <w:vAlign w:val="center"/>
                </w:tcPr>
                <w:p w14:paraId="71EA27D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MF/ABC4</w:t>
                  </w:r>
                </w:p>
              </w:tc>
              <w:tc>
                <w:tcPr>
                  <w:tcW w:w="618" w:type="pct"/>
                  <w:vAlign w:val="center"/>
                </w:tcPr>
                <w:p w14:paraId="3F07D10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26</w:t>
                  </w:r>
                </w:p>
              </w:tc>
              <w:tc>
                <w:tcPr>
                  <w:tcW w:w="578" w:type="pct"/>
                  <w:vAlign w:val="center"/>
                </w:tcPr>
                <w:p w14:paraId="29E9E21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r>
            <w:bookmarkEnd w:id="1210"/>
            <w:tr w14:paraId="718A1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55" w:type="pct"/>
                  <w:tcBorders>
                    <w:top w:val="single" w:color="auto" w:sz="4" w:space="0"/>
                    <w:left w:val="single" w:color="auto" w:sz="4" w:space="0"/>
                    <w:bottom w:val="single" w:color="auto" w:sz="4" w:space="0"/>
                    <w:right w:val="single" w:color="auto" w:sz="4" w:space="0"/>
                  </w:tcBorders>
                  <w:vAlign w:val="center"/>
                </w:tcPr>
                <w:p w14:paraId="2FB5F6E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2#联合生产车间</w:t>
                  </w:r>
                </w:p>
              </w:tc>
              <w:tc>
                <w:tcPr>
                  <w:tcW w:w="1399" w:type="pct"/>
                  <w:tcBorders>
                    <w:top w:val="single" w:color="auto" w:sz="4" w:space="0"/>
                    <w:left w:val="single" w:color="auto" w:sz="4" w:space="0"/>
                    <w:bottom w:val="single" w:color="auto" w:sz="4" w:space="0"/>
                    <w:right w:val="single" w:color="auto" w:sz="4" w:space="0"/>
                  </w:tcBorders>
                  <w:vAlign w:val="center"/>
                </w:tcPr>
                <w:p w14:paraId="72CD1F9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手提式干粉灭火器</w:t>
                  </w:r>
                </w:p>
              </w:tc>
              <w:tc>
                <w:tcPr>
                  <w:tcW w:w="1148" w:type="pct"/>
                  <w:tcBorders>
                    <w:top w:val="single" w:color="auto" w:sz="4" w:space="0"/>
                    <w:left w:val="single" w:color="auto" w:sz="4" w:space="0"/>
                    <w:bottom w:val="single" w:color="auto" w:sz="4" w:space="0"/>
                    <w:right w:val="single" w:color="auto" w:sz="4" w:space="0"/>
                  </w:tcBorders>
                  <w:vAlign w:val="center"/>
                </w:tcPr>
                <w:p w14:paraId="42425F8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MF/ABC4</w:t>
                  </w:r>
                </w:p>
              </w:tc>
              <w:tc>
                <w:tcPr>
                  <w:tcW w:w="618" w:type="pct"/>
                  <w:tcBorders>
                    <w:top w:val="single" w:color="auto" w:sz="4" w:space="0"/>
                    <w:left w:val="single" w:color="auto" w:sz="4" w:space="0"/>
                    <w:bottom w:val="single" w:color="auto" w:sz="4" w:space="0"/>
                    <w:right w:val="single" w:color="auto" w:sz="4" w:space="0"/>
                  </w:tcBorders>
                  <w:vAlign w:val="center"/>
                </w:tcPr>
                <w:p w14:paraId="0758101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26</w:t>
                  </w:r>
                </w:p>
              </w:tc>
              <w:tc>
                <w:tcPr>
                  <w:tcW w:w="578" w:type="pct"/>
                  <w:tcBorders>
                    <w:top w:val="single" w:color="auto" w:sz="4" w:space="0"/>
                    <w:left w:val="single" w:color="auto" w:sz="4" w:space="0"/>
                    <w:bottom w:val="single" w:color="auto" w:sz="4" w:space="0"/>
                    <w:right w:val="single" w:color="auto" w:sz="4" w:space="0"/>
                  </w:tcBorders>
                  <w:vAlign w:val="center"/>
                </w:tcPr>
                <w:p w14:paraId="586D3B5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r>
            <w:tr w14:paraId="495C4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55" w:type="pct"/>
                  <w:vAlign w:val="center"/>
                </w:tcPr>
                <w:p w14:paraId="5AF8484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1#成品车间</w:t>
                  </w:r>
                </w:p>
              </w:tc>
              <w:tc>
                <w:tcPr>
                  <w:tcW w:w="1399" w:type="pct"/>
                  <w:tcBorders>
                    <w:top w:val="single" w:color="auto" w:sz="4" w:space="0"/>
                    <w:left w:val="single" w:color="auto" w:sz="4" w:space="0"/>
                    <w:bottom w:val="single" w:color="auto" w:sz="4" w:space="0"/>
                    <w:right w:val="single" w:color="auto" w:sz="4" w:space="0"/>
                  </w:tcBorders>
                  <w:vAlign w:val="center"/>
                </w:tcPr>
                <w:p w14:paraId="01F8A81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手提式干粉灭火器</w:t>
                  </w:r>
                </w:p>
              </w:tc>
              <w:tc>
                <w:tcPr>
                  <w:tcW w:w="1148" w:type="pct"/>
                  <w:tcBorders>
                    <w:top w:val="single" w:color="auto" w:sz="4" w:space="0"/>
                    <w:left w:val="single" w:color="auto" w:sz="4" w:space="0"/>
                    <w:bottom w:val="single" w:color="auto" w:sz="4" w:space="0"/>
                    <w:right w:val="single" w:color="auto" w:sz="4" w:space="0"/>
                  </w:tcBorders>
                  <w:vAlign w:val="center"/>
                </w:tcPr>
                <w:p w14:paraId="3B54BF2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MF/ABC4</w:t>
                  </w:r>
                </w:p>
              </w:tc>
              <w:tc>
                <w:tcPr>
                  <w:tcW w:w="618" w:type="pct"/>
                  <w:tcBorders>
                    <w:top w:val="single" w:color="auto" w:sz="4" w:space="0"/>
                    <w:left w:val="single" w:color="auto" w:sz="4" w:space="0"/>
                    <w:bottom w:val="single" w:color="auto" w:sz="4" w:space="0"/>
                    <w:right w:val="single" w:color="auto" w:sz="4" w:space="0"/>
                  </w:tcBorders>
                  <w:vAlign w:val="center"/>
                </w:tcPr>
                <w:p w14:paraId="3D36751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20</w:t>
                  </w:r>
                </w:p>
              </w:tc>
              <w:tc>
                <w:tcPr>
                  <w:tcW w:w="578" w:type="pct"/>
                  <w:vAlign w:val="center"/>
                </w:tcPr>
                <w:p w14:paraId="6D35F09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r>
            <w:tr w14:paraId="36E1F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55" w:type="pct"/>
                  <w:vAlign w:val="center"/>
                </w:tcPr>
                <w:p w14:paraId="73E5D52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2#成品车间</w:t>
                  </w:r>
                </w:p>
              </w:tc>
              <w:tc>
                <w:tcPr>
                  <w:tcW w:w="1399" w:type="pct"/>
                  <w:tcBorders>
                    <w:top w:val="single" w:color="auto" w:sz="4" w:space="0"/>
                    <w:left w:val="single" w:color="auto" w:sz="4" w:space="0"/>
                    <w:bottom w:val="single" w:color="auto" w:sz="4" w:space="0"/>
                    <w:right w:val="single" w:color="auto" w:sz="4" w:space="0"/>
                  </w:tcBorders>
                  <w:vAlign w:val="center"/>
                </w:tcPr>
                <w:p w14:paraId="532FB85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手提式干粉灭火器</w:t>
                  </w:r>
                </w:p>
              </w:tc>
              <w:tc>
                <w:tcPr>
                  <w:tcW w:w="1148" w:type="pct"/>
                  <w:tcBorders>
                    <w:top w:val="single" w:color="auto" w:sz="4" w:space="0"/>
                    <w:left w:val="single" w:color="auto" w:sz="4" w:space="0"/>
                    <w:bottom w:val="single" w:color="auto" w:sz="4" w:space="0"/>
                    <w:right w:val="single" w:color="auto" w:sz="4" w:space="0"/>
                  </w:tcBorders>
                  <w:vAlign w:val="center"/>
                </w:tcPr>
                <w:p w14:paraId="68C1082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MF/ABC4</w:t>
                  </w:r>
                </w:p>
              </w:tc>
              <w:tc>
                <w:tcPr>
                  <w:tcW w:w="618" w:type="pct"/>
                  <w:tcBorders>
                    <w:top w:val="single" w:color="auto" w:sz="4" w:space="0"/>
                    <w:left w:val="single" w:color="auto" w:sz="4" w:space="0"/>
                    <w:bottom w:val="single" w:color="auto" w:sz="4" w:space="0"/>
                    <w:right w:val="single" w:color="auto" w:sz="4" w:space="0"/>
                  </w:tcBorders>
                  <w:vAlign w:val="center"/>
                </w:tcPr>
                <w:p w14:paraId="506197E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20</w:t>
                  </w:r>
                </w:p>
              </w:tc>
              <w:tc>
                <w:tcPr>
                  <w:tcW w:w="578" w:type="pct"/>
                  <w:vAlign w:val="center"/>
                </w:tcPr>
                <w:p w14:paraId="4B0C6DE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r>
            <w:tr w14:paraId="1C90E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55" w:type="pct"/>
                  <w:vAlign w:val="center"/>
                </w:tcPr>
                <w:p w14:paraId="161E831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集中控制室</w:t>
                  </w:r>
                </w:p>
              </w:tc>
              <w:tc>
                <w:tcPr>
                  <w:tcW w:w="1399" w:type="pct"/>
                  <w:tcBorders>
                    <w:top w:val="single" w:color="auto" w:sz="4" w:space="0"/>
                    <w:left w:val="single" w:color="auto" w:sz="4" w:space="0"/>
                    <w:bottom w:val="single" w:color="auto" w:sz="4" w:space="0"/>
                    <w:right w:val="single" w:color="auto" w:sz="4" w:space="0"/>
                  </w:tcBorders>
                  <w:vAlign w:val="center"/>
                </w:tcPr>
                <w:p w14:paraId="2B989E2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手提式干粉灭火器</w:t>
                  </w:r>
                </w:p>
              </w:tc>
              <w:tc>
                <w:tcPr>
                  <w:tcW w:w="1148" w:type="pct"/>
                  <w:tcBorders>
                    <w:top w:val="single" w:color="auto" w:sz="4" w:space="0"/>
                    <w:left w:val="single" w:color="auto" w:sz="4" w:space="0"/>
                    <w:bottom w:val="single" w:color="auto" w:sz="4" w:space="0"/>
                    <w:right w:val="single" w:color="auto" w:sz="4" w:space="0"/>
                  </w:tcBorders>
                  <w:vAlign w:val="center"/>
                </w:tcPr>
                <w:p w14:paraId="18F7A42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MF/ABC4</w:t>
                  </w:r>
                </w:p>
              </w:tc>
              <w:tc>
                <w:tcPr>
                  <w:tcW w:w="618" w:type="pct"/>
                  <w:tcBorders>
                    <w:top w:val="single" w:color="auto" w:sz="4" w:space="0"/>
                    <w:left w:val="single" w:color="auto" w:sz="4" w:space="0"/>
                    <w:bottom w:val="single" w:color="auto" w:sz="4" w:space="0"/>
                    <w:right w:val="single" w:color="auto" w:sz="4" w:space="0"/>
                  </w:tcBorders>
                  <w:vAlign w:val="center"/>
                </w:tcPr>
                <w:p w14:paraId="6F61DE5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w:t>
                  </w:r>
                </w:p>
              </w:tc>
              <w:tc>
                <w:tcPr>
                  <w:tcW w:w="578" w:type="pct"/>
                  <w:vAlign w:val="center"/>
                </w:tcPr>
                <w:p w14:paraId="189B657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r>
            <w:tr w14:paraId="1A197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55" w:type="pct"/>
                  <w:tcBorders>
                    <w:top w:val="single" w:color="auto" w:sz="4" w:space="0"/>
                    <w:left w:val="single" w:color="auto" w:sz="4" w:space="0"/>
                    <w:bottom w:val="single" w:color="auto" w:sz="4" w:space="0"/>
                    <w:right w:val="single" w:color="auto" w:sz="4" w:space="0"/>
                  </w:tcBorders>
                  <w:vAlign w:val="center"/>
                </w:tcPr>
                <w:p w14:paraId="7E76F5B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变配电室</w:t>
                  </w:r>
                </w:p>
              </w:tc>
              <w:tc>
                <w:tcPr>
                  <w:tcW w:w="1399" w:type="pct"/>
                  <w:tcBorders>
                    <w:top w:val="single" w:color="auto" w:sz="4" w:space="0"/>
                    <w:left w:val="single" w:color="auto" w:sz="4" w:space="0"/>
                    <w:bottom w:val="single" w:color="auto" w:sz="4" w:space="0"/>
                    <w:right w:val="single" w:color="auto" w:sz="4" w:space="0"/>
                  </w:tcBorders>
                  <w:vAlign w:val="center"/>
                </w:tcPr>
                <w:p w14:paraId="34BE036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手提式干粉灭火器</w:t>
                  </w:r>
                </w:p>
              </w:tc>
              <w:tc>
                <w:tcPr>
                  <w:tcW w:w="1148" w:type="pct"/>
                  <w:tcBorders>
                    <w:top w:val="single" w:color="auto" w:sz="4" w:space="0"/>
                    <w:left w:val="single" w:color="auto" w:sz="4" w:space="0"/>
                    <w:bottom w:val="single" w:color="auto" w:sz="4" w:space="0"/>
                    <w:right w:val="single" w:color="auto" w:sz="4" w:space="0"/>
                  </w:tcBorders>
                  <w:vAlign w:val="center"/>
                </w:tcPr>
                <w:p w14:paraId="7894E1E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MF/ABC4</w:t>
                  </w:r>
                </w:p>
              </w:tc>
              <w:tc>
                <w:tcPr>
                  <w:tcW w:w="618" w:type="pct"/>
                  <w:tcBorders>
                    <w:top w:val="single" w:color="auto" w:sz="4" w:space="0"/>
                    <w:left w:val="single" w:color="auto" w:sz="4" w:space="0"/>
                    <w:bottom w:val="single" w:color="auto" w:sz="4" w:space="0"/>
                    <w:right w:val="single" w:color="auto" w:sz="4" w:space="0"/>
                  </w:tcBorders>
                  <w:vAlign w:val="center"/>
                </w:tcPr>
                <w:p w14:paraId="02AC2FB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w:t>
                  </w:r>
                </w:p>
              </w:tc>
              <w:tc>
                <w:tcPr>
                  <w:tcW w:w="578" w:type="pct"/>
                  <w:tcBorders>
                    <w:top w:val="single" w:color="auto" w:sz="4" w:space="0"/>
                    <w:left w:val="single" w:color="auto" w:sz="4" w:space="0"/>
                    <w:bottom w:val="single" w:color="auto" w:sz="4" w:space="0"/>
                    <w:right w:val="single" w:color="auto" w:sz="4" w:space="0"/>
                  </w:tcBorders>
                  <w:vAlign w:val="center"/>
                </w:tcPr>
                <w:p w14:paraId="22AE770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r>
            <w:tr w14:paraId="6F991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255" w:type="pct"/>
                  <w:tcBorders>
                    <w:top w:val="single" w:color="auto" w:sz="4" w:space="0"/>
                    <w:left w:val="single" w:color="auto" w:sz="4" w:space="0"/>
                    <w:bottom w:val="single" w:color="auto" w:sz="4" w:space="0"/>
                    <w:right w:val="single" w:color="auto" w:sz="4" w:space="0"/>
                  </w:tcBorders>
                  <w:vAlign w:val="center"/>
                </w:tcPr>
                <w:p w14:paraId="5DF8217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危废间</w:t>
                  </w:r>
                </w:p>
              </w:tc>
              <w:tc>
                <w:tcPr>
                  <w:tcW w:w="1399" w:type="pct"/>
                  <w:tcBorders>
                    <w:top w:val="single" w:color="auto" w:sz="4" w:space="0"/>
                    <w:left w:val="single" w:color="auto" w:sz="4" w:space="0"/>
                    <w:bottom w:val="single" w:color="auto" w:sz="4" w:space="0"/>
                    <w:right w:val="single" w:color="auto" w:sz="4" w:space="0"/>
                  </w:tcBorders>
                  <w:vAlign w:val="center"/>
                </w:tcPr>
                <w:p w14:paraId="13285E2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手提式干粉灭火器</w:t>
                  </w:r>
                </w:p>
              </w:tc>
              <w:tc>
                <w:tcPr>
                  <w:tcW w:w="1148" w:type="pct"/>
                  <w:tcBorders>
                    <w:top w:val="single" w:color="auto" w:sz="4" w:space="0"/>
                    <w:left w:val="single" w:color="auto" w:sz="4" w:space="0"/>
                    <w:bottom w:val="single" w:color="auto" w:sz="4" w:space="0"/>
                    <w:right w:val="single" w:color="auto" w:sz="4" w:space="0"/>
                  </w:tcBorders>
                  <w:vAlign w:val="center"/>
                </w:tcPr>
                <w:p w14:paraId="0EB086B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MF/ABC4</w:t>
                  </w:r>
                </w:p>
              </w:tc>
              <w:tc>
                <w:tcPr>
                  <w:tcW w:w="618" w:type="pct"/>
                  <w:tcBorders>
                    <w:top w:val="single" w:color="auto" w:sz="4" w:space="0"/>
                    <w:left w:val="single" w:color="auto" w:sz="4" w:space="0"/>
                    <w:bottom w:val="single" w:color="auto" w:sz="4" w:space="0"/>
                    <w:right w:val="single" w:color="auto" w:sz="4" w:space="0"/>
                  </w:tcBorders>
                  <w:vAlign w:val="center"/>
                </w:tcPr>
                <w:p w14:paraId="252CC2B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w:t>
                  </w:r>
                </w:p>
              </w:tc>
              <w:tc>
                <w:tcPr>
                  <w:tcW w:w="578" w:type="pct"/>
                  <w:tcBorders>
                    <w:top w:val="single" w:color="auto" w:sz="4" w:space="0"/>
                    <w:left w:val="single" w:color="auto" w:sz="4" w:space="0"/>
                    <w:bottom w:val="single" w:color="auto" w:sz="4" w:space="0"/>
                    <w:right w:val="single" w:color="auto" w:sz="4" w:space="0"/>
                  </w:tcBorders>
                  <w:vAlign w:val="center"/>
                </w:tcPr>
                <w:p w14:paraId="4136D51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r>
          </w:tbl>
          <w:p w14:paraId="144902D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F06381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default" w:ascii="宋体" w:hAnsi="宋体" w:eastAsia="宋体" w:cs="宋体"/>
                <w:b w:val="0"/>
                <w:bCs w:val="0"/>
                <w:sz w:val="21"/>
                <w:szCs w:val="21"/>
                <w:lang w:val="en-US" w:eastAsia="zh-CN"/>
              </w:rPr>
            </w:pPr>
            <w:r>
              <w:rPr>
                <w:rFonts w:hint="eastAsia" w:cs="宋体"/>
                <w:b w:val="0"/>
                <w:bCs w:val="0"/>
                <w:sz w:val="21"/>
                <w:szCs w:val="21"/>
                <w:lang w:val="en-US" w:eastAsia="zh-CN"/>
              </w:rPr>
              <w:t>各建构筑物灭火器已按安全设施设计要求配置。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1952D3C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48DF6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126F07F">
            <w:pPr>
              <w:keepNext w:val="0"/>
              <w:keepLines w:val="0"/>
              <w:pageBreakBefore w:val="0"/>
              <w:widowControl w:val="0"/>
              <w:numPr>
                <w:ilvl w:val="0"/>
                <w:numId w:val="157"/>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474470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疏散楼梯及疏散通道</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25A4E0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19DA2AC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1F44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2C22243">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FA7D58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1）该项目生产车间设置2个出口，安全疏散符合《建筑设计防火规范[2018版]》（GB 50016-2014）的防火和安全疏散要求。</w:t>
            </w:r>
          </w:p>
          <w:p w14:paraId="1EA2E12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2）在厂区各疏散楼梯、疏散走道、配电柜及控制室等场所设置消防</w:t>
            </w:r>
            <w:r>
              <w:rPr>
                <w:rFonts w:hint="eastAsia" w:ascii="宋体" w:hAnsi="宋体" w:eastAsia="宋体" w:cs="宋体"/>
                <w:b w:val="0"/>
                <w:bCs w:val="0"/>
                <w:sz w:val="21"/>
                <w:szCs w:val="21"/>
                <w:highlight w:val="none"/>
              </w:rPr>
              <w:t>应急照明和疏散指示标志。一般平面疏散区域，竖向疏散区域，人员密集流动疏散区域及地下疏散区域应急照明最少持续供电30min。消防工作区域，如消防控制室、配电室、水泵房等应急照明最少持续供电180min。</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353378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cs="宋体"/>
                <w:b w:val="0"/>
                <w:bCs w:val="0"/>
                <w:sz w:val="21"/>
                <w:szCs w:val="21"/>
                <w:lang w:val="en-US" w:eastAsia="zh-CN"/>
              </w:rPr>
              <w:t>已按安全设施设计要求配置应急照明和</w:t>
            </w:r>
            <w:r>
              <w:rPr>
                <w:rFonts w:hint="eastAsia" w:ascii="宋体" w:hAnsi="宋体" w:eastAsia="宋体" w:cs="宋体"/>
                <w:b w:val="0"/>
                <w:bCs w:val="0"/>
                <w:sz w:val="21"/>
                <w:szCs w:val="21"/>
              </w:rPr>
              <w:t>疏散指示标志</w:t>
            </w:r>
            <w:r>
              <w:rPr>
                <w:rFonts w:hint="eastAsia" w:cs="宋体"/>
                <w:b w:val="0"/>
                <w:bCs w:val="0"/>
                <w:sz w:val="21"/>
                <w:szCs w:val="21"/>
                <w:lang w:val="en-US"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4361067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6D1AB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A8F5ACA">
            <w:pPr>
              <w:keepNext w:val="0"/>
              <w:keepLines w:val="0"/>
              <w:pageBreakBefore w:val="0"/>
              <w:widowControl w:val="0"/>
              <w:numPr>
                <w:ilvl w:val="0"/>
                <w:numId w:val="156"/>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F4FA18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消防管理制度</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AE060A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417AEEF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7DE8D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AFA9B69">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41E303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为使项目实行安全生产，该项目设置有完善的消防管理体系，公司设置安环部，配兼职消防员，建立安全消防制度，对职工尤其是操作工人继续进行系统的防火教育，强化其安全意识，并进行全员消防常规训练。</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C53BFF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rPr>
              <w:t>公司设置安环部，配兼职消防员，建立安全消防制度</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lang w:val="en-US" w:eastAsia="zh-CN"/>
              </w:rPr>
              <w:t>开展</w:t>
            </w:r>
            <w:r>
              <w:rPr>
                <w:rFonts w:hint="eastAsia" w:ascii="宋体" w:hAnsi="宋体" w:eastAsia="宋体" w:cs="宋体"/>
                <w:b w:val="0"/>
                <w:bCs w:val="0"/>
                <w:sz w:val="21"/>
                <w:szCs w:val="21"/>
              </w:rPr>
              <w:t>防火教育</w:t>
            </w:r>
            <w:r>
              <w:rPr>
                <w:rFonts w:hint="eastAsia" w:ascii="宋体" w:hAnsi="宋体" w:eastAsia="宋体" w:cs="宋体"/>
                <w:b w:val="0"/>
                <w:bCs w:val="0"/>
                <w:sz w:val="21"/>
                <w:szCs w:val="21"/>
                <w:lang w:val="en-US" w:eastAsia="zh-CN"/>
              </w:rPr>
              <w:t>和</w:t>
            </w:r>
            <w:r>
              <w:rPr>
                <w:rFonts w:hint="eastAsia" w:ascii="宋体" w:hAnsi="宋体" w:eastAsia="宋体" w:cs="宋体"/>
                <w:b w:val="0"/>
                <w:bCs w:val="0"/>
                <w:sz w:val="21"/>
                <w:szCs w:val="21"/>
              </w:rPr>
              <w:t>全员消防常规训练</w:t>
            </w:r>
            <w:r>
              <w:rPr>
                <w:rFonts w:hint="eastAsia" w:ascii="宋体" w:hAnsi="宋体" w:eastAsia="宋体" w:cs="宋体"/>
                <w:b w:val="0"/>
                <w:bCs w:val="0"/>
                <w:sz w:val="21"/>
                <w:szCs w:val="21"/>
                <w:lang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38F78F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11C8B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5B16FEB">
            <w:pPr>
              <w:keepNext w:val="0"/>
              <w:keepLines w:val="0"/>
              <w:pageBreakBefore w:val="0"/>
              <w:widowControl w:val="0"/>
              <w:numPr>
                <w:ilvl w:val="0"/>
                <w:numId w:val="156"/>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8FED68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其他消防安全措施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7F73AD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43EEF7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2CE3B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975D2A5">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9D87DB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生产区域各车间、建（构）筑物内按照《建筑灭火器配置设计规范》（GB50140-2005）的要求配置灭火器。灭火器设置在灭火器箱内，灭火器箱不得上锁，不得设置在潮湿或强腐蚀的地点；灭火器箱设置在位置明显和便于取用的地点，且不得影响安全疏散；灭火器材不得有杂物堵塞或遮挡。</w:t>
            </w:r>
          </w:p>
          <w:p w14:paraId="115AFCE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加强对消防设施的维护保养，灭火器定期进行检验，保证灭火器的有效性，经常保持消防器材的清洁卫生。</w:t>
            </w:r>
          </w:p>
          <w:p w14:paraId="76A87CC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加强培训教育及消防教育，对消防器材的使用进行指导教育，提高工人的安全意识及消防知识，保障人员安全。</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7B7941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rPr>
              <w:t>生产区域各车间、建（构）筑物</w:t>
            </w:r>
            <w:r>
              <w:rPr>
                <w:rFonts w:hint="eastAsia" w:ascii="宋体" w:hAnsi="宋体" w:eastAsia="宋体" w:cs="宋体"/>
                <w:b w:val="0"/>
                <w:bCs w:val="0"/>
                <w:sz w:val="21"/>
                <w:szCs w:val="21"/>
                <w:lang w:val="en-US" w:eastAsia="zh-CN"/>
              </w:rPr>
              <w:t>按</w:t>
            </w:r>
            <w:r>
              <w:rPr>
                <w:rFonts w:hint="eastAsia" w:ascii="宋体" w:hAnsi="宋体" w:eastAsia="宋体" w:cs="宋体"/>
                <w:b w:val="0"/>
                <w:bCs w:val="0"/>
                <w:sz w:val="21"/>
                <w:szCs w:val="21"/>
              </w:rPr>
              <w:t>要求配置灭火器</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lang w:val="en-US" w:eastAsia="zh-CN"/>
              </w:rPr>
              <w:t>指派专人定期进行维护保养，对员工进行了教育和培训。</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52C9762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43FD6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16EF5C2">
            <w:pPr>
              <w:keepNext w:val="0"/>
              <w:keepLines w:val="0"/>
              <w:pageBreakBefore w:val="0"/>
              <w:widowControl w:val="0"/>
              <w:numPr>
                <w:ilvl w:val="0"/>
                <w:numId w:val="155"/>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2F9F38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电气安全措施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45B6FC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400DB2D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73FED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5A0BF91">
            <w:pPr>
              <w:keepNext w:val="0"/>
              <w:keepLines w:val="0"/>
              <w:pageBreakBefore w:val="0"/>
              <w:widowControl w:val="0"/>
              <w:numPr>
                <w:ilvl w:val="0"/>
                <w:numId w:val="15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84935C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电气安全措施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F9DA3E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5AD107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33C19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FDE6F03">
            <w:pPr>
              <w:keepNext w:val="0"/>
              <w:keepLines w:val="0"/>
              <w:pageBreakBefore w:val="0"/>
              <w:widowControl w:val="0"/>
              <w:numPr>
                <w:ilvl w:val="0"/>
                <w:numId w:val="15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1375EF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动力电力电缆选用YJV22-1kV，YJV-1kV型，控制电缆选用kVV-500V型。动力及控制电缆均沿防火电缆桥架敷设，然后穿管沿墙、柱或钢平台敷设至各用电设备，照明线路穿管沿墙或屋顶明敷。</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3491C5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default" w:ascii="宋体" w:hAnsi="宋体" w:eastAsia="宋体" w:cs="宋体"/>
                <w:b w:val="0"/>
                <w:bCs w:val="0"/>
                <w:sz w:val="21"/>
                <w:szCs w:val="21"/>
                <w:lang w:val="en-US"/>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5478104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4357B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A924F20">
            <w:pPr>
              <w:keepNext w:val="0"/>
              <w:keepLines w:val="0"/>
              <w:pageBreakBefore w:val="0"/>
              <w:widowControl w:val="0"/>
              <w:numPr>
                <w:ilvl w:val="0"/>
                <w:numId w:val="15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3894D5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生产用电采用TN-S接地系统，PE线与N线自</w:t>
            </w:r>
            <w:r>
              <w:rPr>
                <w:rFonts w:hint="eastAsia" w:cs="宋体"/>
                <w:b w:val="0"/>
                <w:bCs w:val="0"/>
                <w:sz w:val="21"/>
                <w:szCs w:val="21"/>
                <w:lang w:eastAsia="zh-CN"/>
              </w:rPr>
              <w:t>低压配电室</w:t>
            </w:r>
            <w:r>
              <w:rPr>
                <w:rFonts w:hint="eastAsia" w:ascii="宋体" w:hAnsi="宋体" w:eastAsia="宋体" w:cs="宋体"/>
                <w:b w:val="0"/>
                <w:bCs w:val="0"/>
                <w:sz w:val="21"/>
                <w:szCs w:val="21"/>
              </w:rPr>
              <w:t>分开。所有电气设备的金属外壳、用电设备金属外壳、电缆桥架、金属保护管以及防静电接地干线均与PE线连接。所有插座的前端均设漏电断路器作保护元件。</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594AD8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53C6AD5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7CC13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A66EFDD">
            <w:pPr>
              <w:keepNext w:val="0"/>
              <w:keepLines w:val="0"/>
              <w:pageBreakBefore w:val="0"/>
              <w:widowControl w:val="0"/>
              <w:numPr>
                <w:ilvl w:val="0"/>
                <w:numId w:val="15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237B0E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厂房内设等电位联结箱，对进入建筑物的所有金属管道、内部金属构件、防静电接地干线、防雷接地干线、电气PE线等做等电位</w:t>
            </w:r>
            <w:r>
              <w:rPr>
                <w:rFonts w:hint="eastAsia" w:cs="宋体"/>
                <w:b w:val="0"/>
                <w:bCs w:val="0"/>
                <w:sz w:val="21"/>
                <w:szCs w:val="21"/>
                <w:lang w:eastAsia="zh-CN"/>
              </w:rPr>
              <w:t>连接</w:t>
            </w:r>
            <w:r>
              <w:rPr>
                <w:rFonts w:hint="eastAsia" w:ascii="宋体" w:hAnsi="宋体" w:eastAsia="宋体" w:cs="宋体"/>
                <w:b w:val="0"/>
                <w:bCs w:val="0"/>
                <w:sz w:val="21"/>
                <w:szCs w:val="21"/>
              </w:rPr>
              <w:t>。</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9BDF99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3C2EC4C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30C76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4754BC0">
            <w:pPr>
              <w:keepNext w:val="0"/>
              <w:keepLines w:val="0"/>
              <w:pageBreakBefore w:val="0"/>
              <w:widowControl w:val="0"/>
              <w:numPr>
                <w:ilvl w:val="0"/>
                <w:numId w:val="15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E10C08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在低压进线处加装浪涌保护器，以防雷击过电压和感应过电压。电气系统中，所有线路、电机</w:t>
            </w:r>
            <w:r>
              <w:rPr>
                <w:rFonts w:hint="eastAsia" w:cs="宋体"/>
                <w:b w:val="0"/>
                <w:bCs w:val="0"/>
                <w:sz w:val="21"/>
                <w:szCs w:val="21"/>
                <w:lang w:eastAsia="zh-CN"/>
              </w:rPr>
              <w:t>及其他</w:t>
            </w:r>
            <w:r>
              <w:rPr>
                <w:rFonts w:hint="eastAsia" w:ascii="宋体" w:hAnsi="宋体" w:eastAsia="宋体" w:cs="宋体"/>
                <w:b w:val="0"/>
                <w:bCs w:val="0"/>
                <w:sz w:val="21"/>
                <w:szCs w:val="21"/>
              </w:rPr>
              <w:t>用电器均设过载及短路保护。</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5D3E13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56492E6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198C8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C6DF560">
            <w:pPr>
              <w:keepNext w:val="0"/>
              <w:keepLines w:val="0"/>
              <w:pageBreakBefore w:val="0"/>
              <w:widowControl w:val="0"/>
              <w:numPr>
                <w:ilvl w:val="0"/>
                <w:numId w:val="159"/>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7B7C43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rPr>
              <w:t>变电站、配电柜电气火灾对策措施</w:t>
            </w:r>
            <w:r>
              <w:rPr>
                <w:rFonts w:hint="eastAsia" w:cs="宋体"/>
                <w:b w:val="0"/>
                <w:bCs w:val="0"/>
                <w:sz w:val="21"/>
                <w:szCs w:val="21"/>
                <w:lang w:eastAsia="zh-CN"/>
              </w:rPr>
              <w:t>：</w:t>
            </w:r>
          </w:p>
          <w:p w14:paraId="1D16F11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1）</w:t>
            </w:r>
            <w:r>
              <w:rPr>
                <w:rFonts w:hint="eastAsia" w:ascii="宋体" w:hAnsi="宋体" w:eastAsia="宋体" w:cs="宋体"/>
                <w:b w:val="0"/>
                <w:bCs w:val="0"/>
                <w:sz w:val="21"/>
                <w:szCs w:val="21"/>
              </w:rPr>
              <w:t>变电站35kV、10kV电源进线侧安装带保护的开关设备；</w:t>
            </w:r>
          </w:p>
          <w:p w14:paraId="142B94C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w:t>
            </w:r>
            <w:r>
              <w:rPr>
                <w:rFonts w:hint="eastAsia" w:ascii="宋体" w:hAnsi="宋体" w:eastAsia="宋体" w:cs="宋体"/>
                <w:b w:val="0"/>
                <w:bCs w:val="0"/>
                <w:sz w:val="21"/>
                <w:szCs w:val="21"/>
              </w:rPr>
              <w:t>变电站、配电柜引出线设置断路器或设带熔断器的负荷开关；</w:t>
            </w:r>
          </w:p>
          <w:p w14:paraId="66F7BAE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3）</w:t>
            </w:r>
            <w:r>
              <w:rPr>
                <w:rFonts w:hint="eastAsia" w:ascii="宋体" w:hAnsi="宋体" w:eastAsia="宋体" w:cs="宋体"/>
                <w:b w:val="0"/>
                <w:bCs w:val="0"/>
                <w:sz w:val="21"/>
                <w:szCs w:val="21"/>
              </w:rPr>
              <w:t>变电站、配电柜内单列布置低压配电装置时，当低压配电屏顶面有裸露带电导体时，两者之间的净距不得小于2m；</w:t>
            </w:r>
          </w:p>
          <w:p w14:paraId="48CA58F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4）</w:t>
            </w:r>
            <w:r>
              <w:rPr>
                <w:rFonts w:hint="eastAsia" w:ascii="宋体" w:hAnsi="宋体" w:eastAsia="宋体" w:cs="宋体"/>
                <w:b w:val="0"/>
                <w:bCs w:val="0"/>
                <w:sz w:val="21"/>
                <w:szCs w:val="21"/>
              </w:rPr>
              <w:t>室内的配电柜外廓与后壁、侧壁的净距不得低于0.6m，外廓与门净距不得低于0.8m；</w:t>
            </w:r>
          </w:p>
          <w:p w14:paraId="15C3807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5）</w:t>
            </w:r>
            <w:r>
              <w:rPr>
                <w:rFonts w:hint="eastAsia" w:ascii="宋体" w:hAnsi="宋体" w:eastAsia="宋体" w:cs="宋体"/>
                <w:b w:val="0"/>
                <w:bCs w:val="0"/>
                <w:sz w:val="21"/>
                <w:szCs w:val="21"/>
              </w:rPr>
              <w:t>变电站、配电柜须置防止雨、雪和蛇、鼠类小动物从采光窗、通风窗、门、电缆沟等进入室内的设施；</w:t>
            </w:r>
          </w:p>
          <w:p w14:paraId="0823A6A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6）</w:t>
            </w:r>
            <w:r>
              <w:rPr>
                <w:rFonts w:hint="eastAsia" w:ascii="宋体" w:hAnsi="宋体" w:eastAsia="宋体" w:cs="宋体"/>
                <w:b w:val="0"/>
                <w:bCs w:val="0"/>
                <w:sz w:val="21"/>
                <w:szCs w:val="21"/>
              </w:rPr>
              <w:t>变电站、配电柜的电缆夹层、电缆沟和电缆室，采取防水、排水措施；</w:t>
            </w:r>
          </w:p>
          <w:p w14:paraId="5ABC22B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7）</w:t>
            </w:r>
            <w:r>
              <w:rPr>
                <w:rFonts w:hint="eastAsia" w:ascii="宋体" w:hAnsi="宋体" w:eastAsia="宋体" w:cs="宋体"/>
                <w:b w:val="0"/>
                <w:bCs w:val="0"/>
                <w:sz w:val="21"/>
                <w:szCs w:val="21"/>
              </w:rPr>
              <w:t>配电电气设备须符合国家现行的有关产品标准；线缆的选择符合《低压配电设计规范》（GB 50054-2011）的要求，带电部分须全部用绝缘层覆盖；</w:t>
            </w:r>
          </w:p>
          <w:p w14:paraId="7E8C911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8）</w:t>
            </w:r>
            <w:r>
              <w:rPr>
                <w:rFonts w:hint="eastAsia" w:ascii="宋体" w:hAnsi="宋体" w:eastAsia="宋体" w:cs="宋体"/>
                <w:b w:val="0"/>
                <w:bCs w:val="0"/>
                <w:sz w:val="21"/>
                <w:szCs w:val="21"/>
              </w:rPr>
              <w:t>生产车间配电装置及电气设备外露可导电部分须设计可靠接地装置；</w:t>
            </w:r>
          </w:p>
          <w:p w14:paraId="71A7B5B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9）</w:t>
            </w:r>
            <w:r>
              <w:rPr>
                <w:rFonts w:hint="eastAsia" w:ascii="宋体" w:hAnsi="宋体" w:eastAsia="宋体" w:cs="宋体"/>
                <w:b w:val="0"/>
                <w:bCs w:val="0"/>
                <w:sz w:val="21"/>
                <w:szCs w:val="21"/>
              </w:rPr>
              <w:t>保持配电柜的通风良好，确保电气设备的温度不超过额定值；</w:t>
            </w:r>
          </w:p>
          <w:p w14:paraId="49F2FF8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10）</w:t>
            </w:r>
            <w:r>
              <w:rPr>
                <w:rFonts w:hint="eastAsia" w:ascii="宋体" w:hAnsi="宋体" w:eastAsia="宋体" w:cs="宋体"/>
                <w:b w:val="0"/>
                <w:bCs w:val="0"/>
                <w:sz w:val="21"/>
                <w:szCs w:val="21"/>
              </w:rPr>
              <w:t>电气设备保护装置必须完好和符合规定，电气设备要定期除尘；</w:t>
            </w:r>
          </w:p>
          <w:p w14:paraId="0A41B3F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11）</w:t>
            </w:r>
            <w:r>
              <w:rPr>
                <w:rFonts w:hint="eastAsia" w:ascii="宋体" w:hAnsi="宋体" w:eastAsia="宋体" w:cs="宋体"/>
                <w:b w:val="0"/>
                <w:bCs w:val="0"/>
                <w:sz w:val="21"/>
                <w:szCs w:val="21"/>
              </w:rPr>
              <w:t>变电站、配电柜内电气设备有良好的接地或接零；</w:t>
            </w:r>
          </w:p>
          <w:p w14:paraId="2BD3310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bookmarkStart w:id="1211" w:name="_Hlk170253572"/>
            <w:r>
              <w:rPr>
                <w:rFonts w:hint="eastAsia" w:ascii="宋体" w:hAnsi="宋体" w:eastAsia="宋体" w:cs="宋体"/>
                <w:b w:val="0"/>
                <w:bCs w:val="0"/>
                <w:sz w:val="21"/>
                <w:szCs w:val="21"/>
                <w:lang w:val="en-US" w:eastAsia="zh-CN"/>
              </w:rPr>
              <w:t>12）</w:t>
            </w:r>
            <w:r>
              <w:rPr>
                <w:rFonts w:hint="eastAsia" w:ascii="宋体" w:hAnsi="宋体" w:eastAsia="宋体" w:cs="宋体"/>
                <w:b w:val="0"/>
                <w:bCs w:val="0"/>
                <w:sz w:val="21"/>
                <w:szCs w:val="21"/>
              </w:rPr>
              <w:t>变电站、</w:t>
            </w:r>
            <w:bookmarkEnd w:id="1211"/>
            <w:r>
              <w:rPr>
                <w:rFonts w:hint="eastAsia" w:ascii="宋体" w:hAnsi="宋体" w:eastAsia="宋体" w:cs="宋体"/>
                <w:b w:val="0"/>
                <w:bCs w:val="0"/>
                <w:sz w:val="21"/>
                <w:szCs w:val="21"/>
              </w:rPr>
              <w:t>配电柜设置外开式门，放置绝缘胶垫，墙上布置安全警示牌。</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72BD89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13E22F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5D7AA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55B1784">
            <w:pPr>
              <w:keepNext w:val="0"/>
              <w:keepLines w:val="0"/>
              <w:pageBreakBefore w:val="0"/>
              <w:widowControl w:val="0"/>
              <w:numPr>
                <w:ilvl w:val="0"/>
                <w:numId w:val="158"/>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DAFC21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电气设备的接地、防漏电、防过流、防过压保护安全措施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F1831E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2B61D9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03489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65EEC14">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F97DBB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该项目生产车间设置有防雷接地系统，建筑接地干线采用镀锌扁钢，埋深0.8m。接地极采用镀锌角钢，垂直打入地下，埋深0.8m，与接地干线焊接并做防腐处理。</w:t>
            </w:r>
          </w:p>
          <w:p w14:paraId="3371B9F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防漏电、防过流、防过压保护</w:t>
            </w:r>
          </w:p>
          <w:p w14:paraId="4813921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1）</w:t>
            </w:r>
            <w:r>
              <w:rPr>
                <w:rFonts w:hint="eastAsia" w:ascii="宋体" w:hAnsi="宋体" w:eastAsia="宋体" w:cs="宋体"/>
                <w:b w:val="0"/>
                <w:bCs w:val="0"/>
                <w:sz w:val="21"/>
                <w:szCs w:val="21"/>
              </w:rPr>
              <w:t>在电源中性点直接接地的TN-S保护系统中，安装漏电保护器实现漏电保护器的分级保护；</w:t>
            </w:r>
          </w:p>
          <w:p w14:paraId="31D8954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w:t>
            </w:r>
            <w:r>
              <w:rPr>
                <w:rFonts w:hint="eastAsia" w:ascii="宋体" w:hAnsi="宋体" w:eastAsia="宋体" w:cs="宋体"/>
                <w:b w:val="0"/>
                <w:bCs w:val="0"/>
                <w:sz w:val="21"/>
                <w:szCs w:val="21"/>
              </w:rPr>
              <w:t>配电柜设置熔断器、过电流继电器装置；</w:t>
            </w:r>
          </w:p>
          <w:p w14:paraId="5CE3E0F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3）</w:t>
            </w:r>
            <w:r>
              <w:rPr>
                <w:rFonts w:hint="eastAsia" w:ascii="宋体" w:hAnsi="宋体" w:eastAsia="宋体" w:cs="宋体"/>
                <w:b w:val="0"/>
                <w:bCs w:val="0"/>
                <w:sz w:val="21"/>
                <w:szCs w:val="21"/>
              </w:rPr>
              <w:t>经常检查电线、电缆接点是否有氧化层；</w:t>
            </w:r>
          </w:p>
          <w:p w14:paraId="2101093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4）</w:t>
            </w:r>
            <w:r>
              <w:rPr>
                <w:rFonts w:hint="eastAsia" w:ascii="宋体" w:hAnsi="宋体" w:eastAsia="宋体" w:cs="宋体"/>
                <w:b w:val="0"/>
                <w:bCs w:val="0"/>
                <w:sz w:val="21"/>
                <w:szCs w:val="21"/>
              </w:rPr>
              <w:t>路灯、生产车间的照明灯具选用LED节能灯，生活、办公选用日光灯。</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E73EC7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9D1099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62011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8621779">
            <w:pPr>
              <w:keepNext w:val="0"/>
              <w:keepLines w:val="0"/>
              <w:pageBreakBefore w:val="0"/>
              <w:widowControl w:val="0"/>
              <w:numPr>
                <w:ilvl w:val="0"/>
                <w:numId w:val="155"/>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63FDE0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防雷接地安全措施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6CA829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4CE92EA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34C7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45DBD89">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A44888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（1）</w:t>
            </w:r>
            <w:r>
              <w:rPr>
                <w:rFonts w:hint="eastAsia" w:ascii="宋体" w:hAnsi="宋体" w:eastAsia="宋体" w:cs="宋体"/>
                <w:b w:val="0"/>
                <w:bCs w:val="0"/>
                <w:sz w:val="21"/>
                <w:szCs w:val="21"/>
              </w:rPr>
              <w:t>防雷类别</w:t>
            </w:r>
          </w:p>
          <w:p w14:paraId="4236152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该项目生产车间，按第三类防雷建筑物进行防雷接地设计。</w:t>
            </w:r>
          </w:p>
          <w:p w14:paraId="2FD76EC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w:t>
            </w:r>
            <w:r>
              <w:rPr>
                <w:rFonts w:hint="eastAsia" w:ascii="宋体" w:hAnsi="宋体" w:eastAsia="宋体" w:cs="宋体"/>
                <w:b w:val="0"/>
                <w:bCs w:val="0"/>
                <w:sz w:val="21"/>
                <w:szCs w:val="21"/>
              </w:rPr>
              <w:t>防直击雷</w:t>
            </w:r>
          </w:p>
          <w:p w14:paraId="76C0FBA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 xml:space="preserve"> 利用建筑物结构钢筋</w:t>
            </w:r>
            <w:r>
              <w:rPr>
                <w:rFonts w:hint="eastAsia" w:cs="宋体"/>
                <w:b w:val="0"/>
                <w:bCs w:val="0"/>
                <w:sz w:val="21"/>
                <w:szCs w:val="21"/>
                <w:lang w:eastAsia="zh-CN"/>
              </w:rPr>
              <w:t>做</w:t>
            </w:r>
            <w:r>
              <w:rPr>
                <w:rFonts w:hint="eastAsia" w:ascii="宋体" w:hAnsi="宋体" w:eastAsia="宋体" w:cs="宋体"/>
                <w:b w:val="0"/>
                <w:bCs w:val="0"/>
                <w:sz w:val="21"/>
                <w:szCs w:val="21"/>
              </w:rPr>
              <w:t>防雷接地装置，利用柱子主钢筋</w:t>
            </w:r>
            <w:r>
              <w:rPr>
                <w:rFonts w:hint="eastAsia" w:cs="宋体"/>
                <w:b w:val="0"/>
                <w:bCs w:val="0"/>
                <w:sz w:val="21"/>
                <w:szCs w:val="21"/>
                <w:lang w:eastAsia="zh-CN"/>
              </w:rPr>
              <w:t>做</w:t>
            </w:r>
            <w:r>
              <w:rPr>
                <w:rFonts w:hint="eastAsia" w:ascii="宋体" w:hAnsi="宋体" w:eastAsia="宋体" w:cs="宋体"/>
                <w:b w:val="0"/>
                <w:bCs w:val="0"/>
                <w:sz w:val="21"/>
                <w:szCs w:val="21"/>
              </w:rPr>
              <w:t>防雷引下线，屋面及女儿墙顶采用镀锌圆钢作避雷带，基础主钢筋作接地装置，柱子主钢筋与基础主钢筋焊接成电气通路。</w:t>
            </w:r>
          </w:p>
          <w:p w14:paraId="6482A36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在三类防雷建筑物屋面采用热镀锌圆钢（Ф12）设置不大于20m×20m的避雷网，避雷网与作引下线的钢筋焊接连通。</w:t>
            </w:r>
          </w:p>
          <w:p w14:paraId="02C2DA8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（3）</w:t>
            </w:r>
            <w:r>
              <w:rPr>
                <w:rFonts w:hint="eastAsia" w:ascii="宋体" w:hAnsi="宋体" w:eastAsia="宋体" w:cs="宋体"/>
                <w:b w:val="0"/>
                <w:bCs w:val="0"/>
                <w:sz w:val="21"/>
                <w:szCs w:val="21"/>
              </w:rPr>
              <w:t>防雷电波入侵</w:t>
            </w:r>
          </w:p>
          <w:p w14:paraId="0845D3B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进、出建筑物的电源线在入户处将电缆金属外皮、金属线槽、金属管线等接地，并与防雷接地装置相连接，在配电柜进行总等电位</w:t>
            </w:r>
            <w:r>
              <w:rPr>
                <w:rFonts w:hint="eastAsia" w:cs="宋体"/>
                <w:b w:val="0"/>
                <w:bCs w:val="0"/>
                <w:sz w:val="21"/>
                <w:szCs w:val="21"/>
                <w:lang w:eastAsia="zh-CN"/>
              </w:rPr>
              <w:t>连接</w:t>
            </w:r>
            <w:r>
              <w:rPr>
                <w:rFonts w:hint="eastAsia" w:ascii="宋体" w:hAnsi="宋体" w:eastAsia="宋体" w:cs="宋体"/>
                <w:b w:val="0"/>
                <w:bCs w:val="0"/>
                <w:sz w:val="21"/>
                <w:szCs w:val="21"/>
              </w:rPr>
              <w:t>。进、出入建筑物的其他所有金属管道在入户处与等电位装置相连接。</w:t>
            </w:r>
          </w:p>
          <w:p w14:paraId="79D8048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配电柜高压母线上装设避雷器，低压母线上装设第一级浪涌保护器。各层分配电柜（箱）母线上装设第二级浪涌保护器。</w:t>
            </w:r>
          </w:p>
          <w:p w14:paraId="6F33635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进、出三类防雷建筑物的架空管道在距入户处约25m处接地一次。冲击接地电阻不大于10Ω。</w:t>
            </w:r>
          </w:p>
          <w:p w14:paraId="2177C2B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lang w:val="en-US" w:eastAsia="zh-CN"/>
              </w:rPr>
              <w:t>4</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t>防雷电波感应</w:t>
            </w:r>
          </w:p>
          <w:p w14:paraId="0A76084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在三类防雷建筑物内的主要金属设备、管道、构架等与就近的电气设备的保护接地装置连接。</w:t>
            </w:r>
          </w:p>
          <w:p w14:paraId="6D275F4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三类防雷建筑物内的平行敷设的管道、构架和电缆金属外皮等长金属物，其净距小于100mm时应采用金属线跨接，跨接点的间距不应大于30m；交叉净距小于100mm时，其交叉处亦应跨接，但长金属物连接处可不跨接。</w:t>
            </w:r>
          </w:p>
          <w:p w14:paraId="1A802E4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（5）</w:t>
            </w:r>
            <w:r>
              <w:rPr>
                <w:rFonts w:hint="eastAsia" w:ascii="宋体" w:hAnsi="宋体" w:eastAsia="宋体" w:cs="宋体"/>
                <w:b w:val="0"/>
                <w:bCs w:val="0"/>
                <w:sz w:val="21"/>
                <w:szCs w:val="21"/>
              </w:rPr>
              <w:t>接地</w:t>
            </w:r>
          </w:p>
          <w:p w14:paraId="427CCFE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该项目采用TN-S配电接地保护系统。在单体配电柜进行总等电位联结。</w:t>
            </w:r>
          </w:p>
          <w:p w14:paraId="4941D1C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防直击雷、防雷电波入侵、电气设备保护接地、弱电系统的接地等共用接地装置。</w:t>
            </w:r>
          </w:p>
          <w:p w14:paraId="7D1888F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（6）</w:t>
            </w:r>
            <w:r>
              <w:rPr>
                <w:rFonts w:hint="eastAsia" w:ascii="宋体" w:hAnsi="宋体" w:eastAsia="宋体" w:cs="宋体"/>
                <w:b w:val="0"/>
                <w:bCs w:val="0"/>
                <w:sz w:val="21"/>
                <w:szCs w:val="21"/>
              </w:rPr>
              <w:t>接地电阻</w:t>
            </w:r>
          </w:p>
          <w:p w14:paraId="7C56B04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防直击雷、防雷电波入侵、电气设备保护接地、弱电系统接地等共用接地装置，接地电阻小于1Ω。</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5AA1E4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1C39FB4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0B56D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4F9848E">
            <w:pPr>
              <w:keepNext w:val="0"/>
              <w:keepLines w:val="0"/>
              <w:pageBreakBefore w:val="0"/>
              <w:widowControl w:val="0"/>
              <w:numPr>
                <w:ilvl w:val="0"/>
                <w:numId w:val="155"/>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BEC903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给排水安全措施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5B03B8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8DB1FC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2A727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37ABD6C">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BA9A88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该项目给水水源为项目水源地有两处：沙龙水库储量3万t，距工厂7</w:t>
            </w:r>
            <w:r>
              <w:rPr>
                <w:rFonts w:hint="eastAsia" w:cs="宋体"/>
                <w:b w:val="0"/>
                <w:bCs w:val="0"/>
                <w:sz w:val="21"/>
                <w:szCs w:val="21"/>
                <w:lang w:eastAsia="zh-CN"/>
              </w:rPr>
              <w:t>—</w:t>
            </w:r>
            <w:r>
              <w:rPr>
                <w:rFonts w:hint="eastAsia" w:ascii="宋体" w:hAnsi="宋体" w:eastAsia="宋体" w:cs="宋体"/>
                <w:b w:val="0"/>
                <w:bCs w:val="0"/>
                <w:sz w:val="21"/>
                <w:szCs w:val="21"/>
              </w:rPr>
              <w:t>8km；张大庆水库为工厂自备水库，储量8000t；生产废水循环使用，不外排。公司新建给水管</w:t>
            </w:r>
            <w:r>
              <w:rPr>
                <w:rFonts w:hint="eastAsia" w:cs="宋体"/>
                <w:b w:val="0"/>
                <w:bCs w:val="0"/>
                <w:sz w:val="21"/>
                <w:szCs w:val="21"/>
                <w:lang w:eastAsia="zh-CN"/>
              </w:rPr>
              <w:t>网</w:t>
            </w:r>
            <w:r>
              <w:rPr>
                <w:rFonts w:hint="eastAsia" w:ascii="宋体" w:hAnsi="宋体" w:eastAsia="宋体" w:cs="宋体"/>
                <w:b w:val="0"/>
                <w:bCs w:val="0"/>
                <w:sz w:val="21"/>
                <w:szCs w:val="21"/>
              </w:rPr>
              <w:t>，管径为DN200，给水压力不大于0.3MPa，项目二期建设1000m</w:t>
            </w:r>
            <w:r>
              <w:rPr>
                <w:rFonts w:hint="eastAsia" w:ascii="宋体" w:hAnsi="宋体" w:eastAsia="宋体" w:cs="宋体"/>
                <w:b w:val="0"/>
                <w:bCs w:val="0"/>
                <w:sz w:val="21"/>
                <w:szCs w:val="21"/>
                <w:vertAlign w:val="superscript"/>
              </w:rPr>
              <w:t>3</w:t>
            </w:r>
            <w:r>
              <w:rPr>
                <w:rFonts w:hint="eastAsia" w:ascii="宋体" w:hAnsi="宋体" w:eastAsia="宋体" w:cs="宋体"/>
                <w:b w:val="0"/>
                <w:bCs w:val="0"/>
                <w:sz w:val="21"/>
                <w:szCs w:val="21"/>
              </w:rPr>
              <w:t>高位水箱，供的水量及水压可以直接满足该项目的需要。厂区给水压力不低于0.3MPa，室外生产、生活给水系统采用枝状管网供水。</w:t>
            </w:r>
          </w:p>
          <w:p w14:paraId="46B4490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联合车间地坪高度高于厂区地面0.15m以上，防止车间外水进入车间内。</w:t>
            </w:r>
          </w:p>
          <w:p w14:paraId="0D6315B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炉循环水池、应急水池（含保安水、消防应急池）设置水位监测及显示系统，水位监测与给水泵连锁，及时补充消防水量，满足消防要求。企业定期检查消防给水系统及时检修完善消防给水设施，建立台账，定期进行消防演练。</w:t>
            </w:r>
          </w:p>
          <w:p w14:paraId="2D441A5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该项目主要为生活用水，生活污水进入厂区排水管网，处理后的生活污水暂存于化粪池，统一外排入市政污水处理厂。该项目所在厂区采用雨、污分流制排水方式。</w:t>
            </w:r>
          </w:p>
          <w:p w14:paraId="45CC612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该项目所在园区给排水系统中设置备用水泵，当故障时，启动备用水泵，保证工艺生产正常运行，水泵旋转部位设置防护罩等防护设施；供水设施设置夜间照明。</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3F0F40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0E2C87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196CB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56FEE7C">
            <w:pPr>
              <w:keepNext w:val="0"/>
              <w:keepLines w:val="0"/>
              <w:pageBreakBefore w:val="0"/>
              <w:widowControl w:val="0"/>
              <w:numPr>
                <w:ilvl w:val="0"/>
                <w:numId w:val="155"/>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14656F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供气系统安全措施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7570DC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166282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E23D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839B32F">
            <w:pPr>
              <w:keepNext w:val="0"/>
              <w:keepLines w:val="0"/>
              <w:pageBreakBefore w:val="0"/>
              <w:widowControl w:val="0"/>
              <w:numPr>
                <w:ilvl w:val="0"/>
                <w:numId w:val="160"/>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4B964D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空压机安全措施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9CCA75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612816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95EE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0038CDD">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AE9651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空气压缩机的吸气系统设置空气过滤装置，吸气口，装设在室外，并有防雨措施。</w:t>
            </w:r>
          </w:p>
          <w:p w14:paraId="26D743E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空压机器旁均设置空压机的紧急停车按钮。</w:t>
            </w:r>
          </w:p>
          <w:p w14:paraId="2B5498A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空压机及压缩空气储气罐设置压力表和安全阀，储气罐设置排污阀。</w:t>
            </w:r>
          </w:p>
          <w:p w14:paraId="6771578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压缩空气管道采用碳钢管道，除需要采用法兰连接外，均采用焊接并对焊缝按国家规范要求进行探伤。</w:t>
            </w:r>
          </w:p>
          <w:p w14:paraId="0237782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压缩空气管道在用气建筑物入口处，设置切断阀门。</w:t>
            </w:r>
          </w:p>
          <w:p w14:paraId="2508A2F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设备运转部件正确安装，运转灵活，避免刮、碰、卡、擦等现象。</w:t>
            </w:r>
          </w:p>
          <w:p w14:paraId="5761C0A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⑦</w:t>
            </w:r>
            <w:r>
              <w:rPr>
                <w:rFonts w:hint="eastAsia" w:ascii="宋体" w:hAnsi="宋体" w:eastAsia="宋体" w:cs="宋体"/>
                <w:b w:val="0"/>
                <w:bCs w:val="0"/>
                <w:sz w:val="21"/>
                <w:szCs w:val="21"/>
              </w:rPr>
              <w:t>空气压缩机的转动部分均安装安全防护装置，具体做法参照《</w:t>
            </w:r>
            <w:r>
              <w:rPr>
                <w:rFonts w:hint="eastAsia" w:cs="宋体"/>
                <w:b w:val="0"/>
                <w:bCs w:val="0"/>
                <w:sz w:val="21"/>
                <w:szCs w:val="21"/>
                <w:lang w:eastAsia="zh-CN"/>
              </w:rPr>
              <w:t>机械安全 防护装置 固定式和活动式防护装置的设计与制造一般要求</w:t>
            </w:r>
            <w:r>
              <w:rPr>
                <w:rFonts w:hint="eastAsia" w:ascii="宋体" w:hAnsi="宋体" w:eastAsia="宋体" w:cs="宋体"/>
                <w:b w:val="0"/>
                <w:bCs w:val="0"/>
                <w:sz w:val="21"/>
                <w:szCs w:val="21"/>
              </w:rPr>
              <w:t>》（GB/T8196-2018）。</w:t>
            </w:r>
          </w:p>
          <w:p w14:paraId="51F62DA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⑧</w:t>
            </w:r>
            <w:r>
              <w:rPr>
                <w:rFonts w:hint="eastAsia" w:ascii="宋体" w:hAnsi="宋体" w:eastAsia="宋体" w:cs="宋体"/>
                <w:b w:val="0"/>
                <w:bCs w:val="0"/>
                <w:sz w:val="21"/>
                <w:szCs w:val="21"/>
              </w:rPr>
              <w:t>空气压缩机与车间的墙、柱的设计间距≥0.8m，设备设计操作空间≥1.1m。</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16FC7A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726CEE9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7B3ED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33561C6">
            <w:pPr>
              <w:keepNext w:val="0"/>
              <w:keepLines w:val="0"/>
              <w:pageBreakBefore w:val="0"/>
              <w:widowControl w:val="0"/>
              <w:numPr>
                <w:ilvl w:val="0"/>
                <w:numId w:val="160"/>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5AE922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气动设备压缩空气管道安全措施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ACCF18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4156E48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4A8E3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7EBFBCC">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2EE4B4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压缩空气管线中所设安全阀、压力表、疏水阀必须齐全完好，并定期检查记录。</w:t>
            </w:r>
          </w:p>
          <w:p w14:paraId="5ACA90A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停、送压缩空气时，要疏水，防止水冲击。发现水冲击时，应立即停止操作，查明原因处理后方可重新操作。</w:t>
            </w:r>
          </w:p>
          <w:p w14:paraId="281C107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操作人员严禁将身体各部位正对阀门手轮，且用力不可过猛。</w:t>
            </w:r>
          </w:p>
          <w:p w14:paraId="57AF744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待各疏水阀见压缩空气后，方可关闭疏水阀并逐步升压。</w:t>
            </w:r>
          </w:p>
          <w:p w14:paraId="010B93B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严禁使用压缩空气吹扫衣物或身体。</w:t>
            </w:r>
          </w:p>
          <w:p w14:paraId="342FA75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压缩空气管道检修（包括更换阀门、处理</w:t>
            </w:r>
            <w:r>
              <w:rPr>
                <w:rFonts w:hint="eastAsia" w:cs="宋体"/>
                <w:b w:val="0"/>
                <w:bCs w:val="0"/>
                <w:sz w:val="21"/>
                <w:szCs w:val="21"/>
                <w:lang w:eastAsia="zh-CN"/>
              </w:rPr>
              <w:t>泄漏</w:t>
            </w:r>
            <w:r>
              <w:rPr>
                <w:rFonts w:hint="eastAsia" w:ascii="宋体" w:hAnsi="宋体" w:eastAsia="宋体" w:cs="宋体"/>
                <w:b w:val="0"/>
                <w:bCs w:val="0"/>
                <w:sz w:val="21"/>
                <w:szCs w:val="21"/>
              </w:rPr>
              <w:t>）等，必须将检修管段减压放空。</w:t>
            </w:r>
          </w:p>
          <w:p w14:paraId="233424E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⑦</w:t>
            </w:r>
            <w:r>
              <w:rPr>
                <w:rFonts w:hint="eastAsia" w:ascii="宋体" w:hAnsi="宋体" w:eastAsia="宋体" w:cs="宋体"/>
                <w:b w:val="0"/>
                <w:bCs w:val="0"/>
                <w:sz w:val="21"/>
                <w:szCs w:val="21"/>
              </w:rPr>
              <w:t>压缩空气管网、阀门等设施设置平台、走梯、护栏等安全防护措施。</w:t>
            </w:r>
          </w:p>
          <w:p w14:paraId="227884E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⑧</w:t>
            </w:r>
            <w:r>
              <w:rPr>
                <w:rFonts w:hint="eastAsia" w:ascii="宋体" w:hAnsi="宋体" w:eastAsia="宋体" w:cs="宋体"/>
                <w:b w:val="0"/>
                <w:bCs w:val="0"/>
                <w:sz w:val="21"/>
                <w:szCs w:val="21"/>
              </w:rPr>
              <w:t>压缩空气管道及附属设施设置明确标识，并标注气体走向标识。</w:t>
            </w:r>
          </w:p>
          <w:p w14:paraId="7572F84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⑨</w:t>
            </w:r>
            <w:r>
              <w:rPr>
                <w:rFonts w:hint="eastAsia" w:ascii="宋体" w:hAnsi="宋体" w:eastAsia="宋体" w:cs="宋体"/>
                <w:b w:val="0"/>
                <w:bCs w:val="0"/>
                <w:sz w:val="21"/>
                <w:szCs w:val="21"/>
              </w:rPr>
              <w:t>压缩空气管道检修或停、送气必须经批准后方可进行。</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E4F37C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1BC2F6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13B37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2C10E9F">
            <w:pPr>
              <w:keepNext w:val="0"/>
              <w:keepLines w:val="0"/>
              <w:pageBreakBefore w:val="0"/>
              <w:widowControl w:val="0"/>
              <w:numPr>
                <w:ilvl w:val="0"/>
                <w:numId w:val="155"/>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9CE427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自动控制及通信设施安全措施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1E6EF4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2CE21D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4DE58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93CEAFA">
            <w:pPr>
              <w:keepNext w:val="0"/>
              <w:keepLines w:val="0"/>
              <w:pageBreakBefore w:val="0"/>
              <w:widowControl w:val="0"/>
              <w:numPr>
                <w:ilvl w:val="0"/>
                <w:numId w:val="161"/>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09A2C1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电炉操作控制室的设置</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C36628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2B3A286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3532B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E9B07D4">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FBC7BD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电炉车间设置电炉控制室，每台电炉设置1座车间控制室，二期设置集中控制室，以便进行配料、电极压放、电流调节等操作。控制室出口不能正对电炉加炉口，出口指示及应急照明的设置。</w:t>
            </w:r>
          </w:p>
          <w:p w14:paraId="669A8A0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电炉控制室设置出入口直通操作平台，门宽为1.5m，选用乙级防火门，向外开启，地面采用不易起灰尘的防静电、防滑底板。</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D49C45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电炉操作控制室已按安全设施设计要求设置。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7511B01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104B8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BC46238">
            <w:pPr>
              <w:keepNext w:val="0"/>
              <w:keepLines w:val="0"/>
              <w:pageBreakBefore w:val="0"/>
              <w:widowControl w:val="0"/>
              <w:numPr>
                <w:ilvl w:val="0"/>
                <w:numId w:val="161"/>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1B9979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自动控制系统的设置和安全功能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DB0CFE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66C54B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187D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5911237">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FDE83A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液压系统的控制</w:t>
            </w:r>
          </w:p>
          <w:p w14:paraId="566DD5C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该项目液压控制系统为蓄能式液压系统，为矿热炉电极的升降及其压放提供充足的动力，液压系统装设一个</w:t>
            </w:r>
            <w:r>
              <w:rPr>
                <w:rFonts w:hint="eastAsia" w:cs="宋体"/>
                <w:b w:val="0"/>
                <w:bCs w:val="0"/>
                <w:sz w:val="21"/>
                <w:szCs w:val="21"/>
                <w:lang w:eastAsia="zh-CN"/>
              </w:rPr>
              <w:t>液压油箱</w:t>
            </w:r>
            <w:r>
              <w:rPr>
                <w:rFonts w:hint="eastAsia" w:ascii="宋体" w:hAnsi="宋体" w:eastAsia="宋体" w:cs="宋体"/>
                <w:b w:val="0"/>
                <w:bCs w:val="0"/>
                <w:sz w:val="21"/>
                <w:szCs w:val="21"/>
              </w:rPr>
              <w:t>、液压油压力测点和温度测点油泵的控制为机旁和矿热炉控制室两地手动控制。</w:t>
            </w:r>
          </w:p>
          <w:p w14:paraId="4EAEA53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电极升降控制</w:t>
            </w:r>
          </w:p>
          <w:p w14:paraId="1D04B66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电极升降控制为手动控制和PLC自动控制。手动控制开关设两点，一在平台的液压站附近的电磁阀箱旁，一点设在矿热炉电炉控制室。</w:t>
            </w:r>
          </w:p>
          <w:p w14:paraId="58D6403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极上升：当电极电流较大时，电磁阀YH1通电，上到一定高度（电极电流或者电阻达到理想的数值）时电磁阀断电，采用自动和手动控制方式。电极上升时有位置行程测量，当电极位置高于设定值时切断油阀锁定上升，以此来保护电极在误操作时不会损害设备。</w:t>
            </w:r>
          </w:p>
          <w:p w14:paraId="2E6A840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极下降：当电极电流较小时，电磁阀YH2通电，下降一定高度（电极电流或者电阻达到理想的数值）时电磁阀断电，采用自动和手动控制方式。电极下降时有位置行程测量，当电极位置低于设定值时也切断油阀锁定下降，以此来保护电极在误操作时不会损害设备。</w:t>
            </w:r>
          </w:p>
          <w:p w14:paraId="4757D8A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电极压放</w:t>
            </w:r>
          </w:p>
          <w:p w14:paraId="7F43A17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极压放控制分为手动控制和PLC自动控制两种控制方式。手动控制开关设两点，一点在平台的液压站附近的电磁阀箱旁，一点设在电炉控制室集中操作。（电极的压放的频率根据电极的消耗量，由工艺人员确定调节周期）。</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8BBE66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cs="宋体"/>
                <w:b w:val="0"/>
                <w:bCs w:val="0"/>
                <w:sz w:val="21"/>
                <w:szCs w:val="21"/>
                <w:lang w:val="en-US" w:eastAsia="zh-CN"/>
              </w:rPr>
            </w:pPr>
            <w:r>
              <w:rPr>
                <w:rFonts w:hint="eastAsia" w:cs="宋体"/>
                <w:b w:val="0"/>
                <w:bCs w:val="0"/>
                <w:sz w:val="21"/>
                <w:szCs w:val="21"/>
                <w:lang w:val="en-US" w:eastAsia="zh-CN"/>
              </w:rPr>
              <w:t>自动控制系统已按安全设施设计要求设置。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3FAFD17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016EF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3A8C57A">
            <w:pPr>
              <w:keepNext w:val="0"/>
              <w:keepLines w:val="0"/>
              <w:pageBreakBefore w:val="0"/>
              <w:widowControl w:val="0"/>
              <w:numPr>
                <w:ilvl w:val="0"/>
                <w:numId w:val="161"/>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F8A2CE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电炉本体系统的控制</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3C3C04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194D86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2EB2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478BA4E">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86BDAD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矿热炉本体数据显示：</w:t>
            </w:r>
          </w:p>
          <w:p w14:paraId="337D8DB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 xml:space="preserve">变压器一次电流的显示：电脑上显示三个一次电流、二次电流； </w:t>
            </w:r>
          </w:p>
          <w:p w14:paraId="542C02C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 xml:space="preserve">变压器一次电压的显示：电脑上显示三个一次电压、二次电压； </w:t>
            </w:r>
          </w:p>
          <w:p w14:paraId="1FD8381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 xml:space="preserve">变压器一次侧有功功率；在电脑上显示有功功率； </w:t>
            </w:r>
          </w:p>
          <w:p w14:paraId="259B90F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电炉用电量的电度表：在电脑上显示电炉电度。</w:t>
            </w:r>
          </w:p>
          <w:p w14:paraId="72A4DEA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炉变系统</w:t>
            </w:r>
          </w:p>
          <w:p w14:paraId="39FF3C0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1）</w:t>
            </w:r>
            <w:r>
              <w:rPr>
                <w:rFonts w:hint="eastAsia" w:ascii="宋体" w:hAnsi="宋体" w:eastAsia="宋体" w:cs="宋体"/>
                <w:b w:val="0"/>
                <w:bCs w:val="0"/>
                <w:sz w:val="21"/>
                <w:szCs w:val="21"/>
              </w:rPr>
              <w:t>由控制室控制高压开关闭合、断开、电源等信号源到矿热炉主控室。在操作台上进行远程控制。</w:t>
            </w:r>
          </w:p>
          <w:p w14:paraId="0FAFE1B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各单相变压器冷却用油循环故障报警，数量6个；各单相变压器冷却用水故障报警，数量3个；各单相变压器上层油温高报警，数量3个；单台矿热炉炉壁和炉底设置温度检测装置，数量2个；单台电炉控制室、炉顶布料平台设置有毒气体检测装置，数量2个。</w:t>
            </w:r>
          </w:p>
          <w:p w14:paraId="69721FC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w:t>
            </w:r>
            <w:r>
              <w:rPr>
                <w:rFonts w:hint="eastAsia" w:ascii="宋体" w:hAnsi="宋体" w:eastAsia="宋体" w:cs="宋体"/>
                <w:b w:val="0"/>
                <w:bCs w:val="0"/>
                <w:sz w:val="21"/>
                <w:szCs w:val="21"/>
              </w:rPr>
              <w:t>变压器二次侧：变压器二次侧的电流的测量由电流互感器输出，转换成电极电流在控制台上显示。</w:t>
            </w:r>
          </w:p>
          <w:p w14:paraId="537F959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3）</w:t>
            </w:r>
            <w:r>
              <w:rPr>
                <w:rFonts w:hint="eastAsia" w:ascii="宋体" w:hAnsi="宋体" w:eastAsia="宋体" w:cs="宋体"/>
                <w:b w:val="0"/>
                <w:bCs w:val="0"/>
                <w:sz w:val="21"/>
                <w:szCs w:val="21"/>
              </w:rPr>
              <w:t>变压器二次侧的输出电压的测量在终端显示器上显示。</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FDC159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电炉本体系统的控制已按安全设施设计要求设置。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A91ABF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65AA3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2401C6B">
            <w:pPr>
              <w:keepNext w:val="0"/>
              <w:keepLines w:val="0"/>
              <w:pageBreakBefore w:val="0"/>
              <w:widowControl w:val="0"/>
              <w:numPr>
                <w:ilvl w:val="0"/>
                <w:numId w:val="161"/>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922C20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循环水报警系统</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F140F9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AD1606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3C96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25F9B7F">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446E46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当</w:t>
            </w:r>
            <w:r>
              <w:rPr>
                <w:rFonts w:hint="eastAsia" w:ascii="宋体" w:hAnsi="宋体" w:eastAsia="宋体" w:cs="宋体"/>
                <w:b w:val="0"/>
                <w:bCs w:val="0"/>
                <w:sz w:val="21"/>
                <w:szCs w:val="21"/>
                <w:lang w:val="en-US" w:eastAsia="zh-CN"/>
              </w:rPr>
              <w:t>循环水回水管压力≤0.3MPa时，设有声光报警。</w:t>
            </w:r>
          </w:p>
          <w:p w14:paraId="1EB5070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②电炉软化水进水温度≥50℃，设有声光报警提示。企业</w:t>
            </w:r>
            <w:r>
              <w:rPr>
                <w:rFonts w:hint="eastAsia" w:ascii="宋体" w:hAnsi="宋体" w:eastAsia="宋体" w:cs="宋体"/>
                <w:b w:val="0"/>
                <w:bCs w:val="0"/>
                <w:sz w:val="21"/>
                <w:szCs w:val="21"/>
              </w:rPr>
              <w:t>应</w:t>
            </w:r>
            <w:r>
              <w:rPr>
                <w:rFonts w:hint="eastAsia" w:cs="宋体"/>
                <w:b w:val="0"/>
                <w:bCs w:val="0"/>
                <w:sz w:val="21"/>
                <w:szCs w:val="21"/>
                <w:lang w:eastAsia="zh-CN"/>
              </w:rPr>
              <w:t>定期</w:t>
            </w:r>
            <w:r>
              <w:rPr>
                <w:rFonts w:hint="eastAsia" w:ascii="宋体" w:hAnsi="宋体" w:eastAsia="宋体" w:cs="宋体"/>
                <w:b w:val="0"/>
                <w:bCs w:val="0"/>
                <w:sz w:val="21"/>
                <w:szCs w:val="21"/>
              </w:rPr>
              <w:t>检测，确保出水温度≥65℃时，进水出水口温差≥15℃。</w:t>
            </w:r>
          </w:p>
          <w:p w14:paraId="21DA850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变压器低温冷却水进水温度≥35℃；二次侧母线冷却用水进水温度≥30℃，出水温度≥38℃时，设有声光报警提示。</w:t>
            </w:r>
          </w:p>
          <w:p w14:paraId="028C16A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当循环水泵停止运行时联锁矿热炉停止运行。项目矿热炉电炉循环水池设置30min冷却循环水系统事故供水量，水池设置液位报警，报警仪与补水泵连锁。</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B9FE51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循环水报警系统已按安全设施设计要求设置。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4487841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4EDA0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22D3F1E">
            <w:pPr>
              <w:keepNext w:val="0"/>
              <w:keepLines w:val="0"/>
              <w:pageBreakBefore w:val="0"/>
              <w:widowControl w:val="0"/>
              <w:numPr>
                <w:ilvl w:val="0"/>
                <w:numId w:val="161"/>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1326B0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其他</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D623B4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453F866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2BD47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21BB736">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99CE2F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液压站进、回油压力低于8MPa，高于11.5MPa时设有声光报警。</w:t>
            </w:r>
          </w:p>
          <w:p w14:paraId="72BCE3E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液压站油温低于25℃时、高于55℃时设有声光报警提示。</w:t>
            </w:r>
          </w:p>
          <w:p w14:paraId="537F95D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任意一台矿热炉变压器停止运行则联锁另外两台变压器停止运行。</w:t>
            </w:r>
          </w:p>
          <w:p w14:paraId="60A353A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当电极电流＞100kA时联锁停炉。（根据变压器的过流保护设定）。</w:t>
            </w:r>
          </w:p>
          <w:p w14:paraId="31209CA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电极位置上、下限设有声光报警提示（上下限数值根据工艺进行调整）。</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49B80C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7F5F91E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6630D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B69D44D">
            <w:pPr>
              <w:keepNext w:val="0"/>
              <w:keepLines w:val="0"/>
              <w:pageBreakBefore w:val="0"/>
              <w:widowControl w:val="0"/>
              <w:numPr>
                <w:ilvl w:val="0"/>
                <w:numId w:val="161"/>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714496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110kV总配电站控制室</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5CFA4E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C5D938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682C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ED375D3">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42D0D0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110kV配电系统的控制及保护采用微机监控、微机保护组成的变电所综合自动化系统，110kV总配电站设1套分层分布式综合自动化系统装置，除前置监控系统设在配电站主控制室外，110kV配电保护单元分散安装在开关柜上，通过通讯总线与后台监控机进行通信，并通过CAN网，采用光缆或屏蔽双绞线与110kV总配电站监控系统进行数据通讯。</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612858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2A8E90D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32DBD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EB8ECA2">
            <w:pPr>
              <w:keepNext w:val="0"/>
              <w:keepLines w:val="0"/>
              <w:pageBreakBefore w:val="0"/>
              <w:widowControl w:val="0"/>
              <w:numPr>
                <w:ilvl w:val="0"/>
                <w:numId w:val="155"/>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9CDC17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采暖通风及空气调节</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370589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A115B3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11DFE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3FDDD64">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528774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（1）</w:t>
            </w:r>
            <w:r>
              <w:rPr>
                <w:rFonts w:hint="eastAsia" w:ascii="宋体" w:hAnsi="宋体" w:eastAsia="宋体" w:cs="宋体"/>
                <w:b w:val="0"/>
                <w:bCs w:val="0"/>
                <w:sz w:val="21"/>
                <w:szCs w:val="21"/>
              </w:rPr>
              <w:t>该项目通风和空气调节设计符合现行国家标准《工业建筑供暖通风与空气调节设计规范》（GB50019-2015）的有关规定。充分利用当地的有利气候条件，优化建筑物通风设计。</w:t>
            </w:r>
          </w:p>
          <w:p w14:paraId="1C74D1F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（2）该项目生产车间以自然通风为主，机械通风为辅</w:t>
            </w:r>
            <w:r>
              <w:rPr>
                <w:rFonts w:hint="eastAsia" w:ascii="宋体" w:hAnsi="宋体" w:eastAsia="宋体" w:cs="宋体"/>
                <w:b w:val="0"/>
                <w:bCs w:val="0"/>
                <w:sz w:val="21"/>
                <w:szCs w:val="21"/>
              </w:rPr>
              <w:t>。</w:t>
            </w:r>
          </w:p>
          <w:p w14:paraId="529A3BF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（3）</w:t>
            </w:r>
            <w:r>
              <w:rPr>
                <w:rFonts w:hint="eastAsia" w:ascii="宋体" w:hAnsi="宋体" w:eastAsia="宋体" w:cs="宋体"/>
                <w:b w:val="0"/>
                <w:bCs w:val="0"/>
                <w:sz w:val="21"/>
                <w:szCs w:val="21"/>
              </w:rPr>
              <w:t>配电柜设置固定窗，以自然通风为主。</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9BC5C5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805AF94">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6D2E8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0D19AAE">
            <w:pPr>
              <w:keepNext w:val="0"/>
              <w:keepLines w:val="0"/>
              <w:pageBreakBefore w:val="0"/>
              <w:widowControl w:val="0"/>
              <w:numPr>
                <w:ilvl w:val="0"/>
                <w:numId w:val="155"/>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EC1069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检修安全措施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F88FC1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01B46D2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072C1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531FE87">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543B44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（1）设备检修时，要求先断开电源，然后在设备开启按钮旁挂检修禁止启动标识，并要求有监护人员监护。</w:t>
            </w:r>
          </w:p>
          <w:p w14:paraId="13AFB18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（2）进行设备检修时，根据检修环境，有毒环境要求检修人员佩戴防毒面具及防护服。</w:t>
            </w:r>
          </w:p>
          <w:p w14:paraId="37FF4ED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（3）在高空检修时，要求检修人员必须</w:t>
            </w:r>
            <w:r>
              <w:rPr>
                <w:rFonts w:hint="eastAsia" w:cs="宋体"/>
                <w:b w:val="0"/>
                <w:bCs w:val="0"/>
                <w:sz w:val="21"/>
                <w:szCs w:val="21"/>
                <w:lang w:eastAsia="zh-CN"/>
              </w:rPr>
              <w:t>戴</w:t>
            </w:r>
            <w:r>
              <w:rPr>
                <w:rFonts w:hint="eastAsia" w:ascii="宋体" w:hAnsi="宋体" w:eastAsia="宋体" w:cs="宋体"/>
                <w:b w:val="0"/>
                <w:bCs w:val="0"/>
                <w:sz w:val="21"/>
                <w:szCs w:val="21"/>
              </w:rPr>
              <w:t>安全绳。</w:t>
            </w:r>
          </w:p>
          <w:p w14:paraId="75F8319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（4）该项目要求业主建立完善的安全检修制度规程，制定方案和措施、交叉作业协调机制等。并加强人员教育及培训，要求工人按规程进行检修。</w:t>
            </w:r>
          </w:p>
          <w:p w14:paraId="172AF4A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（5）人员进入设备内进行清堵、检修作业时，按照《机械安全危险能量控制方法上锁/挂牌》（GB/T 33579-2017）的要求，进行上锁挂牌作业。</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E1404B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检修人员严格按安全设施设计要求操作。</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FB5BED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68834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51AD838">
            <w:pPr>
              <w:keepNext w:val="0"/>
              <w:keepLines w:val="0"/>
              <w:pageBreakBefore w:val="0"/>
              <w:widowControl w:val="0"/>
              <w:numPr>
                <w:ilvl w:val="0"/>
                <w:numId w:val="155"/>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2647FF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皮带输送系统安全措施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2C1EFF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14BC418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33DC0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1924942">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366A47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皮带输送机按《带式输送机安全规范》（GB14784-2013）的要求设置。带式输送机通廊两侧的人行道，净宽均不得小于0.8m，如系单侧人行道，则不得小于1.3m。人行道上不得敷设蒸汽管、水管等妨碍行走的管线。沿带式输送机走向，每隔30～50m宜设一个横跨输送机的过桥。</w:t>
            </w:r>
          </w:p>
          <w:p w14:paraId="03C04F5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（1）</w:t>
            </w:r>
            <w:r>
              <w:rPr>
                <w:rFonts w:hint="eastAsia" w:ascii="宋体" w:hAnsi="宋体" w:eastAsia="宋体" w:cs="宋体"/>
                <w:b w:val="0"/>
                <w:bCs w:val="0"/>
                <w:sz w:val="21"/>
                <w:szCs w:val="21"/>
              </w:rPr>
              <w:t>皮带输送机在垂直拉紧装置上部两改向滚筒的两侧（或四周）及顶部设防护网。在重锤下方的地面上设置由防护板组成的高度为2.5m的防护区。在防护板上装设两块永久性的警示牌，分别写明“非经批准的人员不得入内”和“输送机运转时不得对拉紧滚筒进行检修和人工注油”等</w:t>
            </w:r>
            <w:r>
              <w:rPr>
                <w:rFonts w:hint="eastAsia" w:cs="宋体"/>
                <w:b w:val="0"/>
                <w:bCs w:val="0"/>
                <w:sz w:val="21"/>
                <w:szCs w:val="21"/>
                <w:lang w:eastAsia="zh-CN"/>
              </w:rPr>
              <w:t>字样</w:t>
            </w:r>
            <w:r>
              <w:rPr>
                <w:rFonts w:hint="eastAsia" w:ascii="宋体" w:hAnsi="宋体" w:eastAsia="宋体" w:cs="宋体"/>
                <w:b w:val="0"/>
                <w:bCs w:val="0"/>
                <w:sz w:val="21"/>
                <w:szCs w:val="21"/>
              </w:rPr>
              <w:t>。若拉紧滚筒下方是厂房时，在重锤箱上加装防坠装置。在张紧行程的极限位置设限制器。如果拉紧钢丝绳设置在走台或走廊处的，该设防护罩。</w:t>
            </w:r>
          </w:p>
          <w:p w14:paraId="03B1460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w:t>
            </w:r>
            <w:r>
              <w:rPr>
                <w:rFonts w:hint="eastAsia" w:ascii="宋体" w:hAnsi="宋体" w:eastAsia="宋体" w:cs="宋体"/>
                <w:b w:val="0"/>
                <w:bCs w:val="0"/>
                <w:sz w:val="21"/>
                <w:szCs w:val="21"/>
              </w:rPr>
              <w:t>皮带输送机装设的安全保护装置如下：</w:t>
            </w:r>
          </w:p>
          <w:p w14:paraId="42D7561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倾斜向上运料的输送机，当其满载停车后逆转力矩大于零时，装设防止逆转的制动器或逆止器；</w:t>
            </w:r>
          </w:p>
          <w:p w14:paraId="5A0DFC3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倾斜向下运料的输送机，当其满载运行时驱动力矩为负值时，装设防止超速的安全装置；</w:t>
            </w:r>
          </w:p>
          <w:p w14:paraId="659146E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装设防止输送带跑偏的保护和报警装置；</w:t>
            </w:r>
          </w:p>
          <w:p w14:paraId="115A215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宜设输送带在传动滚筒上打滑的检测装置；</w:t>
            </w:r>
          </w:p>
          <w:p w14:paraId="49BD4E5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有动力张紧装置的自动控制的输送机宜设瞬时张力检测器；</w:t>
            </w:r>
          </w:p>
          <w:p w14:paraId="7E73034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设漏斗堵塞报警装置；</w:t>
            </w:r>
          </w:p>
          <w:p w14:paraId="1D51599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⑦</w:t>
            </w:r>
            <w:r>
              <w:rPr>
                <w:rFonts w:hint="eastAsia" w:ascii="宋体" w:hAnsi="宋体" w:eastAsia="宋体" w:cs="宋体"/>
                <w:b w:val="0"/>
                <w:bCs w:val="0"/>
                <w:sz w:val="21"/>
                <w:szCs w:val="21"/>
              </w:rPr>
              <w:t>沿输送机人行通道的全长设置急停拉绳开关。拉绳开关的间距不得大于60m。当输送机的长度小于30m时，允许不设拉绳开关而用急停按钮代替，但从输送机长度方向上的任何一点到急停按钮的距离不得大于10m；</w:t>
            </w:r>
          </w:p>
          <w:p w14:paraId="0929DE1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⑧</w:t>
            </w:r>
            <w:r>
              <w:rPr>
                <w:rFonts w:hint="eastAsia" w:ascii="宋体" w:hAnsi="宋体" w:eastAsia="宋体" w:cs="宋体"/>
                <w:b w:val="0"/>
                <w:bCs w:val="0"/>
                <w:sz w:val="21"/>
                <w:szCs w:val="21"/>
              </w:rPr>
              <w:t>当输送机架空越过人行通道时，在人行通道上方的承载分支输送带下装接料板。</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7C06DC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2D568C5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0BF12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152FF91">
            <w:pPr>
              <w:keepNext w:val="0"/>
              <w:keepLines w:val="0"/>
              <w:pageBreakBefore w:val="0"/>
              <w:widowControl w:val="0"/>
              <w:numPr>
                <w:ilvl w:val="0"/>
                <w:numId w:val="155"/>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FD1CAA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仓储安全设施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D01BD0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F22392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76D75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667666A">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5C93CE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（1）</w:t>
            </w:r>
            <w:r>
              <w:rPr>
                <w:rFonts w:hint="eastAsia" w:ascii="宋体" w:hAnsi="宋体" w:eastAsia="宋体" w:cs="宋体"/>
                <w:b w:val="0"/>
                <w:bCs w:val="0"/>
                <w:sz w:val="21"/>
                <w:szCs w:val="21"/>
              </w:rPr>
              <w:t>企业应指定专人定期（每日、每周、每月、季度）进行防火安全检查，主要包括：消防安全制度、消防安全管理措施和消防安全操作规程的执行和落实情况；用电是否存在违章现象；库房是否按垛距、柱距、墙距要求标划能够持久的</w:t>
            </w:r>
            <w:r>
              <w:rPr>
                <w:rFonts w:hint="eastAsia" w:cs="宋体"/>
                <w:b w:val="0"/>
                <w:bCs w:val="0"/>
                <w:sz w:val="21"/>
                <w:szCs w:val="21"/>
                <w:lang w:eastAsia="zh-CN"/>
              </w:rPr>
              <w:t>定位</w:t>
            </w:r>
            <w:r>
              <w:rPr>
                <w:rFonts w:hint="eastAsia" w:ascii="宋体" w:hAnsi="宋体" w:eastAsia="宋体" w:cs="宋体"/>
                <w:b w:val="0"/>
                <w:bCs w:val="0"/>
                <w:sz w:val="21"/>
                <w:szCs w:val="21"/>
              </w:rPr>
              <w:t>线，物品入库前是否经专人检查；库存物品是否分类、分堆存放，通道宽度是否满足要求，是否存在影响安全的物品；仓库保管员岗位消防知识掌握情况；消防车通道是否畅通；灭火和应急疏散预案的演练情况。</w:t>
            </w:r>
          </w:p>
          <w:p w14:paraId="1431366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w:t>
            </w:r>
            <w:r>
              <w:rPr>
                <w:rFonts w:hint="eastAsia" w:ascii="宋体" w:hAnsi="宋体" w:eastAsia="宋体" w:cs="宋体"/>
                <w:b w:val="0"/>
                <w:bCs w:val="0"/>
                <w:sz w:val="21"/>
                <w:szCs w:val="21"/>
              </w:rPr>
              <w:t>发现火灾隐患，立即上报公司安全管理机构，立即整改；不能立即整改的，安全管理机构要及时研究制定整改方案，确保整改措施、期限、部门和责任人，报单位主要负责人审批。</w:t>
            </w:r>
          </w:p>
          <w:p w14:paraId="3F006C1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（3）</w:t>
            </w:r>
            <w:r>
              <w:rPr>
                <w:rFonts w:hint="eastAsia" w:ascii="宋体" w:hAnsi="宋体" w:eastAsia="宋体" w:cs="宋体"/>
                <w:b w:val="0"/>
                <w:bCs w:val="0"/>
                <w:sz w:val="21"/>
                <w:szCs w:val="21"/>
              </w:rPr>
              <w:t>火灾隐患整改责任人和部门按照整改方案要求，落实整改措施，并加强整改期间的安全防范。</w:t>
            </w:r>
          </w:p>
          <w:p w14:paraId="0E3EF54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（4）火</w:t>
            </w:r>
            <w:r>
              <w:rPr>
                <w:rFonts w:hint="eastAsia" w:ascii="宋体" w:hAnsi="宋体" w:eastAsia="宋体" w:cs="宋体"/>
                <w:b w:val="0"/>
                <w:bCs w:val="0"/>
                <w:sz w:val="21"/>
                <w:szCs w:val="21"/>
              </w:rPr>
              <w:t>灾隐患整改完毕，安全管理部门组织验收，并将验收结果报企业负责人。</w:t>
            </w:r>
          </w:p>
          <w:p w14:paraId="2053D57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（5）</w:t>
            </w:r>
            <w:r>
              <w:rPr>
                <w:rFonts w:hint="eastAsia" w:ascii="宋体" w:hAnsi="宋体" w:eastAsia="宋体" w:cs="宋体"/>
                <w:b w:val="0"/>
                <w:bCs w:val="0"/>
                <w:sz w:val="21"/>
                <w:szCs w:val="21"/>
              </w:rPr>
              <w:t>货物堆码：根据货物的包装形状、重量、数量及性能特点，结合地面负荷能力、储存时间等因素将货物/物资按一定规律码成各种形状的货垛。</w:t>
            </w:r>
          </w:p>
          <w:p w14:paraId="4B30428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（6）</w:t>
            </w:r>
            <w:r>
              <w:rPr>
                <w:rFonts w:hint="eastAsia" w:ascii="宋体" w:hAnsi="宋体" w:eastAsia="宋体" w:cs="宋体"/>
                <w:b w:val="0"/>
                <w:bCs w:val="0"/>
                <w:sz w:val="21"/>
                <w:szCs w:val="21"/>
              </w:rPr>
              <w:t>库房物资分类堆码：物资进库，按不同的材料、规格、性能和要求做到分区、分类储存，标识有效齐全。</w:t>
            </w:r>
          </w:p>
          <w:p w14:paraId="157596F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（7）</w:t>
            </w:r>
            <w:r>
              <w:rPr>
                <w:rFonts w:hint="eastAsia" w:ascii="宋体" w:hAnsi="宋体" w:eastAsia="宋体" w:cs="宋体"/>
                <w:b w:val="0"/>
                <w:bCs w:val="0"/>
                <w:sz w:val="21"/>
                <w:szCs w:val="21"/>
              </w:rPr>
              <w:t>物资摆放要“上轻下重、左整右零、后整前零、下整上零”，定量装箱，过目成数。</w:t>
            </w:r>
          </w:p>
          <w:p w14:paraId="6F7D41C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（8）</w:t>
            </w:r>
            <w:r>
              <w:rPr>
                <w:rFonts w:hint="eastAsia" w:ascii="宋体" w:hAnsi="宋体" w:eastAsia="宋体" w:cs="宋体"/>
                <w:b w:val="0"/>
                <w:bCs w:val="0"/>
                <w:sz w:val="21"/>
                <w:szCs w:val="21"/>
              </w:rPr>
              <w:t>库房内堆码，货垛符合安全规范要求库房</w:t>
            </w:r>
            <w:r>
              <w:rPr>
                <w:rFonts w:hint="eastAsia" w:cs="宋体"/>
                <w:b w:val="0"/>
                <w:bCs w:val="0"/>
                <w:sz w:val="21"/>
                <w:szCs w:val="21"/>
                <w:lang w:eastAsia="zh-CN"/>
              </w:rPr>
              <w:t>垛</w:t>
            </w:r>
            <w:r>
              <w:rPr>
                <w:rFonts w:hint="eastAsia" w:ascii="宋体" w:hAnsi="宋体" w:eastAsia="宋体" w:cs="宋体"/>
                <w:b w:val="0"/>
                <w:bCs w:val="0"/>
                <w:sz w:val="21"/>
                <w:szCs w:val="21"/>
              </w:rPr>
              <w:t>距不少于100cm，货物离没有窗户墙体的距离为内墙距，一般距离为不小于30cm；货物离有窗户墙体的距离为外墙距，一般距离为不小于50cm；上部距离照明灯距不小于50cm。</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13800D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121593F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58867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06179C8">
            <w:pPr>
              <w:keepNext w:val="0"/>
              <w:keepLines w:val="0"/>
              <w:pageBreakBefore w:val="0"/>
              <w:widowControl w:val="0"/>
              <w:numPr>
                <w:ilvl w:val="0"/>
                <w:numId w:val="155"/>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9C8D43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危废暂存间安全设施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F29072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7A93490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311A2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F4E0103">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7AB4FA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企业危险废物贮存间</w:t>
            </w:r>
            <w:r>
              <w:rPr>
                <w:rFonts w:hint="eastAsia" w:cs="宋体"/>
                <w:b w:val="0"/>
                <w:bCs w:val="0"/>
                <w:sz w:val="21"/>
                <w:szCs w:val="21"/>
                <w:lang w:eastAsia="zh-CN"/>
              </w:rPr>
              <w:t>必须</w:t>
            </w:r>
            <w:r>
              <w:rPr>
                <w:rFonts w:hint="eastAsia" w:ascii="宋体" w:hAnsi="宋体" w:eastAsia="宋体" w:cs="宋体"/>
                <w:b w:val="0"/>
                <w:bCs w:val="0"/>
                <w:sz w:val="21"/>
                <w:szCs w:val="21"/>
              </w:rPr>
              <w:t>密闭建设且有通风口，门口内侧设立围堰，地面应做好硬化及“三防”措施，即防扬散、防流失、防渗漏措施。危险废物贮存间门口需张贴标准规范的危险废物标识和危废信息板，屋内张贴企业《危险废物管理制度》。</w:t>
            </w:r>
          </w:p>
          <w:p w14:paraId="5AD723F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在设备维修中产生的废油、设备漏油和汽车维修废油应全部倒入指定区域的废油桶中。不得倒入厂内、外空地、草地及地下管网的检查井中。洒漏在地面的废油由责任部门（相关方由相关负责部门监督）用棉纱或报纸清除。</w:t>
            </w:r>
          </w:p>
          <w:p w14:paraId="0F5668D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（2）贮存场所地面须硬化处理，并涂至少2mm密度高的环氧树脂，以防止渗漏和腐蚀。存放液体性危险废物的贮存场所须设计收集沟及收集井，以收集渗滤液，防止外溢流失现象。</w:t>
            </w:r>
          </w:p>
          <w:p w14:paraId="5574894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（3）贮存场所不得连接市政雨水管或污水管，危险废物贮存设施内清理出来的泄漏物，一律按危险废物处理，冲洗废水必须纳入企业废水处理设施经处理达标后方可排放。</w:t>
            </w:r>
          </w:p>
          <w:p w14:paraId="0CCF9B9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（4）贮存危险废物不得超过一年，超过一年报环保部门审批。危险废物贮存台账并如实记录危险废物贮存情况。</w:t>
            </w:r>
          </w:p>
          <w:p w14:paraId="6661A83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（5）危废存储间内设置灭火器等消防设施，危险废物存储间需上锁，专人管理设置台账。</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C32931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已按安全设施设计要求设置。</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5C826BA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4ACCB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251BD71">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center"/>
              <w:textAlignment w:val="auto"/>
              <w:rPr>
                <w:rFonts w:hint="default" w:ascii="宋体" w:hAnsi="宋体" w:eastAsia="宋体" w:cs="宋体"/>
                <w:b/>
                <w:bCs/>
                <w:sz w:val="21"/>
                <w:szCs w:val="21"/>
                <w:lang w:val="en-US" w:eastAsia="zh-CN"/>
              </w:rPr>
            </w:pPr>
            <w:r>
              <w:rPr>
                <w:rFonts w:hint="eastAsia" w:cs="宋体"/>
                <w:b/>
                <w:bCs/>
                <w:sz w:val="21"/>
                <w:szCs w:val="21"/>
                <w:lang w:val="en-US" w:eastAsia="zh-CN"/>
              </w:rPr>
              <w:t>五</w:t>
            </w: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912137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cs="宋体"/>
                <w:b/>
                <w:bCs/>
                <w:sz w:val="21"/>
                <w:szCs w:val="21"/>
                <w:lang w:eastAsia="zh-CN"/>
              </w:rPr>
              <w:t>其他安全</w:t>
            </w:r>
            <w:r>
              <w:rPr>
                <w:rFonts w:hint="eastAsia" w:ascii="宋体" w:hAnsi="宋体" w:eastAsia="宋体" w:cs="宋体"/>
                <w:b/>
                <w:bCs/>
                <w:sz w:val="21"/>
                <w:szCs w:val="21"/>
              </w:rPr>
              <w:t>防范措施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32CAD6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1383F22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77621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4B6763F7">
            <w:pPr>
              <w:keepNext w:val="0"/>
              <w:keepLines w:val="0"/>
              <w:pageBreakBefore w:val="0"/>
              <w:widowControl w:val="0"/>
              <w:numPr>
                <w:ilvl w:val="0"/>
                <w:numId w:val="162"/>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E8283B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劳动防护用品的配备</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22C329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126D32A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54C34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26CF14D">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C8A385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bookmarkStart w:id="1212" w:name="_Hlk134281236"/>
            <w:r>
              <w:rPr>
                <w:rFonts w:hint="eastAsia" w:ascii="宋体" w:hAnsi="宋体" w:eastAsia="宋体" w:cs="宋体"/>
                <w:b w:val="0"/>
                <w:bCs w:val="0"/>
                <w:sz w:val="21"/>
                <w:szCs w:val="21"/>
              </w:rPr>
              <w:t>（1）根据《个体防护装备配备规范 第3部分：冶金、有色》（GB 39800.3-2020），按照工种及该工种/岗位配备标准进行个体防护装备的配备。并在库房存放适量的备用个体防护装备。按照工种及该工种岗位配备标准建立职工个人劳动防护用品领用、发放登记卡片，在卡片上按标准签发品名与使用期限。</w:t>
            </w:r>
          </w:p>
          <w:p w14:paraId="7D9FCC9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个体劳动防护用品的配备建议见表6.4-1。</w:t>
            </w:r>
          </w:p>
          <w:p w14:paraId="7679F55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表6.4-1 个体劳动防护用品配备</w:t>
            </w:r>
          </w:p>
          <w:tbl>
            <w:tblPr>
              <w:tblStyle w:val="32"/>
              <w:tblW w:w="4517" w:type="dxa"/>
              <w:tblInd w:w="-4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74"/>
              <w:gridCol w:w="927"/>
              <w:gridCol w:w="1070"/>
              <w:gridCol w:w="930"/>
              <w:gridCol w:w="687"/>
              <w:gridCol w:w="529"/>
            </w:tblGrid>
            <w:tr w14:paraId="1D61B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blHeader/>
              </w:trPr>
              <w:tc>
                <w:tcPr>
                  <w:tcW w:w="413" w:type="pct"/>
                  <w:vAlign w:val="center"/>
                </w:tcPr>
                <w:p w14:paraId="3FC69F2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序号</w:t>
                  </w:r>
                </w:p>
              </w:tc>
              <w:tc>
                <w:tcPr>
                  <w:tcW w:w="1026" w:type="pct"/>
                  <w:vAlign w:val="center"/>
                </w:tcPr>
                <w:p w14:paraId="41D4F8E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防护用</w:t>
                  </w:r>
                  <w:r>
                    <w:rPr>
                      <w:rFonts w:hint="eastAsia" w:cs="宋体"/>
                      <w:b w:val="0"/>
                      <w:bCs w:val="0"/>
                      <w:sz w:val="21"/>
                      <w:szCs w:val="21"/>
                      <w:lang w:eastAsia="zh-CN"/>
                    </w:rPr>
                    <w:t>品</w:t>
                  </w:r>
                  <w:r>
                    <w:rPr>
                      <w:rFonts w:hint="eastAsia" w:ascii="宋体" w:hAnsi="宋体" w:eastAsia="宋体" w:cs="宋体"/>
                      <w:b w:val="0"/>
                      <w:bCs w:val="0"/>
                      <w:sz w:val="21"/>
                      <w:szCs w:val="21"/>
                    </w:rPr>
                    <w:t>类</w:t>
                  </w:r>
                </w:p>
              </w:tc>
              <w:tc>
                <w:tcPr>
                  <w:tcW w:w="1184" w:type="pct"/>
                  <w:vAlign w:val="center"/>
                </w:tcPr>
                <w:p w14:paraId="225CBBC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产品标准号</w:t>
                  </w:r>
                </w:p>
              </w:tc>
              <w:tc>
                <w:tcPr>
                  <w:tcW w:w="1029" w:type="pct"/>
                  <w:vAlign w:val="center"/>
                </w:tcPr>
                <w:p w14:paraId="5A9CE50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功能特点</w:t>
                  </w:r>
                </w:p>
              </w:tc>
              <w:tc>
                <w:tcPr>
                  <w:tcW w:w="760" w:type="pct"/>
                  <w:vAlign w:val="center"/>
                </w:tcPr>
                <w:p w14:paraId="500A798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工种/岗位</w:t>
                  </w:r>
                </w:p>
              </w:tc>
              <w:tc>
                <w:tcPr>
                  <w:tcW w:w="585" w:type="pct"/>
                  <w:vAlign w:val="center"/>
                </w:tcPr>
                <w:p w14:paraId="3CE44CC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个数</w:t>
                  </w:r>
                </w:p>
              </w:tc>
            </w:tr>
            <w:tr w14:paraId="17877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4957254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2F3E3D3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安全帽（塑料/玻璃钢）</w:t>
                  </w:r>
                </w:p>
              </w:tc>
              <w:tc>
                <w:tcPr>
                  <w:tcW w:w="1184" w:type="pct"/>
                  <w:vAlign w:val="center"/>
                </w:tcPr>
                <w:p w14:paraId="01BFE6D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 2811</w:t>
                  </w:r>
                </w:p>
              </w:tc>
              <w:tc>
                <w:tcPr>
                  <w:tcW w:w="1029" w:type="pct"/>
                  <w:vAlign w:val="center"/>
                </w:tcPr>
                <w:p w14:paraId="3A086B6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普通型</w:t>
                  </w:r>
                </w:p>
              </w:tc>
              <w:tc>
                <w:tcPr>
                  <w:tcW w:w="760" w:type="pct"/>
                  <w:vAlign w:val="center"/>
                </w:tcPr>
                <w:p w14:paraId="700C197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全岗位</w:t>
                  </w:r>
                </w:p>
              </w:tc>
              <w:tc>
                <w:tcPr>
                  <w:tcW w:w="585" w:type="pct"/>
                  <w:vAlign w:val="center"/>
                </w:tcPr>
                <w:p w14:paraId="1B39E80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每人</w:t>
                  </w:r>
                </w:p>
              </w:tc>
            </w:tr>
            <w:tr w14:paraId="1C4EC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4368346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0FAEEB2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职业眼面部防护具</w:t>
                  </w:r>
                </w:p>
              </w:tc>
              <w:tc>
                <w:tcPr>
                  <w:tcW w:w="1184" w:type="pct"/>
                  <w:vAlign w:val="center"/>
                </w:tcPr>
                <w:p w14:paraId="4480C0B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 32166.1</w:t>
                  </w:r>
                </w:p>
              </w:tc>
              <w:tc>
                <w:tcPr>
                  <w:tcW w:w="1029" w:type="pct"/>
                  <w:vAlign w:val="center"/>
                </w:tcPr>
                <w:p w14:paraId="1A6DFC2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防冲击</w:t>
                  </w:r>
                </w:p>
              </w:tc>
              <w:tc>
                <w:tcPr>
                  <w:tcW w:w="760" w:type="pct"/>
                  <w:vAlign w:val="center"/>
                </w:tcPr>
                <w:p w14:paraId="086E5B0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全岗位</w:t>
                  </w:r>
                </w:p>
              </w:tc>
              <w:tc>
                <w:tcPr>
                  <w:tcW w:w="585" w:type="pct"/>
                  <w:vAlign w:val="center"/>
                </w:tcPr>
                <w:p w14:paraId="0CA7CC2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每人</w:t>
                  </w:r>
                </w:p>
              </w:tc>
            </w:tr>
            <w:tr w14:paraId="2F2C6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16800B7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49447BA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自吸过滤式防颗粒物呼吸器</w:t>
                  </w:r>
                </w:p>
              </w:tc>
              <w:tc>
                <w:tcPr>
                  <w:tcW w:w="1184" w:type="pct"/>
                  <w:vAlign w:val="center"/>
                </w:tcPr>
                <w:p w14:paraId="6348313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 2626</w:t>
                  </w:r>
                </w:p>
              </w:tc>
              <w:tc>
                <w:tcPr>
                  <w:tcW w:w="1029" w:type="pct"/>
                  <w:vAlign w:val="center"/>
                </w:tcPr>
                <w:p w14:paraId="6396229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防非油性颗粒物</w:t>
                  </w:r>
                </w:p>
              </w:tc>
              <w:tc>
                <w:tcPr>
                  <w:tcW w:w="760" w:type="pct"/>
                  <w:vAlign w:val="center"/>
                </w:tcPr>
                <w:p w14:paraId="11B9D97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全岗位</w:t>
                  </w:r>
                </w:p>
              </w:tc>
              <w:tc>
                <w:tcPr>
                  <w:tcW w:w="585" w:type="pct"/>
                  <w:vAlign w:val="center"/>
                </w:tcPr>
                <w:p w14:paraId="21D97A1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59套</w:t>
                  </w:r>
                </w:p>
              </w:tc>
            </w:tr>
            <w:tr w14:paraId="6E3E0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56C3800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251469A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耳塞（罩）</w:t>
                  </w:r>
                </w:p>
              </w:tc>
              <w:tc>
                <w:tcPr>
                  <w:tcW w:w="1184" w:type="pct"/>
                  <w:vAlign w:val="center"/>
                </w:tcPr>
                <w:p w14:paraId="1B254FC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GB/T 31 422</w:t>
                  </w:r>
                </w:p>
              </w:tc>
              <w:tc>
                <w:tcPr>
                  <w:tcW w:w="1029" w:type="pct"/>
                  <w:vAlign w:val="center"/>
                </w:tcPr>
                <w:p w14:paraId="0173778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防噪声</w:t>
                  </w:r>
                </w:p>
              </w:tc>
              <w:tc>
                <w:tcPr>
                  <w:tcW w:w="760" w:type="pct"/>
                  <w:vAlign w:val="center"/>
                </w:tcPr>
                <w:p w14:paraId="45BCC91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全岗位</w:t>
                  </w:r>
                </w:p>
              </w:tc>
              <w:tc>
                <w:tcPr>
                  <w:tcW w:w="585" w:type="pct"/>
                  <w:vAlign w:val="center"/>
                </w:tcPr>
                <w:p w14:paraId="767B2B6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59套</w:t>
                  </w:r>
                </w:p>
              </w:tc>
            </w:tr>
            <w:tr w14:paraId="6F71F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5CFE8A8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2C15249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阻燃工作服</w:t>
                  </w:r>
                </w:p>
              </w:tc>
              <w:tc>
                <w:tcPr>
                  <w:tcW w:w="1184" w:type="pct"/>
                  <w:vAlign w:val="center"/>
                </w:tcPr>
                <w:p w14:paraId="4229ED5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 8965.1</w:t>
                  </w:r>
                </w:p>
              </w:tc>
              <w:tc>
                <w:tcPr>
                  <w:tcW w:w="1029" w:type="pct"/>
                  <w:vAlign w:val="center"/>
                </w:tcPr>
                <w:p w14:paraId="5D8290F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阻燃</w:t>
                  </w:r>
                </w:p>
              </w:tc>
              <w:tc>
                <w:tcPr>
                  <w:tcW w:w="760" w:type="pct"/>
                  <w:vAlign w:val="center"/>
                </w:tcPr>
                <w:p w14:paraId="75016C8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全岗位</w:t>
                  </w:r>
                </w:p>
              </w:tc>
              <w:tc>
                <w:tcPr>
                  <w:tcW w:w="585" w:type="pct"/>
                  <w:vAlign w:val="center"/>
                </w:tcPr>
                <w:p w14:paraId="52ADC52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59套</w:t>
                  </w:r>
                </w:p>
              </w:tc>
            </w:tr>
            <w:tr w14:paraId="2FA8E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0222BE8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09F304C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防护手套</w:t>
                  </w:r>
                </w:p>
              </w:tc>
              <w:tc>
                <w:tcPr>
                  <w:tcW w:w="1184" w:type="pct"/>
                  <w:vAlign w:val="center"/>
                </w:tcPr>
                <w:p w14:paraId="4B0A01D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 24541</w:t>
                  </w:r>
                </w:p>
              </w:tc>
              <w:tc>
                <w:tcPr>
                  <w:tcW w:w="1029" w:type="pct"/>
                  <w:vAlign w:val="center"/>
                </w:tcPr>
                <w:p w14:paraId="59F52F2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防机械伤害、耐油污</w:t>
                  </w:r>
                </w:p>
              </w:tc>
              <w:tc>
                <w:tcPr>
                  <w:tcW w:w="760" w:type="pct"/>
                  <w:vAlign w:val="center"/>
                </w:tcPr>
                <w:p w14:paraId="2E1F7DA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全岗位</w:t>
                  </w:r>
                </w:p>
              </w:tc>
              <w:tc>
                <w:tcPr>
                  <w:tcW w:w="585" w:type="pct"/>
                  <w:vAlign w:val="center"/>
                </w:tcPr>
                <w:p w14:paraId="092370B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59套</w:t>
                  </w:r>
                </w:p>
              </w:tc>
            </w:tr>
            <w:tr w14:paraId="4CE4A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7DDA984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460FE08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安全鞋</w:t>
                  </w:r>
                </w:p>
              </w:tc>
              <w:tc>
                <w:tcPr>
                  <w:tcW w:w="1184" w:type="pct"/>
                  <w:vAlign w:val="center"/>
                </w:tcPr>
                <w:p w14:paraId="6A25C96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 21148</w:t>
                  </w:r>
                </w:p>
              </w:tc>
              <w:tc>
                <w:tcPr>
                  <w:tcW w:w="1029" w:type="pct"/>
                  <w:vAlign w:val="center"/>
                </w:tcPr>
                <w:p w14:paraId="46AC41E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耐油污、防滑、防刺穿</w:t>
                  </w:r>
                </w:p>
              </w:tc>
              <w:tc>
                <w:tcPr>
                  <w:tcW w:w="760" w:type="pct"/>
                  <w:vAlign w:val="center"/>
                </w:tcPr>
                <w:p w14:paraId="5968C0F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全岗位</w:t>
                  </w:r>
                </w:p>
              </w:tc>
              <w:tc>
                <w:tcPr>
                  <w:tcW w:w="585" w:type="pct"/>
                  <w:vAlign w:val="center"/>
                </w:tcPr>
                <w:p w14:paraId="22C078B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59套</w:t>
                  </w:r>
                </w:p>
              </w:tc>
            </w:tr>
            <w:tr w14:paraId="4F508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7A11F0B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1D4BC08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安全帽（塑料/玻璃钢）</w:t>
                  </w:r>
                </w:p>
              </w:tc>
              <w:tc>
                <w:tcPr>
                  <w:tcW w:w="1184" w:type="pct"/>
                  <w:vAlign w:val="center"/>
                </w:tcPr>
                <w:p w14:paraId="7E26734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 2811</w:t>
                  </w:r>
                </w:p>
              </w:tc>
              <w:tc>
                <w:tcPr>
                  <w:tcW w:w="1029" w:type="pct"/>
                  <w:vAlign w:val="center"/>
                </w:tcPr>
                <w:p w14:paraId="2421626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电绝缘</w:t>
                  </w:r>
                </w:p>
              </w:tc>
              <w:tc>
                <w:tcPr>
                  <w:tcW w:w="760" w:type="pct"/>
                  <w:vAlign w:val="center"/>
                </w:tcPr>
                <w:p w14:paraId="2FC7F92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电工</w:t>
                  </w:r>
                </w:p>
              </w:tc>
              <w:tc>
                <w:tcPr>
                  <w:tcW w:w="585" w:type="pct"/>
                  <w:vAlign w:val="center"/>
                </w:tcPr>
                <w:p w14:paraId="25AF40A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4套</w:t>
                  </w:r>
                </w:p>
              </w:tc>
            </w:tr>
            <w:tr w14:paraId="1B3F3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5EC8827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4D4138D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职业眼面部防护具</w:t>
                  </w:r>
                </w:p>
              </w:tc>
              <w:tc>
                <w:tcPr>
                  <w:tcW w:w="1184" w:type="pct"/>
                  <w:vAlign w:val="center"/>
                </w:tcPr>
                <w:p w14:paraId="5A2E596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 32166.1</w:t>
                  </w:r>
                </w:p>
              </w:tc>
              <w:tc>
                <w:tcPr>
                  <w:tcW w:w="1029" w:type="pct"/>
                  <w:vAlign w:val="center"/>
                </w:tcPr>
                <w:p w14:paraId="3F27F72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防颗粒物</w:t>
                  </w:r>
                </w:p>
              </w:tc>
              <w:tc>
                <w:tcPr>
                  <w:tcW w:w="760" w:type="pct"/>
                  <w:vAlign w:val="center"/>
                </w:tcPr>
                <w:p w14:paraId="7B41FC0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电工</w:t>
                  </w:r>
                </w:p>
              </w:tc>
              <w:tc>
                <w:tcPr>
                  <w:tcW w:w="585" w:type="pct"/>
                  <w:vAlign w:val="center"/>
                </w:tcPr>
                <w:p w14:paraId="2D6F208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4套</w:t>
                  </w:r>
                </w:p>
              </w:tc>
            </w:tr>
            <w:tr w14:paraId="4980F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6458DF9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408688A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电弧工作服</w:t>
                  </w:r>
                </w:p>
              </w:tc>
              <w:tc>
                <w:tcPr>
                  <w:tcW w:w="1184" w:type="pct"/>
                  <w:vAlign w:val="center"/>
                </w:tcPr>
                <w:p w14:paraId="0434947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DL/T 320</w:t>
                  </w:r>
                </w:p>
              </w:tc>
              <w:tc>
                <w:tcPr>
                  <w:tcW w:w="1029" w:type="pct"/>
                  <w:vAlign w:val="center"/>
                </w:tcPr>
                <w:p w14:paraId="70300BA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防电弧</w:t>
                  </w:r>
                </w:p>
              </w:tc>
              <w:tc>
                <w:tcPr>
                  <w:tcW w:w="760" w:type="pct"/>
                  <w:vAlign w:val="center"/>
                </w:tcPr>
                <w:p w14:paraId="7E3C7DA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电工</w:t>
                  </w:r>
                </w:p>
              </w:tc>
              <w:tc>
                <w:tcPr>
                  <w:tcW w:w="585" w:type="pct"/>
                  <w:vAlign w:val="center"/>
                </w:tcPr>
                <w:p w14:paraId="71AE5F0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4套</w:t>
                  </w:r>
                </w:p>
              </w:tc>
            </w:tr>
            <w:tr w14:paraId="41C0A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72F538E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4494F3F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绝缘防护手套</w:t>
                  </w:r>
                </w:p>
              </w:tc>
              <w:tc>
                <w:tcPr>
                  <w:tcW w:w="1184" w:type="pct"/>
                  <w:vAlign w:val="center"/>
                </w:tcPr>
                <w:p w14:paraId="215F78D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GB/T 17622</w:t>
                  </w:r>
                </w:p>
              </w:tc>
              <w:tc>
                <w:tcPr>
                  <w:tcW w:w="1029" w:type="pct"/>
                  <w:vAlign w:val="center"/>
                </w:tcPr>
                <w:p w14:paraId="66AB6F2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电绝缘</w:t>
                  </w:r>
                </w:p>
              </w:tc>
              <w:tc>
                <w:tcPr>
                  <w:tcW w:w="760" w:type="pct"/>
                  <w:vAlign w:val="center"/>
                </w:tcPr>
                <w:p w14:paraId="59D3001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电工</w:t>
                  </w:r>
                </w:p>
              </w:tc>
              <w:tc>
                <w:tcPr>
                  <w:tcW w:w="585" w:type="pct"/>
                  <w:vAlign w:val="center"/>
                </w:tcPr>
                <w:p w14:paraId="0EB7F1B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4套</w:t>
                  </w:r>
                </w:p>
              </w:tc>
            </w:tr>
            <w:tr w14:paraId="1C98C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17E6029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6DFED87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绝缘安全鞋</w:t>
                  </w:r>
                </w:p>
              </w:tc>
              <w:tc>
                <w:tcPr>
                  <w:tcW w:w="1184" w:type="pct"/>
                  <w:vAlign w:val="center"/>
                </w:tcPr>
                <w:p w14:paraId="64C407A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 21148</w:t>
                  </w:r>
                </w:p>
              </w:tc>
              <w:tc>
                <w:tcPr>
                  <w:tcW w:w="1029" w:type="pct"/>
                  <w:vAlign w:val="center"/>
                </w:tcPr>
                <w:p w14:paraId="4F658B9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电绝缘、防滑、防刺穿</w:t>
                  </w:r>
                </w:p>
              </w:tc>
              <w:tc>
                <w:tcPr>
                  <w:tcW w:w="760" w:type="pct"/>
                  <w:vAlign w:val="center"/>
                </w:tcPr>
                <w:p w14:paraId="05AA2E5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电工/检维修工</w:t>
                  </w:r>
                </w:p>
              </w:tc>
              <w:tc>
                <w:tcPr>
                  <w:tcW w:w="585" w:type="pct"/>
                  <w:vAlign w:val="center"/>
                </w:tcPr>
                <w:p w14:paraId="6CBFFEA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4套</w:t>
                  </w:r>
                </w:p>
              </w:tc>
            </w:tr>
            <w:tr w14:paraId="5F4C7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2C219F4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20E807E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焊接眼护具</w:t>
                  </w:r>
                </w:p>
              </w:tc>
              <w:tc>
                <w:tcPr>
                  <w:tcW w:w="1184" w:type="pct"/>
                  <w:vAlign w:val="center"/>
                </w:tcPr>
                <w:p w14:paraId="00845A6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w:t>
                  </w:r>
                </w:p>
              </w:tc>
              <w:tc>
                <w:tcPr>
                  <w:tcW w:w="1029" w:type="pct"/>
                  <w:vAlign w:val="center"/>
                </w:tcPr>
                <w:p w14:paraId="708DC6D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防有害弧光、熔融金属飞溅或粉尘和气溶胶</w:t>
                  </w:r>
                </w:p>
              </w:tc>
              <w:tc>
                <w:tcPr>
                  <w:tcW w:w="760" w:type="pct"/>
                  <w:vAlign w:val="center"/>
                </w:tcPr>
                <w:p w14:paraId="0A11E54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焊工</w:t>
                  </w:r>
                </w:p>
              </w:tc>
              <w:tc>
                <w:tcPr>
                  <w:tcW w:w="585" w:type="pct"/>
                  <w:vAlign w:val="center"/>
                </w:tcPr>
                <w:p w14:paraId="6B95723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2套</w:t>
                  </w:r>
                </w:p>
              </w:tc>
            </w:tr>
            <w:tr w14:paraId="025CC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1374E03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05C9B15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焊接工作服</w:t>
                  </w:r>
                </w:p>
              </w:tc>
              <w:tc>
                <w:tcPr>
                  <w:tcW w:w="1184" w:type="pct"/>
                  <w:vAlign w:val="center"/>
                </w:tcPr>
                <w:p w14:paraId="25A4FB8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 8965.2</w:t>
                  </w:r>
                </w:p>
              </w:tc>
              <w:tc>
                <w:tcPr>
                  <w:tcW w:w="1029" w:type="pct"/>
                  <w:vAlign w:val="center"/>
                </w:tcPr>
                <w:p w14:paraId="4552F26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焊接防护</w:t>
                  </w:r>
                </w:p>
              </w:tc>
              <w:tc>
                <w:tcPr>
                  <w:tcW w:w="760" w:type="pct"/>
                  <w:vAlign w:val="center"/>
                </w:tcPr>
                <w:p w14:paraId="1A29B99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焊工</w:t>
                  </w:r>
                </w:p>
              </w:tc>
              <w:tc>
                <w:tcPr>
                  <w:tcW w:w="585" w:type="pct"/>
                  <w:vAlign w:val="center"/>
                </w:tcPr>
                <w:p w14:paraId="4DC10EA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2套</w:t>
                  </w:r>
                </w:p>
              </w:tc>
            </w:tr>
            <w:tr w14:paraId="530A8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3C55029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2451765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焊接防护手套</w:t>
                  </w:r>
                </w:p>
              </w:tc>
              <w:tc>
                <w:tcPr>
                  <w:tcW w:w="1184" w:type="pct"/>
                  <w:vAlign w:val="center"/>
                </w:tcPr>
                <w:p w14:paraId="6435880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AQ 6103</w:t>
                  </w:r>
                </w:p>
              </w:tc>
              <w:tc>
                <w:tcPr>
                  <w:tcW w:w="1029" w:type="pct"/>
                  <w:vAlign w:val="center"/>
                </w:tcPr>
                <w:p w14:paraId="74B1272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焊接防护</w:t>
                  </w:r>
                </w:p>
              </w:tc>
              <w:tc>
                <w:tcPr>
                  <w:tcW w:w="760" w:type="pct"/>
                  <w:vAlign w:val="center"/>
                </w:tcPr>
                <w:p w14:paraId="4B37C12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焊工</w:t>
                  </w:r>
                </w:p>
              </w:tc>
              <w:tc>
                <w:tcPr>
                  <w:tcW w:w="585" w:type="pct"/>
                  <w:vAlign w:val="center"/>
                </w:tcPr>
                <w:p w14:paraId="34F9179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2套</w:t>
                  </w:r>
                </w:p>
              </w:tc>
            </w:tr>
            <w:tr w14:paraId="432C3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56F5FB1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35AEE64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安全带</w:t>
                  </w:r>
                </w:p>
              </w:tc>
              <w:tc>
                <w:tcPr>
                  <w:tcW w:w="1184" w:type="pct"/>
                  <w:vAlign w:val="center"/>
                </w:tcPr>
                <w:p w14:paraId="11C4A60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 6095</w:t>
                  </w:r>
                </w:p>
              </w:tc>
              <w:tc>
                <w:tcPr>
                  <w:tcW w:w="1029" w:type="pct"/>
                  <w:vAlign w:val="center"/>
                </w:tcPr>
                <w:p w14:paraId="402246E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防坠落</w:t>
                  </w:r>
                </w:p>
              </w:tc>
              <w:tc>
                <w:tcPr>
                  <w:tcW w:w="760" w:type="pct"/>
                  <w:vAlign w:val="center"/>
                </w:tcPr>
                <w:p w14:paraId="7E06655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电工、焊工、检维修工</w:t>
                  </w:r>
                </w:p>
              </w:tc>
              <w:tc>
                <w:tcPr>
                  <w:tcW w:w="585" w:type="pct"/>
                  <w:vAlign w:val="center"/>
                </w:tcPr>
                <w:p w14:paraId="566A32D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6套</w:t>
                  </w:r>
                </w:p>
              </w:tc>
            </w:tr>
            <w:tr w14:paraId="1D246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11C44CD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32C4F9A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自锁器/速差自控器</w:t>
                  </w:r>
                </w:p>
              </w:tc>
              <w:tc>
                <w:tcPr>
                  <w:tcW w:w="1184" w:type="pct"/>
                  <w:vAlign w:val="center"/>
                </w:tcPr>
                <w:p w14:paraId="49A92BF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GB24542/24544</w:t>
                  </w:r>
                </w:p>
              </w:tc>
              <w:tc>
                <w:tcPr>
                  <w:tcW w:w="1029" w:type="pct"/>
                  <w:vAlign w:val="center"/>
                </w:tcPr>
                <w:p w14:paraId="7A088F7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与安全带配合使用</w:t>
                  </w:r>
                </w:p>
              </w:tc>
              <w:tc>
                <w:tcPr>
                  <w:tcW w:w="760" w:type="pct"/>
                  <w:vAlign w:val="center"/>
                </w:tcPr>
                <w:p w14:paraId="35741E1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电工、焊工、检维修工</w:t>
                  </w:r>
                </w:p>
              </w:tc>
              <w:tc>
                <w:tcPr>
                  <w:tcW w:w="585" w:type="pct"/>
                  <w:vAlign w:val="center"/>
                </w:tcPr>
                <w:p w14:paraId="42B4621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6套</w:t>
                  </w:r>
                </w:p>
              </w:tc>
            </w:tr>
            <w:tr w14:paraId="14526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13" w:type="pct"/>
                  <w:vAlign w:val="center"/>
                </w:tcPr>
                <w:p w14:paraId="198194A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p>
              </w:tc>
              <w:tc>
                <w:tcPr>
                  <w:tcW w:w="1026" w:type="pct"/>
                  <w:vAlign w:val="center"/>
                </w:tcPr>
                <w:p w14:paraId="1B30FD0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自给开路式压缩空气呼吸器</w:t>
                  </w:r>
                </w:p>
              </w:tc>
              <w:tc>
                <w:tcPr>
                  <w:tcW w:w="1184" w:type="pct"/>
                  <w:vAlign w:val="center"/>
                </w:tcPr>
                <w:p w14:paraId="4166A82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GB/T 16556</w:t>
                  </w:r>
                </w:p>
              </w:tc>
              <w:tc>
                <w:tcPr>
                  <w:tcW w:w="1029" w:type="pct"/>
                  <w:vAlign w:val="center"/>
                </w:tcPr>
                <w:p w14:paraId="1A4E31D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阻隔有害气体</w:t>
                  </w:r>
                </w:p>
              </w:tc>
              <w:tc>
                <w:tcPr>
                  <w:tcW w:w="760" w:type="pct"/>
                  <w:vAlign w:val="center"/>
                </w:tcPr>
                <w:p w14:paraId="44DA019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检维修工</w:t>
                  </w:r>
                </w:p>
              </w:tc>
              <w:tc>
                <w:tcPr>
                  <w:tcW w:w="585" w:type="pct"/>
                  <w:vAlign w:val="center"/>
                </w:tcPr>
                <w:p w14:paraId="7A7C799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2套</w:t>
                  </w:r>
                </w:p>
              </w:tc>
            </w:tr>
          </w:tbl>
          <w:p w14:paraId="37812F6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注：个体劳动防护用品应在规定使用期限内使用，超过使用有效期或判废情况下，及时更换。</w:t>
            </w:r>
          </w:p>
          <w:p w14:paraId="7205681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bookmarkStart w:id="1213" w:name="_Toc511143588"/>
            <w:bookmarkStart w:id="1214" w:name="_Toc9428"/>
            <w:r>
              <w:rPr>
                <w:rFonts w:hint="eastAsia" w:ascii="宋体" w:hAnsi="宋体" w:eastAsia="宋体" w:cs="宋体"/>
                <w:b w:val="0"/>
                <w:bCs w:val="0"/>
                <w:sz w:val="21"/>
                <w:szCs w:val="21"/>
              </w:rPr>
              <w:t>（2）用人单位应为从业人员提供符合国家标准或者行业标准的劳动防护用品，并应培训人员熟练掌握个体防护装备正确佩戴和使用方法，监督作业人员的佩戴、使用情况。</w:t>
            </w:r>
          </w:p>
          <w:p w14:paraId="5478734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用人单位应建立健全个体防护装备管理制度，至少应包括采购、验收、保管、选择、发放、使用、报废、培训等内容，并建立健全个体防护装备管理档案。设置个体防护装备领用、发放登记卡片，在卡片上按标准签发品名与使用期限。</w:t>
            </w:r>
          </w:p>
          <w:p w14:paraId="2BEC75E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用人单位应在入库前对个体防护装备进行进货验收，确定产品是否符合国家或行业标准；对国家规定应进行定期强检的个体防护装备，用人单位应按相关规定，委托具有检测资质的检验检测机构进行定期检验。</w:t>
            </w:r>
          </w:p>
          <w:p w14:paraId="29737DA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（5）在作业过程中发现存在其他危害因素，现有个体防护装备不能满足作业安全要求，需要另外配备时，应立即停止相关作业，按照本部分的要求配备相应的个体防护装备后，方可继续作业。</w:t>
            </w:r>
          </w:p>
          <w:p w14:paraId="4EA830A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（6）用人单位应参照《个体防护装备配备规范 第1部分：总则》（GB 39800.1-2020）进行个体防护装备配备管理。</w:t>
            </w:r>
          </w:p>
          <w:p w14:paraId="255E7CD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（7）安全疏散安全措施</w:t>
            </w:r>
            <w:bookmarkEnd w:id="1213"/>
            <w:bookmarkEnd w:id="1214"/>
          </w:p>
          <w:p w14:paraId="34E7EA3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①厂房设置安全疏散通道、安全出口</w:t>
            </w:r>
            <w:r>
              <w:rPr>
                <w:rFonts w:hint="eastAsia" w:cs="宋体"/>
                <w:b w:val="0"/>
                <w:bCs w:val="0"/>
                <w:sz w:val="21"/>
                <w:szCs w:val="21"/>
                <w:lang w:eastAsia="zh-CN"/>
              </w:rPr>
              <w:t>疏散指示标志清晰</w:t>
            </w:r>
            <w:r>
              <w:rPr>
                <w:rFonts w:hint="eastAsia" w:ascii="宋体" w:hAnsi="宋体" w:eastAsia="宋体" w:cs="宋体"/>
                <w:b w:val="0"/>
                <w:bCs w:val="0"/>
                <w:sz w:val="21"/>
                <w:szCs w:val="21"/>
              </w:rPr>
              <w:t>、无遮挡；应急照明设施完整好用；</w:t>
            </w:r>
          </w:p>
          <w:p w14:paraId="401237D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②疏散通道、安全出口保持畅通，不得堵塞、占用、锁闭、分隔、并落实管理责任；</w:t>
            </w:r>
          </w:p>
          <w:p w14:paraId="15F4515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③定期进行应急疏散逃生能力演练，使全体员工熟悉本公司的疏散通道、安全出口、掌握疏散程序、逃生技能。</w:t>
            </w:r>
          </w:p>
          <w:p w14:paraId="58E0B56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bookmarkStart w:id="1215" w:name="_Toc511143589"/>
            <w:bookmarkStart w:id="1216" w:name="_Toc19103"/>
            <w:r>
              <w:rPr>
                <w:rFonts w:hint="eastAsia" w:ascii="宋体" w:hAnsi="宋体" w:eastAsia="宋体" w:cs="宋体"/>
                <w:b w:val="0"/>
                <w:bCs w:val="0"/>
                <w:sz w:val="21"/>
                <w:szCs w:val="21"/>
              </w:rPr>
              <w:t>（8）应急救援器材配置要求</w:t>
            </w:r>
            <w:bookmarkEnd w:id="1215"/>
            <w:bookmarkEnd w:id="1216"/>
          </w:p>
          <w:p w14:paraId="3F9CA2A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该项目由于从业人员较多，应配备完善齐全的应急救援器材。企业应根据应急救援物资负荷实用性、功能性、安全性、耐用性以及单位实际需要的要求。该企业应确保灭火器、应急照明系统处于完好运行状态，配备足够数量的对讲机、后勤保障车辆、各类警示牌、隔离警示带、出入口标志牌。</w:t>
            </w:r>
          </w:p>
          <w:p w14:paraId="6669AD6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应急救援物资明确专人管理，派专人对应急救援物资进行日常检查、定期维护保养；应急救援物资应存放在便于取用的固定场所，摆放整齐，不得随意摆放、挪作他用。应急救援物资的使用人员，接受相应的培训，熟悉装备的用途、技术性能及有关使用说明资料，并遵守操作规程。</w:t>
            </w:r>
            <w:bookmarkEnd w:id="1212"/>
          </w:p>
        </w:tc>
        <w:tc>
          <w:tcPr>
            <w:tcW w:w="1457" w:type="pct"/>
            <w:tcBorders>
              <w:top w:val="single" w:color="auto" w:sz="4" w:space="0"/>
              <w:left w:val="single" w:color="auto" w:sz="4" w:space="0"/>
              <w:bottom w:val="single" w:color="auto" w:sz="4" w:space="0"/>
              <w:right w:val="single" w:color="auto" w:sz="4" w:space="0"/>
            </w:tcBorders>
            <w:noWrap w:val="0"/>
            <w:vAlign w:val="center"/>
          </w:tcPr>
          <w:p w14:paraId="263C9C4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宋体" w:hAnsi="宋体" w:eastAsia="宋体" w:cs="宋体"/>
                <w:b w:val="0"/>
                <w:bCs w:val="0"/>
                <w:kern w:val="2"/>
                <w:sz w:val="21"/>
                <w:szCs w:val="21"/>
                <w:lang w:val="en-US" w:eastAsia="zh-CN" w:bidi="ar-SA"/>
              </w:rPr>
            </w:pPr>
            <w:r>
              <w:rPr>
                <w:rFonts w:hint="eastAsia" w:cs="宋体"/>
                <w:b w:val="0"/>
                <w:bCs w:val="0"/>
                <w:sz w:val="21"/>
                <w:szCs w:val="21"/>
                <w:lang w:val="en-US" w:eastAsia="zh-CN"/>
              </w:rPr>
              <w:t>已按安全设施设计要求配置劳保用品，并及时发放给员工。已对员工进行教育培训。</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2110825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5C779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9905C00">
            <w:pPr>
              <w:keepNext w:val="0"/>
              <w:keepLines w:val="0"/>
              <w:pageBreakBefore w:val="0"/>
              <w:widowControl w:val="0"/>
              <w:numPr>
                <w:ilvl w:val="0"/>
                <w:numId w:val="162"/>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D9C95C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安全警示标志、安全色、安全告知卡</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C6AF7D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3B1BA7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3A838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A02328D">
            <w:pPr>
              <w:keepNext w:val="0"/>
              <w:keepLines w:val="0"/>
              <w:pageBreakBefore w:val="0"/>
              <w:widowControl w:val="0"/>
              <w:numPr>
                <w:ilvl w:val="0"/>
                <w:numId w:val="163"/>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71720CE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微软雅黑" w:hAnsi="微软雅黑" w:eastAsia="微软雅黑" w:cs="微软雅黑"/>
                <w:b w:val="0"/>
                <w:bCs w:val="0"/>
                <w:sz w:val="21"/>
                <w:szCs w:val="21"/>
              </w:rPr>
            </w:pPr>
            <w:r>
              <w:rPr>
                <w:rFonts w:hint="eastAsia" w:ascii="宋体" w:hAnsi="宋体" w:eastAsia="宋体" w:cs="宋体"/>
                <w:b/>
                <w:bCs/>
                <w:sz w:val="21"/>
                <w:szCs w:val="21"/>
              </w:rPr>
              <w:t>安全警示标志</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A5D3F2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7CB57F8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73B35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A4ADE1D">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31C929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该项目厂内道路设置交通标志，其设置、位置、形式、尺寸、图案和颜色等符合《道路交通标志和标线》（GB5768）的规定。</w:t>
            </w:r>
          </w:p>
          <w:p w14:paraId="5A2F8C0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在容易发生事故的地方，《图形符号 安全色和安全标志 第5部分：安全标志使用原则与要求》（GB/T 2893.5-2020）设置安全标志。</w:t>
            </w:r>
          </w:p>
          <w:p w14:paraId="6D1AFF9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有限空间区域设置安全警示标识，如“有限空间严禁入内”等。</w:t>
            </w:r>
          </w:p>
          <w:p w14:paraId="3FCB4B8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生产车间存在火灾危险的部位设置“严禁烟火</w:t>
            </w:r>
            <w:r>
              <w:rPr>
                <w:rFonts w:hint="eastAsia" w:cs="宋体"/>
                <w:b w:val="0"/>
                <w:bCs w:val="0"/>
                <w:sz w:val="21"/>
                <w:szCs w:val="21"/>
                <w:lang w:eastAsia="zh-CN"/>
              </w:rPr>
              <w:t>”“</w:t>
            </w:r>
            <w:r>
              <w:rPr>
                <w:rFonts w:hint="eastAsia" w:ascii="宋体" w:hAnsi="宋体" w:eastAsia="宋体" w:cs="宋体"/>
                <w:b w:val="0"/>
                <w:bCs w:val="0"/>
                <w:sz w:val="21"/>
                <w:szCs w:val="21"/>
              </w:rPr>
              <w:t>严禁吸烟”等标志。</w:t>
            </w:r>
          </w:p>
          <w:p w14:paraId="751D123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疏散通道醒目处设置“禁止阻塞”标志，疏散通道门上设置“禁止锁闭”标志。</w:t>
            </w:r>
          </w:p>
          <w:p w14:paraId="7751C80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消防设备存放地点相应设置“灭火设备</w:t>
            </w:r>
            <w:r>
              <w:rPr>
                <w:rFonts w:hint="eastAsia" w:cs="宋体"/>
                <w:b w:val="0"/>
                <w:bCs w:val="0"/>
                <w:sz w:val="21"/>
                <w:szCs w:val="21"/>
                <w:lang w:eastAsia="zh-CN"/>
              </w:rPr>
              <w:t>”“</w:t>
            </w:r>
            <w:r>
              <w:rPr>
                <w:rFonts w:hint="eastAsia" w:ascii="宋体" w:hAnsi="宋体" w:eastAsia="宋体" w:cs="宋体"/>
                <w:b w:val="0"/>
                <w:bCs w:val="0"/>
                <w:sz w:val="21"/>
                <w:szCs w:val="21"/>
              </w:rPr>
              <w:t>灭火器”等标志。</w:t>
            </w:r>
          </w:p>
          <w:p w14:paraId="1774EB4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生产车间可能产生粉尘的设备设施部位设置“必须</w:t>
            </w:r>
            <w:r>
              <w:rPr>
                <w:rFonts w:hint="eastAsia" w:cs="宋体"/>
                <w:b w:val="0"/>
                <w:bCs w:val="0"/>
                <w:sz w:val="21"/>
                <w:szCs w:val="21"/>
                <w:lang w:eastAsia="zh-CN"/>
              </w:rPr>
              <w:t>戴</w:t>
            </w:r>
            <w:r>
              <w:rPr>
                <w:rFonts w:hint="eastAsia" w:ascii="宋体" w:hAnsi="宋体" w:eastAsia="宋体" w:cs="宋体"/>
                <w:b w:val="0"/>
                <w:bCs w:val="0"/>
                <w:sz w:val="21"/>
                <w:szCs w:val="21"/>
              </w:rPr>
              <w:t>口罩</w:t>
            </w:r>
            <w:r>
              <w:rPr>
                <w:rFonts w:hint="eastAsia" w:cs="宋体"/>
                <w:b w:val="0"/>
                <w:bCs w:val="0"/>
                <w:sz w:val="21"/>
                <w:szCs w:val="21"/>
                <w:lang w:eastAsia="zh-CN"/>
              </w:rPr>
              <w:t>”“</w:t>
            </w:r>
            <w:r>
              <w:rPr>
                <w:rFonts w:hint="eastAsia" w:ascii="宋体" w:hAnsi="宋体" w:eastAsia="宋体" w:cs="宋体"/>
                <w:b w:val="0"/>
                <w:bCs w:val="0"/>
                <w:sz w:val="21"/>
                <w:szCs w:val="21"/>
              </w:rPr>
              <w:t>粉尘有害”等警示标志。</w:t>
            </w:r>
          </w:p>
          <w:p w14:paraId="7B71BD3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易发生机械伤害的区域设置“当心机械伤害”等安全警示标志。</w:t>
            </w:r>
          </w:p>
          <w:p w14:paraId="5574749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空压机区域设置警示标志，如“噪声有害</w:t>
            </w:r>
            <w:r>
              <w:rPr>
                <w:rFonts w:hint="eastAsia" w:cs="宋体"/>
                <w:b w:val="0"/>
                <w:bCs w:val="0"/>
                <w:sz w:val="21"/>
                <w:szCs w:val="21"/>
                <w:lang w:eastAsia="zh-CN"/>
              </w:rPr>
              <w:t>”“</w:t>
            </w:r>
            <w:r>
              <w:rPr>
                <w:rFonts w:hint="eastAsia" w:ascii="宋体" w:hAnsi="宋体" w:eastAsia="宋体" w:cs="宋体"/>
                <w:b w:val="0"/>
                <w:bCs w:val="0"/>
                <w:sz w:val="21"/>
                <w:szCs w:val="21"/>
              </w:rPr>
              <w:t>必须</w:t>
            </w:r>
            <w:r>
              <w:rPr>
                <w:rFonts w:hint="eastAsia" w:cs="宋体"/>
                <w:b w:val="0"/>
                <w:bCs w:val="0"/>
                <w:sz w:val="21"/>
                <w:szCs w:val="21"/>
                <w:lang w:eastAsia="zh-CN"/>
              </w:rPr>
              <w:t>戴</w:t>
            </w:r>
            <w:r>
              <w:rPr>
                <w:rFonts w:hint="eastAsia" w:ascii="宋体" w:hAnsi="宋体" w:eastAsia="宋体" w:cs="宋体"/>
                <w:b w:val="0"/>
                <w:bCs w:val="0"/>
                <w:sz w:val="21"/>
                <w:szCs w:val="21"/>
              </w:rPr>
              <w:t>耳塞”等。</w:t>
            </w:r>
          </w:p>
          <w:p w14:paraId="6FAAADA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不准在电气设备中、供电线路上带电作业（无论高压或低压），停电作业时，采取措施让开关不能合闸，同时挂有“禁止合闸，有人工作”的标牌。</w:t>
            </w:r>
          </w:p>
          <w:p w14:paraId="01D410B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在可能导致触电的地点（如开关、刀闸等），悬挂标示牌和装设防护盖，并设置“当心触电”等警示标志。</w:t>
            </w:r>
          </w:p>
          <w:p w14:paraId="3F91456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车辆进出频繁，特别是各物料卸车、产品散装装车场所，设安全标识、停车限位器、防撞警示色；车辆行驶路线上方存在管线、走道等构筑物及进入车间的出入口等处设置限高标志。</w:t>
            </w:r>
          </w:p>
          <w:p w14:paraId="4321020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车间入口处设置逃生路线图。</w:t>
            </w:r>
          </w:p>
          <w:p w14:paraId="64577D1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标志牌设置的高度，尽量与人眼的视线高度相一致。悬挂式和柱式的环境信息标志牌的下缘距地面的高度不宜小于2m。局部信息标志的设置</w:t>
            </w:r>
            <w:r>
              <w:rPr>
                <w:rFonts w:hint="eastAsia" w:cs="宋体"/>
                <w:b w:val="0"/>
                <w:bCs w:val="0"/>
                <w:sz w:val="21"/>
                <w:szCs w:val="21"/>
                <w:lang w:eastAsia="zh-CN"/>
              </w:rPr>
              <w:t>高度重视</w:t>
            </w:r>
            <w:r>
              <w:rPr>
                <w:rFonts w:hint="eastAsia" w:ascii="宋体" w:hAnsi="宋体" w:eastAsia="宋体" w:cs="宋体"/>
                <w:b w:val="0"/>
                <w:bCs w:val="0"/>
                <w:sz w:val="21"/>
                <w:szCs w:val="21"/>
              </w:rPr>
              <w:t>具体情况确定。</w:t>
            </w:r>
          </w:p>
          <w:p w14:paraId="0B66BE3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标志牌设在与安全有关的醒目地方，并使大家看见后，有足够的时间来注意它所表示的内容。环境信息标志宜设在有关场所的入口处和醒目处。局部信息标志应设在所涉及的相应危险地点或设备（部件）附近的醒目处。</w:t>
            </w:r>
          </w:p>
          <w:p w14:paraId="7F9B015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标志牌不得设在门、窗、架等可移动的物体上，以免这些物体位置移动后，看不见安全标志。标志牌前不得放置妨碍认读的障碍物。</w:t>
            </w:r>
          </w:p>
          <w:p w14:paraId="74EF022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安全标志至少每半年检查一次，如发现有破损、变形、褪色等不符合要求时，及时修整或更换。</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62F66C2">
            <w:pPr>
              <w:keepNext w:val="0"/>
              <w:keepLines w:val="0"/>
              <w:pageBreakBefore w:val="0"/>
              <w:widowControl w:val="0"/>
              <w:numPr>
                <w:ilvl w:val="0"/>
                <w:numId w:val="0"/>
              </w:numPr>
              <w:suppressLineNumbers w:val="0"/>
              <w:tabs>
                <w:tab w:val="left" w:pos="-57"/>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color w:val="000000"/>
                <w:spacing w:val="-3"/>
                <w:kern w:val="2"/>
                <w:sz w:val="21"/>
                <w:szCs w:val="21"/>
                <w:lang w:val="en-US" w:eastAsia="zh-CN" w:bidi="ar-SA"/>
              </w:rPr>
            </w:pPr>
            <w:r>
              <w:rPr>
                <w:rFonts w:hint="eastAsia" w:ascii="宋体" w:hAnsi="宋体" w:eastAsia="宋体" w:cs="宋体"/>
                <w:color w:val="000000"/>
                <w:spacing w:val="-3"/>
                <w:sz w:val="21"/>
                <w:szCs w:val="21"/>
                <w:lang w:val="en-US" w:eastAsia="zh-CN"/>
              </w:rPr>
              <w:t>安全标志的设置符合规范</w:t>
            </w:r>
            <w:r>
              <w:rPr>
                <w:rFonts w:hint="eastAsia" w:cs="宋体"/>
                <w:color w:val="000000"/>
                <w:spacing w:val="-3"/>
                <w:sz w:val="21"/>
                <w:szCs w:val="21"/>
                <w:lang w:val="en-US"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10D418EB">
            <w:pPr>
              <w:keepNext w:val="0"/>
              <w:keepLines w:val="0"/>
              <w:pageBreakBefore w:val="0"/>
              <w:widowControl w:val="0"/>
              <w:numPr>
                <w:ilvl w:val="0"/>
                <w:numId w:val="0"/>
              </w:numPr>
              <w:suppressLineNumbers w:val="0"/>
              <w:tabs>
                <w:tab w:val="left" w:pos="-57"/>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color w:val="000000"/>
                <w:spacing w:val="-3"/>
                <w:kern w:val="2"/>
                <w:sz w:val="21"/>
                <w:szCs w:val="21"/>
                <w:lang w:val="en-US" w:eastAsia="zh-CN" w:bidi="ar-SA"/>
              </w:rPr>
            </w:pPr>
            <w:r>
              <w:rPr>
                <w:rFonts w:hint="eastAsia" w:ascii="宋体" w:hAnsi="宋体" w:eastAsia="宋体" w:cs="宋体"/>
                <w:color w:val="000000"/>
                <w:spacing w:val="-3"/>
                <w:sz w:val="21"/>
                <w:szCs w:val="21"/>
                <w:lang w:val="en-US" w:eastAsia="zh-CN"/>
              </w:rPr>
              <w:t>符合</w:t>
            </w:r>
          </w:p>
        </w:tc>
      </w:tr>
      <w:tr w14:paraId="4A081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D5A5FD4">
            <w:pPr>
              <w:keepNext w:val="0"/>
              <w:keepLines w:val="0"/>
              <w:pageBreakBefore w:val="0"/>
              <w:widowControl w:val="0"/>
              <w:numPr>
                <w:ilvl w:val="0"/>
                <w:numId w:val="163"/>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5EF0A9A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安全色</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FF8BA4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0C30274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04A9D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5584EEE">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CBD2EB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车间内邻近车辆通道的设备设施及立柱，设置相应的防撞设施，并涂以醒目的安全警示色。</w:t>
            </w:r>
          </w:p>
          <w:p w14:paraId="10B712D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该项目内涉及各类管道按照《工业管道的基本识别色、识别符号和安全标识》（GB7231-2003）的要求涂刷安全色并进行管道标识。压缩空气管道建议采用灰色安全色，并标识介质流向、压力等参数。</w:t>
            </w:r>
          </w:p>
          <w:p w14:paraId="5A5A26C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灭火器等消防用具采用红色标识。</w:t>
            </w:r>
          </w:p>
          <w:p w14:paraId="5782D1D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安全通道采用绿色标识。</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5212B8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spacing w:val="-3"/>
                <w:sz w:val="21"/>
                <w:szCs w:val="21"/>
                <w:lang w:val="en-US" w:eastAsia="zh-CN"/>
              </w:rPr>
            </w:pPr>
            <w:r>
              <w:rPr>
                <w:rFonts w:hint="eastAsia" w:ascii="宋体" w:hAnsi="宋体" w:eastAsia="宋体" w:cs="宋体"/>
                <w:color w:val="000000"/>
                <w:spacing w:val="-3"/>
                <w:sz w:val="21"/>
                <w:szCs w:val="21"/>
                <w:lang w:val="en-US" w:eastAsia="zh-CN"/>
              </w:rPr>
              <w:t>安全色的设置符合规范</w:t>
            </w:r>
            <w:r>
              <w:rPr>
                <w:rFonts w:hint="eastAsia" w:cs="宋体"/>
                <w:color w:val="000000"/>
                <w:spacing w:val="-3"/>
                <w:sz w:val="21"/>
                <w:szCs w:val="21"/>
                <w:lang w:val="en-US"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4A1C715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pacing w:val="-3"/>
                <w:sz w:val="21"/>
                <w:szCs w:val="21"/>
                <w:lang w:val="en-US" w:eastAsia="zh-CN"/>
              </w:rPr>
              <w:t>符合</w:t>
            </w:r>
          </w:p>
        </w:tc>
      </w:tr>
      <w:tr w14:paraId="5F2CC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B4DAB5A">
            <w:pPr>
              <w:keepNext w:val="0"/>
              <w:keepLines w:val="0"/>
              <w:pageBreakBefore w:val="0"/>
              <w:widowControl w:val="0"/>
              <w:numPr>
                <w:ilvl w:val="0"/>
                <w:numId w:val="163"/>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8F6127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安全告知卡</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53F558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0E6DD9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E3BD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593EC19">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F5063A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在醒目位置设置公告栏，公布有安全的规章制度、操作规程、事故应急措施等。</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953131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default" w:ascii="宋体" w:hAnsi="宋体" w:eastAsia="宋体" w:cs="宋体"/>
                <w:b w:val="0"/>
                <w:bCs w:val="0"/>
                <w:sz w:val="21"/>
                <w:szCs w:val="21"/>
                <w:lang w:val="en-US" w:eastAsia="zh-CN"/>
              </w:rPr>
            </w:pPr>
            <w:r>
              <w:rPr>
                <w:rFonts w:hint="eastAsia" w:cs="宋体"/>
                <w:b w:val="0"/>
                <w:bCs w:val="0"/>
                <w:sz w:val="21"/>
                <w:szCs w:val="21"/>
                <w:lang w:val="en-US" w:eastAsia="zh-CN"/>
              </w:rPr>
              <w:t>安全告知</w:t>
            </w:r>
            <w:r>
              <w:rPr>
                <w:rFonts w:hint="eastAsia" w:ascii="宋体" w:hAnsi="宋体" w:eastAsia="宋体" w:cs="宋体"/>
                <w:color w:val="000000"/>
                <w:spacing w:val="-3"/>
                <w:sz w:val="21"/>
                <w:szCs w:val="21"/>
                <w:lang w:val="en-US" w:eastAsia="zh-CN"/>
              </w:rPr>
              <w:t>的设置符合规范</w:t>
            </w:r>
            <w:r>
              <w:rPr>
                <w:rFonts w:hint="eastAsia" w:cs="宋体"/>
                <w:color w:val="000000"/>
                <w:spacing w:val="-3"/>
                <w:sz w:val="21"/>
                <w:szCs w:val="21"/>
                <w:lang w:val="en-US"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3E9A182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pacing w:val="-3"/>
                <w:sz w:val="21"/>
                <w:szCs w:val="21"/>
                <w:lang w:val="en-US" w:eastAsia="zh-CN"/>
              </w:rPr>
              <w:t>符合</w:t>
            </w:r>
          </w:p>
        </w:tc>
      </w:tr>
      <w:tr w14:paraId="72529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6CBAA49F">
            <w:pPr>
              <w:keepNext w:val="0"/>
              <w:keepLines w:val="0"/>
              <w:pageBreakBefore w:val="0"/>
              <w:widowControl w:val="0"/>
              <w:numPr>
                <w:ilvl w:val="0"/>
                <w:numId w:val="162"/>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0A345E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医疗抢救机构</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F58C9E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A69614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392B6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3580131A">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D7F4A5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该项目医疗抢救机构依托于当地120急救中心。</w:t>
            </w:r>
          </w:p>
          <w:p w14:paraId="0754F15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根据有关法律法规的要求，制定生产安全事故应急预案，配备应急物资，包括担架、医疗药品等；运行过程中若发生人身伤害事故，可进行前期医疗救治。</w:t>
            </w:r>
          </w:p>
          <w:p w14:paraId="02D2DBF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该项目在厂区内控制室设置急救药箱，根据《工业企业设计卫生标准》（GBZ 1-2010）附录A表A.4进行急救箱配置。</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E55849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cs="宋体"/>
                <w:b w:val="0"/>
                <w:bCs w:val="0"/>
                <w:sz w:val="21"/>
                <w:szCs w:val="21"/>
                <w:lang w:val="en-US" w:eastAsia="zh-CN"/>
              </w:rPr>
              <w:t>与当地医疗救护机构签订有救护协议；配备有</w:t>
            </w:r>
            <w:r>
              <w:rPr>
                <w:rFonts w:hint="eastAsia" w:ascii="宋体" w:hAnsi="宋体" w:eastAsia="宋体" w:cs="宋体"/>
                <w:b w:val="0"/>
                <w:bCs w:val="0"/>
                <w:sz w:val="21"/>
                <w:szCs w:val="21"/>
              </w:rPr>
              <w:t>担架、医疗药品</w:t>
            </w:r>
            <w:r>
              <w:rPr>
                <w:rFonts w:hint="eastAsia" w:cs="宋体"/>
                <w:b w:val="0"/>
                <w:bCs w:val="0"/>
                <w:sz w:val="21"/>
                <w:szCs w:val="21"/>
                <w:lang w:eastAsia="zh-CN"/>
              </w:rPr>
              <w:t>，</w:t>
            </w:r>
            <w:r>
              <w:rPr>
                <w:rFonts w:hint="eastAsia" w:cs="宋体"/>
                <w:b w:val="0"/>
                <w:bCs w:val="0"/>
                <w:sz w:val="21"/>
                <w:szCs w:val="21"/>
                <w:lang w:val="en-US" w:eastAsia="zh-CN"/>
              </w:rPr>
              <w:t>指定专人维护保养。</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42FB97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kern w:val="2"/>
                <w:sz w:val="21"/>
                <w:szCs w:val="21"/>
                <w:lang w:val="en-US" w:eastAsia="zh-CN" w:bidi="ar-SA"/>
              </w:rPr>
            </w:pPr>
            <w:r>
              <w:rPr>
                <w:rFonts w:hint="eastAsia" w:cs="宋体"/>
                <w:sz w:val="21"/>
                <w:szCs w:val="21"/>
                <w:lang w:val="en-US" w:eastAsia="zh-CN"/>
              </w:rPr>
              <w:t>符合</w:t>
            </w:r>
          </w:p>
        </w:tc>
      </w:tr>
      <w:tr w14:paraId="2F6A6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60A7592">
            <w:pPr>
              <w:keepNext w:val="0"/>
              <w:keepLines w:val="0"/>
              <w:pageBreakBefore w:val="0"/>
              <w:widowControl w:val="0"/>
              <w:numPr>
                <w:ilvl w:val="0"/>
                <w:numId w:val="162"/>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789021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特殊作业安全措施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2800A14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5E3227C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6BE6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5DB39E1">
            <w:pPr>
              <w:keepNext w:val="0"/>
              <w:keepLines w:val="0"/>
              <w:pageBreakBefore w:val="0"/>
              <w:widowControl w:val="0"/>
              <w:numPr>
                <w:ilvl w:val="0"/>
                <w:numId w:val="164"/>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F7CBE4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通用要求</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0C53BA4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30F65F9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06B7F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01CA13C">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013B88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特殊作业前，企业应组织作业单位对作业现场和作业过程中可能存在的危险有害因素进行辨识，开展作业危害分析，制定相应的安全风险管控措施；企业应采取措施对拟作业的设备设施、管线进行处理，确保满足相应作业安全要求。企业应对参加作业的人员进行安全措施交底；企业应组织作业单位对作业现场及作业涉及的设备、设施、工器具等进行检查；企业应组织办理作业审批手续，并由相关责任人签字审批。同一作业涉及两种或两种以上特殊作业时，应同时执行各自作业要求，办理相应的作业审批手续。</w:t>
            </w:r>
          </w:p>
          <w:p w14:paraId="4F9BBF3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进入特殊作业现场的人员应正确佩戴满足GB 39800.1要求的个体防护装备。特殊作业时，审批手续应齐全、安全措施应全部落实、作业环境应符合安全要求。</w:t>
            </w:r>
          </w:p>
          <w:p w14:paraId="250320C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同一作业区域应减少、控制多工种、多层次交叉作业，最大限度避免交叉作业；交叉作业应由企业指定专人统一协调管理，作业前要组织开展交叉作业风险辨识，采取可靠的保护措施，并保持作业之间信息畅通，确保作业安全。</w:t>
            </w:r>
          </w:p>
          <w:p w14:paraId="040C776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当生产装置或作业现场出现异常，可能危及作业人员安全时，作业人员应立即停止作业，迅速撤离，并及时通知相关单位及人员。</w:t>
            </w:r>
          </w:p>
          <w:p w14:paraId="6D4DD52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特殊作业涉及的特种作业和特种设备作业人员应取得相应资格证书，持证上岗。界定为GBZ/T 260中规定的职业禁忌证者不应参与相应作业。</w:t>
            </w:r>
          </w:p>
          <w:p w14:paraId="5DF81DF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特殊作业期间应设监护人。监护人应由具有生产（作业）实践经验的人员担任，并经专项培训考试合格，佩戴明显标识，持培训合格证上岗。</w:t>
            </w:r>
          </w:p>
          <w:p w14:paraId="12A2D8C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⑦</w:t>
            </w:r>
            <w:r>
              <w:rPr>
                <w:rFonts w:hint="eastAsia" w:ascii="宋体" w:hAnsi="宋体" w:eastAsia="宋体" w:cs="宋体"/>
                <w:b w:val="0"/>
                <w:bCs w:val="0"/>
                <w:sz w:val="21"/>
                <w:szCs w:val="21"/>
              </w:rPr>
              <w:t>特殊作业完毕后，应及时恢复作业时拆移的盖板、尊子板、扶手、栏杆、防护罩等安全设施的使用功能，恢复临时封闭的沟渠或地井，并清理作业现场，恢复原状。作业完毕，应及时进行验收确认。</w:t>
            </w:r>
          </w:p>
          <w:p w14:paraId="0C627B9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⑧</w:t>
            </w:r>
            <w:r>
              <w:rPr>
                <w:rFonts w:hint="eastAsia" w:ascii="宋体" w:hAnsi="宋体" w:eastAsia="宋体" w:cs="宋体"/>
                <w:b w:val="0"/>
                <w:bCs w:val="0"/>
                <w:sz w:val="21"/>
                <w:szCs w:val="21"/>
              </w:rPr>
              <w:t>特殊作业内容变更、作业范围扩大、作业地点转移或超过安全作业票有效期限时，应重新办理安全作业票。</w:t>
            </w:r>
          </w:p>
          <w:p w14:paraId="392D40E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⑨</w:t>
            </w:r>
            <w:r>
              <w:rPr>
                <w:rFonts w:hint="eastAsia" w:ascii="宋体" w:hAnsi="宋体" w:eastAsia="宋体" w:cs="宋体"/>
                <w:b w:val="0"/>
                <w:bCs w:val="0"/>
                <w:sz w:val="21"/>
                <w:szCs w:val="21"/>
              </w:rPr>
              <w:t>工艺条件、作业条件、作业方式或作业环境改变时，应重新进行作业危害分析，核对风险管控措施，重新办理安全作业票。</w:t>
            </w:r>
          </w:p>
          <w:p w14:paraId="0E8D777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⑩</w:t>
            </w:r>
            <w:r>
              <w:rPr>
                <w:rFonts w:hint="eastAsia" w:ascii="宋体" w:hAnsi="宋体" w:eastAsia="宋体" w:cs="宋体"/>
                <w:b w:val="0"/>
                <w:bCs w:val="0"/>
                <w:sz w:val="21"/>
                <w:szCs w:val="21"/>
              </w:rPr>
              <w:t>安全作业票应规范填写，不得涂改。</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1895D0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default" w:ascii="宋体" w:hAnsi="宋体" w:eastAsia="宋体" w:cs="宋体"/>
                <w:b w:val="0"/>
                <w:bCs w:val="0"/>
                <w:sz w:val="21"/>
                <w:szCs w:val="21"/>
                <w:lang w:val="en-US"/>
              </w:rPr>
            </w:pPr>
            <w:r>
              <w:rPr>
                <w:rFonts w:hint="eastAsia" w:cs="宋体"/>
                <w:b w:val="0"/>
                <w:bCs w:val="0"/>
                <w:sz w:val="21"/>
                <w:szCs w:val="21"/>
                <w:lang w:val="en-US" w:eastAsia="zh-CN"/>
              </w:rPr>
              <w:t>已按安全设施设计要求严格执行特殊作业的规定。</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6D5DC7AE">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03035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8F1BD91">
            <w:pPr>
              <w:keepNext w:val="0"/>
              <w:keepLines w:val="0"/>
              <w:pageBreakBefore w:val="0"/>
              <w:widowControl w:val="0"/>
              <w:numPr>
                <w:ilvl w:val="0"/>
                <w:numId w:val="164"/>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D7A158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动火作业安全措施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0505C3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01C3538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2947F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0CFBC0C">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2B0A6F9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公司安全部门登记审批划定“固定动火区”，固定动火区外的动火作业分为特级动火、一级动火和二级动火三个级别；遇节假日、公休日、夜间或其他特殊情况，动火作业应升级管理。</w:t>
            </w:r>
          </w:p>
          <w:p w14:paraId="4A67980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固定动火区的设定应由企业审批后确定，设置明显标志；应每年至少对固定动火区进行一次风险辨识，周围环境发生变化时，危险化学品企业应及时辨识、重新划定。</w:t>
            </w:r>
          </w:p>
          <w:p w14:paraId="0340D3F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生产装置或系统全部停车，装置经清洗、置换、分析合格并采取安全隔离措施后，根据其火灾、爆炸危险性大小，经企业生产负责人或安全管理负责人批准，动火作业可按二级动火作业管理。《特级、一级动火安全作业票》有效期不应超过8h；《二级动火安全作业票》有效期不应超过72h。</w:t>
            </w:r>
          </w:p>
          <w:p w14:paraId="690F4DE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动火作业应有专人监护</w:t>
            </w:r>
            <w:r>
              <w:rPr>
                <w:rFonts w:hint="eastAsia" w:cs="宋体"/>
                <w:b w:val="0"/>
                <w:bCs w:val="0"/>
                <w:sz w:val="21"/>
                <w:szCs w:val="21"/>
                <w:lang w:eastAsia="zh-CN"/>
              </w:rPr>
              <w:t>，</w:t>
            </w:r>
            <w:r>
              <w:rPr>
                <w:rFonts w:hint="eastAsia" w:ascii="宋体" w:hAnsi="宋体" w:eastAsia="宋体" w:cs="宋体"/>
                <w:b w:val="0"/>
                <w:bCs w:val="0"/>
                <w:sz w:val="21"/>
                <w:szCs w:val="21"/>
              </w:rPr>
              <w:t>作业前应清除动火现场及周围的易燃物品，或采取其他有效安全防火措施，并配备消防器材，满足作业现场应急需求。</w:t>
            </w:r>
          </w:p>
          <w:p w14:paraId="0B2CFEE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动火作业必须严格控制，尽量减少动火次数。动火作业前必须办理《动火安全作业票》，设备、装置、管道及其周围动火必须经安全部门审批，特殊危险动火须由厂长审批，并采取防范措施。</w:t>
            </w:r>
          </w:p>
          <w:p w14:paraId="583B95D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动火作业必须在《动火安全作业票》批准的有效时间和范围内进行，若超过动火有效时间或补充动火都必须重新检测、分析，重新办理《动火安全作业票》。</w:t>
            </w:r>
          </w:p>
          <w:p w14:paraId="00EF721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⑦</w:t>
            </w:r>
            <w:r>
              <w:rPr>
                <w:rFonts w:hint="eastAsia" w:ascii="宋体" w:hAnsi="宋体" w:eastAsia="宋体" w:cs="宋体"/>
                <w:b w:val="0"/>
                <w:bCs w:val="0"/>
                <w:sz w:val="21"/>
                <w:szCs w:val="21"/>
              </w:rPr>
              <w:t>动火作业应有专人监护</w:t>
            </w:r>
            <w:r>
              <w:rPr>
                <w:rFonts w:hint="eastAsia" w:cs="宋体"/>
                <w:b w:val="0"/>
                <w:bCs w:val="0"/>
                <w:sz w:val="21"/>
                <w:szCs w:val="21"/>
                <w:lang w:eastAsia="zh-CN"/>
              </w:rPr>
              <w:t>，</w:t>
            </w:r>
            <w:r>
              <w:rPr>
                <w:rFonts w:hint="eastAsia" w:ascii="宋体" w:hAnsi="宋体" w:eastAsia="宋体" w:cs="宋体"/>
                <w:b w:val="0"/>
                <w:bCs w:val="0"/>
                <w:sz w:val="21"/>
                <w:szCs w:val="21"/>
              </w:rPr>
              <w:t>作业前应清除动火现场及周围的易燃物品，或采取其他有效安全防火措施，并配备消防器材，满足作业现场应急需求。</w:t>
            </w:r>
          </w:p>
          <w:p w14:paraId="7CF84C7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⑧</w:t>
            </w:r>
            <w:r>
              <w:rPr>
                <w:rFonts w:hint="eastAsia" w:ascii="宋体" w:hAnsi="宋体" w:eastAsia="宋体" w:cs="宋体"/>
                <w:b w:val="0"/>
                <w:bCs w:val="0"/>
                <w:sz w:val="21"/>
                <w:szCs w:val="21"/>
              </w:rPr>
              <w:t>动火作业完毕后应清理现场，确认无残留火种后方可离开。</w:t>
            </w:r>
          </w:p>
          <w:p w14:paraId="5C9A845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⑨</w:t>
            </w:r>
            <w:r>
              <w:rPr>
                <w:rFonts w:hint="eastAsia" w:ascii="宋体" w:hAnsi="宋体" w:eastAsia="宋体" w:cs="宋体"/>
                <w:b w:val="0"/>
                <w:bCs w:val="0"/>
                <w:sz w:val="21"/>
                <w:szCs w:val="21"/>
              </w:rPr>
              <w:t>遇五级风以上（含五级风）天气，禁止露天动火作业；因生产确需动火，动火作业应升级管理。</w:t>
            </w:r>
          </w:p>
          <w:p w14:paraId="58A8E19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⑩</w:t>
            </w:r>
            <w:r>
              <w:rPr>
                <w:rFonts w:hint="eastAsia" w:ascii="宋体" w:hAnsi="宋体" w:eastAsia="宋体" w:cs="宋体"/>
                <w:b w:val="0"/>
                <w:bCs w:val="0"/>
                <w:sz w:val="21"/>
                <w:szCs w:val="21"/>
              </w:rPr>
              <w:t>具体的动火作业要求参照《危险化学品企业特殊作业安全规范》（GB 30871-2022）。</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5A4701DB">
            <w:pPr>
              <w:keepNext w:val="0"/>
              <w:keepLines w:val="0"/>
              <w:pageBreakBefore w:val="0"/>
              <w:widowControl w:val="0"/>
              <w:numPr>
                <w:ilvl w:val="0"/>
                <w:numId w:val="0"/>
              </w:numPr>
              <w:suppressLineNumbers w:val="0"/>
              <w:tabs>
                <w:tab w:val="left" w:pos="-57"/>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color w:val="000000"/>
                <w:spacing w:val="-3"/>
                <w:kern w:val="2"/>
                <w:sz w:val="21"/>
                <w:szCs w:val="21"/>
                <w:lang w:val="en-US" w:eastAsia="zh-CN" w:bidi="ar-SA"/>
              </w:rPr>
            </w:pPr>
            <w:r>
              <w:rPr>
                <w:rFonts w:hint="eastAsia" w:cs="宋体"/>
                <w:color w:val="000000"/>
                <w:spacing w:val="-3"/>
                <w:sz w:val="21"/>
                <w:szCs w:val="21"/>
                <w:lang w:val="en-US" w:eastAsia="zh-CN"/>
              </w:rPr>
              <w:t>动火</w:t>
            </w:r>
            <w:r>
              <w:rPr>
                <w:rFonts w:hint="eastAsia" w:ascii="宋体" w:hAnsi="宋体" w:eastAsia="宋体" w:cs="宋体"/>
                <w:color w:val="000000"/>
                <w:spacing w:val="-3"/>
                <w:sz w:val="21"/>
                <w:szCs w:val="21"/>
                <w:lang w:val="en-US" w:eastAsia="zh-CN"/>
              </w:rPr>
              <w:t>作业</w:t>
            </w:r>
            <w:r>
              <w:rPr>
                <w:rFonts w:hint="eastAsia" w:cs="宋体"/>
                <w:color w:val="000000"/>
                <w:spacing w:val="-3"/>
                <w:sz w:val="21"/>
                <w:szCs w:val="21"/>
                <w:lang w:val="en-US" w:eastAsia="zh-CN"/>
              </w:rPr>
              <w:t>按要求落实</w:t>
            </w:r>
            <w:r>
              <w:rPr>
                <w:rFonts w:hint="eastAsia" w:ascii="宋体" w:hAnsi="宋体" w:eastAsia="宋体" w:cs="宋体"/>
                <w:color w:val="000000"/>
                <w:spacing w:val="-3"/>
                <w:sz w:val="21"/>
                <w:szCs w:val="21"/>
                <w:lang w:val="en-US" w:eastAsia="zh-CN"/>
              </w:rPr>
              <w:t>安全防护措施</w:t>
            </w:r>
            <w:r>
              <w:rPr>
                <w:rFonts w:hint="eastAsia" w:cs="宋体"/>
                <w:color w:val="000000"/>
                <w:spacing w:val="-3"/>
                <w:sz w:val="21"/>
                <w:szCs w:val="21"/>
                <w:lang w:val="en-US" w:eastAsia="zh-CN"/>
              </w:rPr>
              <w:t>。</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01FB591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rPr>
              <w:t>符合</w:t>
            </w:r>
          </w:p>
        </w:tc>
      </w:tr>
      <w:tr w14:paraId="5DDB5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1CDCC912">
            <w:pPr>
              <w:keepNext w:val="0"/>
              <w:keepLines w:val="0"/>
              <w:pageBreakBefore w:val="0"/>
              <w:widowControl w:val="0"/>
              <w:numPr>
                <w:ilvl w:val="0"/>
                <w:numId w:val="164"/>
              </w:numPr>
              <w:suppressLineNumbers w:val="0"/>
              <w:kinsoku/>
              <w:wordWrap/>
              <w:overflowPunct/>
              <w:topLinePunct/>
              <w:autoSpaceDE/>
              <w:autoSpaceDN/>
              <w:bidi w:val="0"/>
              <w:adjustRightInd/>
              <w:snapToGrid w:val="0"/>
              <w:spacing w:before="0" w:beforeAutospacing="0" w:after="0" w:afterAutospacing="0" w:line="240" w:lineRule="auto"/>
              <w:ind w:left="454" w:leftChars="0" w:right="0" w:rightChars="0" w:hanging="454"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6BBFA358">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有限空间作业安全措施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1748453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03224D6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4490A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5473D95B">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040E3AE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根据《工贸企业有限空间作业安全规定》（中华人民共和国应急管理部令第13号，自2024年1月1日起施行）对本项目有限空间进行辨识并进行风险分级。进入上述设备或场所进行检修或清理作业属于有限空间作业，必须严格执行《工贸企业有限空间作业安全规定》，先通风、再检测、有监护、后作业要求，认真落实以下防范措施：</w:t>
            </w:r>
          </w:p>
          <w:p w14:paraId="30F723D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①</w:t>
            </w:r>
            <w:r>
              <w:rPr>
                <w:rFonts w:hint="eastAsia" w:ascii="宋体" w:hAnsi="宋体" w:eastAsia="宋体" w:cs="宋体"/>
                <w:b w:val="0"/>
                <w:bCs w:val="0"/>
                <w:sz w:val="21"/>
                <w:szCs w:val="21"/>
              </w:rPr>
              <w:t>进入有限空间作业场所进行作业必须事先获得厂长的批准，并办理有限空间作业的相关手续，采取许可证制度（有限空间作业票制度）。</w:t>
            </w:r>
          </w:p>
          <w:p w14:paraId="14259F4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②</w:t>
            </w:r>
            <w:r>
              <w:rPr>
                <w:rFonts w:hint="eastAsia" w:ascii="宋体" w:hAnsi="宋体" w:eastAsia="宋体" w:cs="宋体"/>
                <w:b w:val="0"/>
                <w:bCs w:val="0"/>
                <w:sz w:val="21"/>
                <w:szCs w:val="21"/>
              </w:rPr>
              <w:t>人员进入前必须对密闭处所进行充足的通风（配备移动式防爆风机），</w:t>
            </w:r>
            <w:r>
              <w:rPr>
                <w:rFonts w:hint="eastAsia" w:cs="宋体"/>
                <w:b w:val="0"/>
                <w:bCs w:val="0"/>
                <w:sz w:val="21"/>
                <w:szCs w:val="21"/>
                <w:lang w:eastAsia="zh-CN"/>
              </w:rPr>
              <w:t>确保</w:t>
            </w:r>
            <w:r>
              <w:rPr>
                <w:rFonts w:hint="eastAsia" w:ascii="宋体" w:hAnsi="宋体" w:eastAsia="宋体" w:cs="宋体"/>
                <w:b w:val="0"/>
                <w:bCs w:val="0"/>
                <w:sz w:val="21"/>
                <w:szCs w:val="21"/>
              </w:rPr>
              <w:t>符合人员安全</w:t>
            </w:r>
            <w:r>
              <w:rPr>
                <w:rFonts w:hint="eastAsia" w:cs="宋体"/>
                <w:b w:val="0"/>
                <w:bCs w:val="0"/>
                <w:sz w:val="21"/>
                <w:szCs w:val="21"/>
                <w:lang w:eastAsia="zh-CN"/>
              </w:rPr>
              <w:t>进入</w:t>
            </w:r>
            <w:r>
              <w:rPr>
                <w:rFonts w:hint="eastAsia" w:ascii="宋体" w:hAnsi="宋体" w:eastAsia="宋体" w:cs="宋体"/>
                <w:b w:val="0"/>
                <w:bCs w:val="0"/>
                <w:sz w:val="21"/>
                <w:szCs w:val="21"/>
              </w:rPr>
              <w:t>作业的条件。</w:t>
            </w:r>
          </w:p>
          <w:p w14:paraId="025B5F6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③</w:t>
            </w:r>
            <w:r>
              <w:rPr>
                <w:rFonts w:hint="eastAsia" w:ascii="宋体" w:hAnsi="宋体" w:eastAsia="宋体" w:cs="宋体"/>
                <w:b w:val="0"/>
                <w:bCs w:val="0"/>
                <w:sz w:val="21"/>
                <w:szCs w:val="21"/>
              </w:rPr>
              <w:t>在容积小的储罐及设备实施电气焊割时，点火和熄火在外部进行。</w:t>
            </w:r>
          </w:p>
          <w:p w14:paraId="06679D4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④</w:t>
            </w:r>
            <w:r>
              <w:rPr>
                <w:rFonts w:hint="eastAsia" w:ascii="宋体" w:hAnsi="宋体" w:eastAsia="宋体" w:cs="宋体"/>
                <w:b w:val="0"/>
                <w:bCs w:val="0"/>
                <w:sz w:val="21"/>
                <w:szCs w:val="21"/>
              </w:rPr>
              <w:t>有限空间有动力装卸设施应予以上锁与挂牌。</w:t>
            </w:r>
          </w:p>
          <w:p w14:paraId="500982B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⑤</w:t>
            </w:r>
            <w:r>
              <w:rPr>
                <w:rFonts w:hint="eastAsia" w:ascii="宋体" w:hAnsi="宋体" w:eastAsia="宋体" w:cs="宋体"/>
                <w:b w:val="0"/>
                <w:bCs w:val="0"/>
                <w:sz w:val="21"/>
                <w:szCs w:val="21"/>
              </w:rPr>
              <w:t>进入有限空间处所人员应穿戴适宜的个人防护装备，包括使用安全带、供氧瓶等。</w:t>
            </w:r>
          </w:p>
          <w:p w14:paraId="17E9643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⑥</w:t>
            </w:r>
            <w:r>
              <w:rPr>
                <w:rFonts w:hint="eastAsia" w:ascii="宋体" w:hAnsi="宋体" w:eastAsia="宋体" w:cs="宋体"/>
                <w:b w:val="0"/>
                <w:bCs w:val="0"/>
                <w:sz w:val="21"/>
                <w:szCs w:val="21"/>
              </w:rPr>
              <w:t>进入有限空间应使用电压不大于12V的防爆安全行灯。</w:t>
            </w:r>
          </w:p>
          <w:p w14:paraId="6FB7760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⑦</w:t>
            </w:r>
            <w:r>
              <w:rPr>
                <w:rFonts w:hint="eastAsia" w:ascii="宋体" w:hAnsi="宋体" w:eastAsia="宋体" w:cs="宋体"/>
                <w:b w:val="0"/>
                <w:bCs w:val="0"/>
                <w:sz w:val="21"/>
                <w:szCs w:val="21"/>
              </w:rPr>
              <w:t>在有人处于有限空间的整个期间，至少须有另外一人在外部一直保持监护。</w:t>
            </w:r>
          </w:p>
          <w:p w14:paraId="6C383D7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⑧</w:t>
            </w:r>
            <w:r>
              <w:rPr>
                <w:rFonts w:hint="eastAsia" w:ascii="宋体" w:hAnsi="宋体" w:eastAsia="宋体" w:cs="宋体"/>
                <w:b w:val="0"/>
                <w:bCs w:val="0"/>
                <w:sz w:val="21"/>
                <w:szCs w:val="21"/>
              </w:rPr>
              <w:t>作业人员身体健康状况应能适应在有限空间的作业。</w:t>
            </w:r>
          </w:p>
          <w:p w14:paraId="75239B1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⑨</w:t>
            </w:r>
            <w:r>
              <w:rPr>
                <w:rFonts w:hint="eastAsia" w:ascii="宋体" w:hAnsi="宋体" w:eastAsia="宋体" w:cs="宋体"/>
                <w:b w:val="0"/>
                <w:bCs w:val="0"/>
                <w:sz w:val="21"/>
                <w:szCs w:val="21"/>
              </w:rPr>
              <w:t>企业应当建立下列安全生产制度和规程：</w:t>
            </w:r>
          </w:p>
          <w:p w14:paraId="0A07E6B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1）</w:t>
            </w:r>
            <w:r>
              <w:rPr>
                <w:rFonts w:hint="eastAsia" w:ascii="宋体" w:hAnsi="宋体" w:eastAsia="宋体" w:cs="宋体"/>
                <w:b w:val="0"/>
                <w:bCs w:val="0"/>
                <w:sz w:val="21"/>
                <w:szCs w:val="21"/>
              </w:rPr>
              <w:t>有限空间作业安全责任制度；</w:t>
            </w:r>
          </w:p>
          <w:p w14:paraId="6749BA3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w:t>
            </w:r>
            <w:r>
              <w:rPr>
                <w:rFonts w:hint="eastAsia" w:ascii="宋体" w:hAnsi="宋体" w:eastAsia="宋体" w:cs="宋体"/>
                <w:b w:val="0"/>
                <w:bCs w:val="0"/>
                <w:sz w:val="21"/>
                <w:szCs w:val="21"/>
              </w:rPr>
              <w:t>有限空间作业审批制度；</w:t>
            </w:r>
          </w:p>
          <w:p w14:paraId="09F641F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3）</w:t>
            </w:r>
            <w:r>
              <w:rPr>
                <w:rFonts w:hint="eastAsia" w:ascii="宋体" w:hAnsi="宋体" w:eastAsia="宋体" w:cs="宋体"/>
                <w:b w:val="0"/>
                <w:bCs w:val="0"/>
                <w:sz w:val="21"/>
                <w:szCs w:val="21"/>
              </w:rPr>
              <w:t>有限空间作业现场安全管理制度；</w:t>
            </w:r>
          </w:p>
          <w:p w14:paraId="67A42F5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4）</w:t>
            </w:r>
            <w:r>
              <w:rPr>
                <w:rFonts w:hint="eastAsia" w:ascii="宋体" w:hAnsi="宋体" w:eastAsia="宋体" w:cs="宋体"/>
                <w:b w:val="0"/>
                <w:bCs w:val="0"/>
                <w:sz w:val="21"/>
                <w:szCs w:val="21"/>
              </w:rPr>
              <w:t>有限空间作业现场负责人、监护人员、作业人员、应急救援人员安全培训教育制度；</w:t>
            </w:r>
          </w:p>
          <w:p w14:paraId="35A1000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5）</w:t>
            </w:r>
            <w:r>
              <w:rPr>
                <w:rFonts w:hint="eastAsia" w:ascii="宋体" w:hAnsi="宋体" w:eastAsia="宋体" w:cs="宋体"/>
                <w:b w:val="0"/>
                <w:bCs w:val="0"/>
                <w:sz w:val="21"/>
                <w:szCs w:val="21"/>
              </w:rPr>
              <w:t>有限空间作业应急管理制度；</w:t>
            </w:r>
          </w:p>
          <w:p w14:paraId="449AE45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6）</w:t>
            </w:r>
            <w:r>
              <w:rPr>
                <w:rFonts w:hint="eastAsia" w:ascii="宋体" w:hAnsi="宋体" w:eastAsia="宋体" w:cs="宋体"/>
                <w:b w:val="0"/>
                <w:bCs w:val="0"/>
                <w:sz w:val="21"/>
                <w:szCs w:val="21"/>
              </w:rPr>
              <w:t>有限空间作业安全操作规程。</w:t>
            </w:r>
          </w:p>
          <w:p w14:paraId="571CB3F4">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⑩</w:t>
            </w:r>
            <w:r>
              <w:rPr>
                <w:rFonts w:hint="eastAsia" w:ascii="宋体" w:hAnsi="宋体" w:eastAsia="宋体" w:cs="宋体"/>
                <w:b w:val="0"/>
                <w:bCs w:val="0"/>
                <w:sz w:val="21"/>
                <w:szCs w:val="21"/>
              </w:rPr>
              <w:t>企业应当对从事有限空间作业的现场负责人、监护人员、作业人员、应急救援人员进行专项安全培训。专项安全培训应当包括下列内容：</w:t>
            </w:r>
          </w:p>
          <w:p w14:paraId="190F784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1）</w:t>
            </w:r>
            <w:r>
              <w:rPr>
                <w:rFonts w:hint="eastAsia" w:ascii="宋体" w:hAnsi="宋体" w:eastAsia="宋体" w:cs="宋体"/>
                <w:b w:val="0"/>
                <w:bCs w:val="0"/>
                <w:sz w:val="21"/>
                <w:szCs w:val="21"/>
              </w:rPr>
              <w:t>有限空间作业的危险有害因素和安全防范措施；</w:t>
            </w:r>
          </w:p>
          <w:p w14:paraId="27C32DB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w:t>
            </w:r>
            <w:r>
              <w:rPr>
                <w:rFonts w:hint="eastAsia" w:ascii="宋体" w:hAnsi="宋体" w:eastAsia="宋体" w:cs="宋体"/>
                <w:b w:val="0"/>
                <w:bCs w:val="0"/>
                <w:sz w:val="21"/>
                <w:szCs w:val="21"/>
              </w:rPr>
              <w:t>有限空间作业的安全操作规程；</w:t>
            </w:r>
          </w:p>
          <w:p w14:paraId="70EB727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3）</w:t>
            </w:r>
            <w:r>
              <w:rPr>
                <w:rFonts w:hint="eastAsia" w:ascii="宋体" w:hAnsi="宋体" w:eastAsia="宋体" w:cs="宋体"/>
                <w:b w:val="0"/>
                <w:bCs w:val="0"/>
                <w:sz w:val="21"/>
                <w:szCs w:val="21"/>
              </w:rPr>
              <w:t>检测仪器、劳动防护用品的正确使用；</w:t>
            </w:r>
          </w:p>
          <w:p w14:paraId="0537671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4）</w:t>
            </w:r>
            <w:r>
              <w:rPr>
                <w:rFonts w:hint="eastAsia" w:ascii="宋体" w:hAnsi="宋体" w:eastAsia="宋体" w:cs="宋体"/>
                <w:b w:val="0"/>
                <w:bCs w:val="0"/>
                <w:sz w:val="21"/>
                <w:szCs w:val="21"/>
              </w:rPr>
              <w:t>紧急情况下的应急处置措施。安全培训应当有专门记录，并由参加培训的人员签字确认。</w:t>
            </w:r>
          </w:p>
          <w:p w14:paraId="397A32F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微软雅黑" w:hAnsi="微软雅黑" w:eastAsia="微软雅黑" w:cs="微软雅黑"/>
                <w:b w:val="0"/>
                <w:bCs w:val="0"/>
                <w:sz w:val="21"/>
                <w:szCs w:val="21"/>
              </w:rPr>
              <w:t>⑪</w:t>
            </w:r>
            <w:r>
              <w:rPr>
                <w:rFonts w:hint="eastAsia" w:ascii="宋体" w:hAnsi="宋体" w:eastAsia="宋体" w:cs="宋体"/>
                <w:b w:val="0"/>
                <w:bCs w:val="0"/>
                <w:sz w:val="21"/>
                <w:szCs w:val="21"/>
              </w:rPr>
              <w:t>企业应当对本企业的有限空间进行辨识，确定有限空间的数量、位置以及危险有害因素等基本情况，建立有限空间管理台账，并及时更新。</w:t>
            </w:r>
          </w:p>
          <w:p w14:paraId="20014F1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微软雅黑" w:hAnsi="微软雅黑" w:eastAsia="微软雅黑" w:cs="微软雅黑"/>
                <w:b w:val="0"/>
                <w:bCs w:val="0"/>
                <w:sz w:val="21"/>
                <w:szCs w:val="21"/>
              </w:rPr>
              <w:t>⑫</w:t>
            </w:r>
            <w:r>
              <w:rPr>
                <w:rFonts w:hint="eastAsia" w:ascii="宋体" w:hAnsi="宋体" w:eastAsia="宋体" w:cs="宋体"/>
                <w:b w:val="0"/>
                <w:bCs w:val="0"/>
                <w:sz w:val="21"/>
                <w:szCs w:val="21"/>
              </w:rPr>
              <w:t>企业实施有限空间作业前，应当对作业环境进行评估，分析存在的危险有害因素，提出消除、控制危害的措施，制定有限空间作业方案，并经本企业负责人批准。</w:t>
            </w:r>
          </w:p>
          <w:p w14:paraId="6D443C1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微软雅黑" w:hAnsi="微软雅黑" w:eastAsia="微软雅黑" w:cs="微软雅黑"/>
                <w:b w:val="0"/>
                <w:bCs w:val="0"/>
                <w:sz w:val="21"/>
                <w:szCs w:val="21"/>
              </w:rPr>
              <w:t>⑬</w:t>
            </w:r>
            <w:r>
              <w:rPr>
                <w:rFonts w:hint="eastAsia" w:ascii="宋体" w:hAnsi="宋体" w:eastAsia="宋体" w:cs="宋体"/>
                <w:b w:val="0"/>
                <w:bCs w:val="0"/>
                <w:sz w:val="21"/>
                <w:szCs w:val="21"/>
              </w:rPr>
              <w:t>实施风险分级管控基本要求：</w:t>
            </w:r>
          </w:p>
          <w:p w14:paraId="6DC2E9B1">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根据风险评估结果，制定和完善有限空间作业安全管理规章制度和操作规程，强化通过工程技术、监控联锁、隔离警示、个体防护、制度管理、教育培训、应急管理等风险控制技术措施和管理措施，对有限空间作业安全风险进行有效管控，达到消除、减弱、降低安全风险的目的；要对安全风险分级、分层、分类、分专业进行管理，逐一落实企业、车间、班组和岗位的管控责任，尤其要强化对存在1级、2级安全风险有限空间作业的重点管控；要高度关注有限空间实时状况和风险点、危险源变化后的安全风险状况，动态评估，及时调整风险等级和管控措施，确保有限空间作业安全风险始终处于受控范围内。</w:t>
            </w:r>
          </w:p>
          <w:p w14:paraId="698C1E50">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2）实施安全风险公告警示</w:t>
            </w:r>
          </w:p>
          <w:p w14:paraId="3F73DC5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涉有限空间作业企业，要建立完善安全风险公告制度，公布本企业涉及的有限空间作业主要风险点、风险类别、风险等级、管控措施和应急措施，并加强风险教育和技能培训，确保管理层和每名员工都掌握有限空间作业安全风险的基本情况及防范、应急措施和科学施救方法，坚决杜绝盲目施救。对存在安全生产风险的有限空间，要在醒目位置设置明显警示标志和安全风险告知卡，标明有限空间名称、编号、主要危险有害物质（能量）及控制指标、事故类型、风险等级、安全风险管控措施、责任人、应急措施及报告电话、禁止盲目施救等内容；对存在1级、2级安全风险的有限空间作业场所，要强化作业过程中危险源的监测、管控和预警，严格作业活动监护，确保作业安全以及紧急状况下的科学处置和施救。</w:t>
            </w:r>
          </w:p>
          <w:p w14:paraId="5ADA054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3）配齐有效的有限空间作业防护和应急救援装备</w:t>
            </w:r>
          </w:p>
          <w:p w14:paraId="2287D1E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涉有限空间作业企业，要逐一对照有限空间作业岗位存在的危险有害因素，配齐有效的有限空间作业所需通风装备、检测器材、警示标识、空气呼吸器、通讯器材、安全绳索等防护设施和应急装备；要建立防护设施和应急救援装备管理制度和</w:t>
            </w:r>
            <w:r>
              <w:rPr>
                <w:rFonts w:hint="eastAsia" w:cs="宋体"/>
                <w:b w:val="0"/>
                <w:bCs w:val="0"/>
                <w:sz w:val="21"/>
                <w:szCs w:val="21"/>
                <w:lang w:eastAsia="zh-CN"/>
              </w:rPr>
              <w:t>台账</w:t>
            </w:r>
            <w:r>
              <w:rPr>
                <w:rFonts w:hint="eastAsia" w:ascii="宋体" w:hAnsi="宋体" w:eastAsia="宋体" w:cs="宋体"/>
                <w:b w:val="0"/>
                <w:bCs w:val="0"/>
                <w:sz w:val="21"/>
                <w:szCs w:val="21"/>
              </w:rPr>
              <w:t>，确保有限空间作业防护设施和应急救援装备的种类齐全、数量足够；要强化教育培训，确保装备类型、量程、精度适用，装备使用人员能按照标准规范正确操作使用，管理人员能按照使用规定定期检验维护和妥善保管，确保其处于正常状态。</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77EADD13">
            <w:pPr>
              <w:keepNext w:val="0"/>
              <w:keepLines w:val="0"/>
              <w:pageBreakBefore w:val="0"/>
              <w:widowControl w:val="0"/>
              <w:numPr>
                <w:ilvl w:val="0"/>
                <w:numId w:val="0"/>
              </w:numPr>
              <w:suppressLineNumbers w:val="0"/>
              <w:tabs>
                <w:tab w:val="left" w:pos="-57"/>
              </w:tabs>
              <w:kinsoku/>
              <w:wordWrap/>
              <w:overflowPunct/>
              <w:topLinePunct w:val="0"/>
              <w:autoSpaceDE/>
              <w:autoSpaceDN/>
              <w:bidi w:val="0"/>
              <w:adjustRightInd w:val="0"/>
              <w:snapToGrid w:val="0"/>
              <w:spacing w:before="0" w:beforeAutospacing="0" w:after="0" w:afterAutospacing="0" w:line="240" w:lineRule="auto"/>
              <w:ind w:left="0" w:leftChars="0" w:right="0"/>
              <w:textAlignment w:val="auto"/>
              <w:rPr>
                <w:rFonts w:hint="default" w:ascii="宋体" w:hAnsi="宋体" w:eastAsia="宋体" w:cs="宋体"/>
                <w:color w:val="000000"/>
                <w:spacing w:val="-3"/>
                <w:sz w:val="21"/>
                <w:szCs w:val="21"/>
                <w:lang w:val="en-US" w:eastAsia="zh-CN"/>
              </w:rPr>
            </w:pPr>
            <w:r>
              <w:rPr>
                <w:rFonts w:hint="eastAsia" w:ascii="宋体" w:hAnsi="宋体" w:eastAsia="宋体" w:cs="宋体"/>
                <w:b w:val="0"/>
                <w:bCs w:val="0"/>
                <w:sz w:val="21"/>
                <w:szCs w:val="21"/>
                <w:lang w:val="en-US" w:eastAsia="zh-CN"/>
              </w:rPr>
              <w:t>企业建立有有限空间作业安全管理制度；按要求</w:t>
            </w:r>
            <w:r>
              <w:rPr>
                <w:rFonts w:hint="eastAsia" w:ascii="宋体" w:hAnsi="宋体" w:eastAsia="宋体" w:cs="宋体"/>
                <w:color w:val="000000"/>
                <w:spacing w:val="-3"/>
                <w:sz w:val="21"/>
                <w:szCs w:val="21"/>
              </w:rPr>
              <w:t>对从事有限空间作业的现场负责人、监护人员、作业人员、应急救援人员进行专项安全培训。专项安全培训</w:t>
            </w:r>
            <w:r>
              <w:rPr>
                <w:rFonts w:hint="eastAsia" w:cs="宋体"/>
                <w:color w:val="000000"/>
                <w:spacing w:val="-3"/>
                <w:sz w:val="21"/>
                <w:szCs w:val="21"/>
                <w:lang w:eastAsia="zh-CN"/>
              </w:rPr>
              <w:t>。</w:t>
            </w:r>
            <w:r>
              <w:rPr>
                <w:rFonts w:hint="eastAsia" w:ascii="宋体" w:hAnsi="宋体" w:eastAsia="宋体" w:cs="宋体"/>
                <w:color w:val="000000"/>
                <w:spacing w:val="-3"/>
                <w:sz w:val="21"/>
                <w:szCs w:val="21"/>
              </w:rPr>
              <w:t>本单位的有限空间进行辨识，确定有限空间的数量、位置以及危险有害因素等基本情况，建立有限空间管理台账，并及时更新。</w:t>
            </w:r>
            <w:r>
              <w:rPr>
                <w:rFonts w:hint="eastAsia" w:cs="宋体"/>
                <w:color w:val="000000"/>
                <w:spacing w:val="-3"/>
                <w:sz w:val="21"/>
                <w:szCs w:val="21"/>
                <w:lang w:val="en-US" w:eastAsia="zh-CN"/>
              </w:rPr>
              <w:t>企业有限空间作业</w:t>
            </w:r>
            <w:r>
              <w:rPr>
                <w:rFonts w:hint="eastAsia" w:ascii="宋体" w:hAnsi="宋体" w:eastAsia="宋体" w:cs="宋体"/>
                <w:color w:val="000000"/>
                <w:spacing w:val="-3"/>
                <w:sz w:val="21"/>
                <w:szCs w:val="21"/>
              </w:rPr>
              <w:t>严格遵守“先通风、再检测、后作业”的原则</w:t>
            </w:r>
            <w:r>
              <w:rPr>
                <w:rFonts w:hint="eastAsia" w:cs="宋体"/>
                <w:color w:val="000000"/>
                <w:spacing w:val="-3"/>
                <w:sz w:val="21"/>
                <w:szCs w:val="21"/>
                <w:lang w:val="en-US" w:eastAsia="zh-CN"/>
              </w:rPr>
              <w:t>。</w:t>
            </w:r>
          </w:p>
          <w:p w14:paraId="71E3AB5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164B5A4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sz w:val="21"/>
                <w:szCs w:val="21"/>
              </w:rPr>
              <w:t>符合</w:t>
            </w:r>
          </w:p>
        </w:tc>
      </w:tr>
      <w:tr w14:paraId="2F700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02359747">
            <w:pPr>
              <w:keepNext w:val="0"/>
              <w:keepLines w:val="0"/>
              <w:pageBreakBefore w:val="0"/>
              <w:widowControl w:val="0"/>
              <w:numPr>
                <w:ilvl w:val="0"/>
                <w:numId w:val="162"/>
              </w:numPr>
              <w:suppressLineNumbers w:val="0"/>
              <w:kinsoku/>
              <w:wordWrap/>
              <w:overflowPunct/>
              <w:topLinePunct/>
              <w:autoSpaceDE/>
              <w:autoSpaceDN/>
              <w:bidi w:val="0"/>
              <w:adjustRightInd/>
              <w:snapToGrid w:val="0"/>
              <w:spacing w:before="0" w:beforeAutospacing="0" w:after="0" w:afterAutospacing="0" w:line="240" w:lineRule="auto"/>
              <w:ind w:left="425" w:leftChars="0" w:right="0" w:rightChars="0" w:hanging="425" w:firstLineChars="0"/>
              <w:jc w:val="center"/>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33C0AF7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sz w:val="21"/>
                <w:szCs w:val="21"/>
              </w:rPr>
            </w:pPr>
            <w:r>
              <w:rPr>
                <w:rFonts w:hint="eastAsia" w:cs="宋体"/>
                <w:b/>
                <w:bCs/>
                <w:sz w:val="21"/>
                <w:szCs w:val="21"/>
                <w:lang w:eastAsia="zh-CN"/>
              </w:rPr>
              <w:t>其他</w:t>
            </w:r>
            <w:r>
              <w:rPr>
                <w:rFonts w:hint="eastAsia" w:ascii="宋体" w:hAnsi="宋体" w:eastAsia="宋体" w:cs="宋体"/>
                <w:b/>
                <w:bCs/>
                <w:sz w:val="21"/>
                <w:szCs w:val="21"/>
              </w:rPr>
              <w:t>安全措施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2B1630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74FB14E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61480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46EBF4F">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1713CF4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（1）在生产操作或设备维修时，则必须穿戴相应的防护用品，对现场进行隔离警示；</w:t>
            </w:r>
          </w:p>
          <w:p w14:paraId="6E033FA3">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（2）企业生产过程中主要存在机械伤害和触电等事故，企业在运行过程中要加强防范；</w:t>
            </w:r>
          </w:p>
          <w:p w14:paraId="0DAD4B8D">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（3）完善相应的应急救援器材及其他常用的急救药品等，并保证应急救援器材处于良好有效的状态；</w:t>
            </w:r>
          </w:p>
          <w:p w14:paraId="4C381319">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（4）在生产区内设置事故柜，防护面罩、手套、应急灯等物品，以备事故发生时抢救使用；</w:t>
            </w:r>
          </w:p>
          <w:p w14:paraId="1E418CB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（5）接触粉尘及有毒有害物质的作业人员，必须定期进行健康检查。对</w:t>
            </w:r>
            <w:r>
              <w:rPr>
                <w:rFonts w:hint="eastAsia" w:cs="宋体"/>
                <w:b w:val="0"/>
                <w:bCs w:val="0"/>
                <w:sz w:val="21"/>
                <w:szCs w:val="21"/>
                <w:lang w:eastAsia="zh-CN"/>
              </w:rPr>
              <w:t>硅肺</w:t>
            </w:r>
            <w:r>
              <w:rPr>
                <w:rFonts w:hint="eastAsia" w:ascii="宋体" w:hAnsi="宋体" w:eastAsia="宋体" w:cs="宋体"/>
                <w:b w:val="0"/>
                <w:bCs w:val="0"/>
                <w:sz w:val="21"/>
                <w:szCs w:val="21"/>
              </w:rPr>
              <w:t>患者，应按照卫生部规定，定期进行复查鉴定和处理。对其他职业病患者，经确认不适应原工种的，应及时调离；</w:t>
            </w:r>
          </w:p>
          <w:p w14:paraId="53C0DC4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（6）应根据当地气候特点，采取防暑降温或防冻御寒措施。对高温作业人员，供给清凉饮料；</w:t>
            </w:r>
          </w:p>
          <w:p w14:paraId="28CFF47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7）加强有限空间事故防范措施：在有限空间作业，由于通风效果差、危险源辨识不清、操作人员违章作业等原因可造成中毒窒息、高处坠落、物料坍塌掩埋、机械伤害等事故。企业要加强管理，严格执行作业票制度；</w:t>
            </w:r>
          </w:p>
          <w:p w14:paraId="4CE2ADE2">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（8）机电设备防护网、防护罩必须有效，未经企业安全管理部门同意不得擅自拆除。因设备维修需要拆除后，维修完毕后必须立即恢复；</w:t>
            </w:r>
          </w:p>
          <w:p w14:paraId="2F358E78">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（9）仓库储存按物品有害性、可燃性分库储存；</w:t>
            </w:r>
          </w:p>
          <w:p w14:paraId="34A7637E">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（10）电炉车间建议设清灰吹扫装置，车间内宜保持微正压；</w:t>
            </w:r>
          </w:p>
          <w:p w14:paraId="14A0A0B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（11）电炉安全操作注意事项：</w:t>
            </w:r>
          </w:p>
          <w:p w14:paraId="7523750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上班时检查保温炉炉门、炉顶、炉墙、炉底、炉壁、炉眼是否存在松动裂纹，如有及时处理；加料、捣炉、出铁、出铁时，先停止加热再进行操作，以防发生事故。生产过程中，要保持场地干燥，严禁、锰硅合金渗透流出炉外与水接触而发生爆炸。</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6942EC67">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default" w:ascii="宋体" w:hAnsi="宋体" w:eastAsia="宋体" w:cs="宋体"/>
                <w:b w:val="0"/>
                <w:bCs w:val="0"/>
                <w:sz w:val="21"/>
                <w:szCs w:val="21"/>
                <w:lang w:val="en-US" w:eastAsia="zh-CN"/>
              </w:rPr>
            </w:pPr>
            <w:r>
              <w:rPr>
                <w:rFonts w:hint="eastAsia" w:cs="宋体"/>
                <w:b w:val="0"/>
                <w:bCs w:val="0"/>
                <w:sz w:val="21"/>
                <w:szCs w:val="21"/>
                <w:lang w:val="en-US" w:eastAsia="zh-CN"/>
              </w:rPr>
              <w:t>严格按照安全设施设计要求执行。</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7B10975D">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r w14:paraId="76DBE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271F2BF3">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center"/>
              <w:textAlignment w:val="auto"/>
              <w:rPr>
                <w:rFonts w:hint="default" w:ascii="宋体" w:hAnsi="宋体" w:eastAsia="宋体" w:cs="宋体"/>
                <w:b/>
                <w:bCs/>
                <w:sz w:val="21"/>
                <w:szCs w:val="21"/>
                <w:lang w:val="en-US" w:eastAsia="zh-CN"/>
              </w:rPr>
            </w:pPr>
            <w:r>
              <w:rPr>
                <w:rFonts w:hint="eastAsia" w:cs="宋体"/>
                <w:b/>
                <w:bCs/>
                <w:sz w:val="21"/>
                <w:szCs w:val="21"/>
                <w:lang w:val="en-US" w:eastAsia="zh-CN"/>
              </w:rPr>
              <w:t>六</w:t>
            </w: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A97561C">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r>
              <w:rPr>
                <w:rFonts w:hint="eastAsia" w:ascii="宋体" w:hAnsi="宋体" w:eastAsia="宋体" w:cs="宋体"/>
                <w:b/>
                <w:bCs/>
                <w:sz w:val="21"/>
                <w:szCs w:val="21"/>
              </w:rPr>
              <w:t>施工期安全对策措施</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4A99E24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p>
        </w:tc>
        <w:tc>
          <w:tcPr>
            <w:tcW w:w="400" w:type="pct"/>
            <w:tcBorders>
              <w:top w:val="single" w:color="auto" w:sz="4" w:space="0"/>
              <w:left w:val="single" w:color="auto" w:sz="4" w:space="0"/>
              <w:bottom w:val="single" w:color="auto" w:sz="4" w:space="0"/>
              <w:right w:val="single" w:color="auto" w:sz="4" w:space="0"/>
            </w:tcBorders>
            <w:noWrap w:val="0"/>
            <w:vAlign w:val="center"/>
          </w:tcPr>
          <w:p w14:paraId="6B2C85E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rPr>
            </w:pPr>
          </w:p>
        </w:tc>
      </w:tr>
      <w:tr w14:paraId="0AF49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8" w:type="pct"/>
            <w:tcBorders>
              <w:top w:val="single" w:color="auto" w:sz="4" w:space="0"/>
              <w:left w:val="single" w:color="auto" w:sz="4" w:space="0"/>
              <w:bottom w:val="single" w:color="auto" w:sz="4" w:space="0"/>
              <w:right w:val="single" w:color="auto" w:sz="4" w:space="0"/>
            </w:tcBorders>
            <w:noWrap w:val="0"/>
            <w:vAlign w:val="center"/>
          </w:tcPr>
          <w:p w14:paraId="73034165">
            <w:pPr>
              <w:keepNext w:val="0"/>
              <w:keepLines w:val="0"/>
              <w:pageBreakBefore w:val="0"/>
              <w:widowControl w:val="0"/>
              <w:numPr>
                <w:ilvl w:val="0"/>
                <w:numId w:val="0"/>
              </w:numPr>
              <w:suppressLineNumbers w:val="0"/>
              <w:kinsoku/>
              <w:wordWrap/>
              <w:overflowPunct/>
              <w:topLinePunct/>
              <w:autoSpaceDE/>
              <w:autoSpaceDN/>
              <w:bidi w:val="0"/>
              <w:adjustRightInd/>
              <w:snapToGrid w:val="0"/>
              <w:spacing w:before="0" w:beforeAutospacing="0" w:after="0" w:afterAutospacing="0" w:line="240" w:lineRule="auto"/>
              <w:ind w:left="0" w:leftChars="0" w:right="0" w:rightChars="0"/>
              <w:jc w:val="both"/>
              <w:textAlignment w:val="auto"/>
              <w:rPr>
                <w:rFonts w:hint="eastAsia" w:ascii="宋体" w:hAnsi="宋体" w:eastAsia="宋体" w:cs="宋体"/>
                <w:b/>
                <w:bCs/>
                <w:sz w:val="21"/>
                <w:szCs w:val="21"/>
              </w:rPr>
            </w:pPr>
          </w:p>
        </w:tc>
        <w:tc>
          <w:tcPr>
            <w:tcW w:w="2623" w:type="pct"/>
            <w:tcBorders>
              <w:top w:val="single" w:color="auto" w:sz="4" w:space="0"/>
              <w:left w:val="single" w:color="auto" w:sz="4" w:space="0"/>
              <w:bottom w:val="single" w:color="auto" w:sz="4" w:space="0"/>
              <w:right w:val="single" w:color="auto" w:sz="4" w:space="0"/>
            </w:tcBorders>
            <w:noWrap w:val="0"/>
            <w:vAlign w:val="center"/>
          </w:tcPr>
          <w:p w14:paraId="4803805B">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防止项目施工过程与原生产装置相互影响，项目施工单位应与建设单位签订安全合同，明确安全责任与义务，双方制定安全应急预案，确定联系人，建设过程中及时沟通。施工单位严格遵守建设单位相关动火制度，禁止超范围、超界限作业。</w:t>
            </w:r>
          </w:p>
          <w:p w14:paraId="35A0F706">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1.</w:t>
            </w:r>
            <w:r>
              <w:rPr>
                <w:rFonts w:hint="eastAsia" w:ascii="宋体" w:hAnsi="宋体" w:eastAsia="宋体" w:cs="宋体"/>
                <w:b w:val="0"/>
                <w:bCs w:val="0"/>
                <w:sz w:val="21"/>
                <w:szCs w:val="21"/>
              </w:rPr>
              <w:t>在施工过程中应对施工人员讲解施工中的危险有害因素及其防范措施，进行有针对性</w:t>
            </w:r>
            <w:r>
              <w:rPr>
                <w:rFonts w:hint="eastAsia" w:cs="宋体"/>
                <w:b w:val="0"/>
                <w:bCs w:val="0"/>
                <w:sz w:val="21"/>
                <w:szCs w:val="21"/>
                <w:lang w:eastAsia="zh-CN"/>
              </w:rPr>
              <w:t>地</w:t>
            </w:r>
            <w:r>
              <w:rPr>
                <w:rFonts w:hint="eastAsia" w:ascii="宋体" w:hAnsi="宋体" w:eastAsia="宋体" w:cs="宋体"/>
                <w:b w:val="0"/>
                <w:bCs w:val="0"/>
                <w:sz w:val="21"/>
                <w:szCs w:val="21"/>
              </w:rPr>
              <w:t>安全教育，做好现场安全检查。施工单位人员应持证上岗、佩戴劳保用品。</w:t>
            </w:r>
          </w:p>
          <w:p w14:paraId="5697E05A">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2.</w:t>
            </w:r>
            <w:r>
              <w:rPr>
                <w:rFonts w:hint="eastAsia" w:ascii="宋体" w:hAnsi="宋体" w:eastAsia="宋体" w:cs="宋体"/>
                <w:b w:val="0"/>
                <w:bCs w:val="0"/>
                <w:sz w:val="21"/>
                <w:szCs w:val="21"/>
              </w:rPr>
              <w:t>施工期实行封闭式管理，划定红线范围，红线范围内场地和建筑物布置应按规划进行。进入施工现场参观学习的人员，应有专人接待，事先安排好参观时间、路线，</w:t>
            </w:r>
            <w:r>
              <w:rPr>
                <w:rFonts w:hint="eastAsia" w:cs="宋体"/>
                <w:b w:val="0"/>
                <w:bCs w:val="0"/>
                <w:sz w:val="21"/>
                <w:szCs w:val="21"/>
                <w:lang w:eastAsia="zh-CN"/>
              </w:rPr>
              <w:t>交代</w:t>
            </w:r>
            <w:r>
              <w:rPr>
                <w:rFonts w:hint="eastAsia" w:ascii="宋体" w:hAnsi="宋体" w:eastAsia="宋体" w:cs="宋体"/>
                <w:b w:val="0"/>
                <w:bCs w:val="0"/>
                <w:sz w:val="21"/>
                <w:szCs w:val="21"/>
              </w:rPr>
              <w:t>注意事项。此外，建议施工单位在高空作业区划定施工安全警戒线，并设立警示标志，非工作人员未经许可不得入内。</w:t>
            </w:r>
          </w:p>
          <w:p w14:paraId="350B349F">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3.</w:t>
            </w:r>
            <w:r>
              <w:rPr>
                <w:rFonts w:hint="eastAsia" w:ascii="宋体" w:hAnsi="宋体" w:eastAsia="宋体" w:cs="宋体"/>
                <w:b w:val="0"/>
                <w:bCs w:val="0"/>
                <w:sz w:val="21"/>
                <w:szCs w:val="21"/>
              </w:rPr>
              <w:t>建设单位应认真学习，严格贯彻执行《建设工程安全生产管理条例》，并对设计单位、施工单位、监理单位加强安全生产管理，按有关规定进行审查，明确安全生产责任，制定相应的施工安全管理方案，要求施工单位制定应急预案。</w:t>
            </w:r>
          </w:p>
          <w:p w14:paraId="19D01EC5">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4.</w:t>
            </w:r>
            <w:r>
              <w:rPr>
                <w:rFonts w:hint="eastAsia" w:ascii="宋体" w:hAnsi="宋体" w:eastAsia="宋体" w:cs="宋体"/>
                <w:b w:val="0"/>
                <w:bCs w:val="0"/>
                <w:sz w:val="21"/>
                <w:szCs w:val="21"/>
              </w:rPr>
              <w:t>施工单位应根据施工项目结构特点及施工环境条件编制施工方案，施工及检修确定项目、制定方案和措施、交叉作业、试生产协调机制等。组织设计各工种施工人员安全防护手册，施工人员按要求持证上岗。施工组织设计中的安全措施应包括安全机构的设置、专职人员的配备以及防高处坠落、防车辆伤害、防触电、防物体打击、防坍塌、防机械伤害、防起重伤害、防火、防毒、防噪声、救护、警报、治安等方面的内容。安全防护手册的主要内容包括：安全帽及防护用品的使用、各种施工机械的安全使用、汽车驾驶安全、照明安全、信号和告警知识、用电安全、安装与焊接作业的安全、意外事故和火灾的救护程序等。</w:t>
            </w:r>
          </w:p>
        </w:tc>
        <w:tc>
          <w:tcPr>
            <w:tcW w:w="1457" w:type="pct"/>
            <w:tcBorders>
              <w:top w:val="single" w:color="auto" w:sz="4" w:space="0"/>
              <w:left w:val="single" w:color="auto" w:sz="4" w:space="0"/>
              <w:bottom w:val="single" w:color="auto" w:sz="4" w:space="0"/>
              <w:right w:val="single" w:color="auto" w:sz="4" w:space="0"/>
            </w:tcBorders>
            <w:noWrap w:val="0"/>
            <w:vAlign w:val="center"/>
          </w:tcPr>
          <w:p w14:paraId="3FF3BFEC">
            <w:pPr>
              <w:keepNext w:val="0"/>
              <w:keepLines w:val="0"/>
              <w:pageBreakBefore w:val="0"/>
              <w:widowControl w:val="0"/>
              <w:numPr>
                <w:ilvl w:val="0"/>
                <w:numId w:val="0"/>
              </w:numPr>
              <w:suppressLineNumbers w:val="0"/>
              <w:kinsoku/>
              <w:wordWrap/>
              <w:overflowPunct/>
              <w:topLinePunct/>
              <w:autoSpaceDE/>
              <w:autoSpaceDN/>
              <w:bidi w:val="0"/>
              <w:adjustRightInd/>
              <w:snapToGrid/>
              <w:spacing w:before="0" w:beforeAutospacing="0" w:after="0" w:afterAutospacing="0" w:line="240" w:lineRule="auto"/>
              <w:ind w:left="0" w:leftChars="0" w:right="0" w:rightChars="0"/>
              <w:jc w:val="left"/>
              <w:textAlignment w:val="auto"/>
              <w:rPr>
                <w:rFonts w:hint="default" w:ascii="宋体" w:hAnsi="宋体" w:eastAsia="宋体" w:cs="宋体"/>
                <w:b w:val="0"/>
                <w:bCs w:val="0"/>
                <w:sz w:val="21"/>
                <w:szCs w:val="21"/>
                <w:lang w:val="en-US" w:eastAsia="zh-CN"/>
              </w:rPr>
            </w:pPr>
            <w:r>
              <w:rPr>
                <w:rFonts w:hint="eastAsia" w:cs="宋体"/>
                <w:b w:val="0"/>
                <w:bCs w:val="0"/>
                <w:sz w:val="21"/>
                <w:szCs w:val="21"/>
                <w:lang w:val="en-US" w:eastAsia="zh-CN"/>
              </w:rPr>
              <w:t>施工期间严格按照安全设施设计要求执行。</w:t>
            </w:r>
          </w:p>
        </w:tc>
        <w:tc>
          <w:tcPr>
            <w:tcW w:w="400" w:type="pct"/>
            <w:tcBorders>
              <w:top w:val="single" w:color="auto" w:sz="4" w:space="0"/>
              <w:left w:val="single" w:color="auto" w:sz="4" w:space="0"/>
              <w:bottom w:val="single" w:color="auto" w:sz="4" w:space="0"/>
              <w:right w:val="single" w:color="auto" w:sz="4" w:space="0"/>
            </w:tcBorders>
            <w:noWrap w:val="0"/>
            <w:vAlign w:val="center"/>
          </w:tcPr>
          <w:p w14:paraId="1E4B110A">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240" w:lineRule="auto"/>
              <w:ind w:left="0" w:right="0" w:firstLine="0" w:firstLineChars="0"/>
              <w:jc w:val="center"/>
              <w:textAlignment w:val="auto"/>
              <w:rPr>
                <w:rFonts w:hint="eastAsia" w:ascii="宋体" w:hAnsi="宋体" w:eastAsia="宋体" w:cs="宋体"/>
                <w:sz w:val="21"/>
                <w:szCs w:val="21"/>
                <w:lang w:val="en-US" w:eastAsia="zh-CN"/>
              </w:rPr>
            </w:pPr>
            <w:r>
              <w:rPr>
                <w:rFonts w:hint="eastAsia" w:cs="宋体"/>
                <w:sz w:val="21"/>
                <w:szCs w:val="21"/>
                <w:lang w:val="en-US" w:eastAsia="zh-CN"/>
              </w:rPr>
              <w:t>符合</w:t>
            </w:r>
          </w:p>
        </w:tc>
      </w:tr>
    </w:tbl>
    <w:p w14:paraId="4BF89F80">
      <w:pPr>
        <w:keepNext w:val="0"/>
        <w:keepLines w:val="0"/>
        <w:pageBreakBefore w:val="0"/>
        <w:widowControl w:val="0"/>
        <w:kinsoku/>
        <w:wordWrap/>
        <w:topLinePunct/>
        <w:bidi w:val="0"/>
        <w:ind w:firstLine="560"/>
        <w:rPr>
          <w:rFonts w:hint="eastAsia"/>
          <w:snapToGrid w:val="0"/>
          <w:kern w:val="0"/>
          <w:szCs w:val="28"/>
        </w:rPr>
      </w:pPr>
      <w:r>
        <w:rPr>
          <w:rFonts w:hint="eastAsia"/>
          <w:snapToGrid w:val="0"/>
          <w:kern w:val="0"/>
          <w:szCs w:val="28"/>
        </w:rPr>
        <w:t>由上述检查情况可知，本项目</w:t>
      </w:r>
      <w:r>
        <w:rPr>
          <w:rFonts w:hint="eastAsia"/>
          <w:snapToGrid w:val="0"/>
          <w:kern w:val="0"/>
          <w:szCs w:val="28"/>
          <w:lang w:val="en-US" w:eastAsia="zh-CN"/>
        </w:rPr>
        <w:t>的</w:t>
      </w:r>
      <w:r>
        <w:rPr>
          <w:rFonts w:hint="eastAsia"/>
          <w:snapToGrid w:val="0"/>
          <w:kern w:val="0"/>
          <w:szCs w:val="28"/>
        </w:rPr>
        <w:t>安全设施设计</w:t>
      </w:r>
      <w:r>
        <w:rPr>
          <w:rFonts w:hint="eastAsia"/>
          <w:snapToGrid w:val="0"/>
          <w:kern w:val="0"/>
          <w:szCs w:val="28"/>
          <w:lang w:val="en-US" w:eastAsia="zh-CN"/>
        </w:rPr>
        <w:t>提出的对策措施均</w:t>
      </w:r>
      <w:r>
        <w:rPr>
          <w:rFonts w:hint="eastAsia"/>
          <w:snapToGrid w:val="0"/>
          <w:kern w:val="0"/>
          <w:szCs w:val="28"/>
        </w:rPr>
        <w:t>得到了落实。</w:t>
      </w:r>
    </w:p>
    <w:p w14:paraId="4E82B2CB">
      <w:pPr>
        <w:pStyle w:val="31"/>
        <w:keepNext w:val="0"/>
        <w:keepLines w:val="0"/>
        <w:pageBreakBefore w:val="0"/>
        <w:widowControl w:val="0"/>
        <w:kinsoku/>
        <w:bidi w:val="0"/>
        <w:rPr>
          <w:rFonts w:hint="eastAsia"/>
          <w:snapToGrid w:val="0"/>
          <w:kern w:val="0"/>
          <w:szCs w:val="28"/>
        </w:rPr>
        <w:sectPr>
          <w:headerReference r:id="rId16" w:type="first"/>
          <w:footerReference r:id="rId19" w:type="first"/>
          <w:footerReference r:id="rId17" w:type="default"/>
          <w:headerReference r:id="rId15" w:type="even"/>
          <w:footerReference r:id="rId18" w:type="even"/>
          <w:pgSz w:w="11907" w:h="16840"/>
          <w:pgMar w:top="1440" w:right="1800" w:bottom="1440" w:left="1800" w:header="850" w:footer="992" w:gutter="0"/>
          <w:pgBorders>
            <w:top w:val="none" w:sz="0" w:space="0"/>
            <w:left w:val="none" w:sz="0" w:space="0"/>
            <w:bottom w:val="none" w:sz="0" w:space="0"/>
            <w:right w:val="none" w:sz="0" w:space="0"/>
          </w:pgBorders>
          <w:pgNumType w:fmt="decimal"/>
          <w:cols w:space="720" w:num="1"/>
          <w:docGrid w:linePitch="312" w:charSpace="0"/>
        </w:sectPr>
      </w:pPr>
    </w:p>
    <w:p w14:paraId="74BD85A5">
      <w:pPr>
        <w:pStyle w:val="2"/>
        <w:keepNext w:val="0"/>
        <w:keepLines w:val="0"/>
        <w:pageBreakBefore w:val="0"/>
        <w:widowControl w:val="0"/>
        <w:kinsoku/>
        <w:bidi w:val="0"/>
        <w:ind w:left="432" w:leftChars="0" w:hanging="432" w:firstLineChars="0"/>
      </w:pPr>
      <w:bookmarkStart w:id="1217" w:name="_Toc3990"/>
      <w:bookmarkStart w:id="1218" w:name="_Toc60925449"/>
      <w:bookmarkStart w:id="1219" w:name="_Toc55945340"/>
      <w:bookmarkStart w:id="1220" w:name="_Toc22853"/>
      <w:bookmarkStart w:id="1221" w:name="_Toc31307"/>
      <w:r>
        <w:t>安全对策措施建议</w:t>
      </w:r>
      <w:bookmarkEnd w:id="1217"/>
      <w:bookmarkEnd w:id="1218"/>
      <w:bookmarkEnd w:id="1219"/>
      <w:bookmarkEnd w:id="1220"/>
    </w:p>
    <w:p w14:paraId="12270330">
      <w:pPr>
        <w:pStyle w:val="3"/>
        <w:keepNext w:val="0"/>
        <w:keepLines w:val="0"/>
        <w:pageBreakBefore w:val="0"/>
        <w:widowControl w:val="0"/>
        <w:kinsoku/>
        <w:bidi w:val="0"/>
        <w:ind w:left="575" w:leftChars="0" w:hanging="575" w:firstLineChars="0"/>
      </w:pPr>
      <w:bookmarkStart w:id="1222" w:name="_Toc9169"/>
      <w:bookmarkStart w:id="1223" w:name="_Toc4248"/>
      <w:r>
        <w:rPr>
          <w:rFonts w:hint="eastAsia"/>
        </w:rPr>
        <w:t>存在问题及整改情况</w:t>
      </w:r>
      <w:bookmarkEnd w:id="1222"/>
      <w:bookmarkEnd w:id="1223"/>
    </w:p>
    <w:p w14:paraId="301026E4">
      <w:pPr>
        <w:keepNext w:val="0"/>
        <w:keepLines w:val="0"/>
        <w:pageBreakBefore w:val="0"/>
        <w:widowControl w:val="0"/>
        <w:tabs>
          <w:tab w:val="left" w:pos="1411"/>
        </w:tabs>
        <w:kinsoku/>
        <w:wordWrap/>
        <w:topLinePunct/>
        <w:bidi w:val="0"/>
        <w:ind w:firstLine="560"/>
        <w:rPr>
          <w:rFonts w:hint="eastAsia" w:cs="Times New Roman"/>
          <w:szCs w:val="28"/>
        </w:rPr>
      </w:pPr>
      <w:r>
        <w:rPr>
          <w:szCs w:val="28"/>
        </w:rPr>
        <w:t>在</w:t>
      </w:r>
      <w:r>
        <w:rPr>
          <w:rFonts w:hint="eastAsia" w:cs="Times New Roman"/>
          <w:szCs w:val="28"/>
        </w:rPr>
        <w:t>安全设施竣工验收过程中发现部分安全隐患，</w:t>
      </w:r>
      <w:r>
        <w:rPr>
          <w:rFonts w:hint="eastAsia" w:cs="Times New Roman"/>
          <w:szCs w:val="28"/>
          <w:lang w:eastAsia="zh-CN"/>
        </w:rPr>
        <w:t>云南东锆新材料有限公司</w:t>
      </w:r>
      <w:r>
        <w:rPr>
          <w:rFonts w:hint="eastAsia" w:cs="Times New Roman"/>
          <w:szCs w:val="28"/>
        </w:rPr>
        <w:t>对提出的安全隐患进行了整改，具体情况如下。</w:t>
      </w:r>
    </w:p>
    <w:p w14:paraId="789B9310">
      <w:pPr>
        <w:pStyle w:val="12"/>
        <w:keepNext w:val="0"/>
        <w:keepLines w:val="0"/>
        <w:pageBreakBefore w:val="0"/>
        <w:widowControl w:val="0"/>
        <w:numPr>
          <w:ilvl w:val="0"/>
          <w:numId w:val="0"/>
        </w:numPr>
        <w:kinsoku/>
        <w:wordWrap/>
        <w:bidi w:val="0"/>
        <w:ind w:left="0" w:leftChars="0" w:right="0" w:rightChars="0" w:firstLine="0" w:firstLineChars="0"/>
        <w:jc w:val="center"/>
      </w:pPr>
      <w:r>
        <w:t>表</w:t>
      </w:r>
      <w:r>
        <w:fldChar w:fldCharType="begin"/>
      </w:r>
      <w:r>
        <w:instrText xml:space="preserve"> STYLEREF 1 \s </w:instrText>
      </w:r>
      <w:r>
        <w:fldChar w:fldCharType="separate"/>
      </w:r>
      <w:r>
        <w:t>6</w:t>
      </w:r>
      <w:r>
        <w:fldChar w:fldCharType="end"/>
      </w:r>
      <w:r>
        <w:rPr>
          <w:rFonts w:hint="eastAsia"/>
          <w:lang w:eastAsia="zh-CN"/>
        </w:rPr>
        <w:t>-</w:t>
      </w:r>
      <w:r>
        <w:fldChar w:fldCharType="begin"/>
      </w:r>
      <w:r>
        <w:instrText xml:space="preserve"> SEQ 表 \* ARABIC \s 1 </w:instrText>
      </w:r>
      <w:r>
        <w:fldChar w:fldCharType="separate"/>
      </w:r>
      <w:r>
        <w:t>1</w:t>
      </w:r>
      <w:r>
        <w:fldChar w:fldCharType="end"/>
      </w:r>
      <w:r>
        <w:rPr>
          <w:rFonts w:hint="eastAsia"/>
        </w:rPr>
        <w:t>存在问题及整改情况</w:t>
      </w:r>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87"/>
        <w:gridCol w:w="2117"/>
        <w:gridCol w:w="2280"/>
        <w:gridCol w:w="3536"/>
      </w:tblGrid>
      <w:tr w14:paraId="06AF42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5" w:type="pct"/>
            <w:tcBorders>
              <w:tl2br w:val="nil"/>
              <w:tr2bl w:val="nil"/>
            </w:tcBorders>
            <w:noWrap w:val="0"/>
            <w:vAlign w:val="center"/>
          </w:tcPr>
          <w:p w14:paraId="61EB719A">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1242" w:type="pct"/>
            <w:tcBorders>
              <w:tl2br w:val="nil"/>
              <w:tr2bl w:val="nil"/>
            </w:tcBorders>
            <w:noWrap w:val="0"/>
            <w:vAlign w:val="center"/>
          </w:tcPr>
          <w:p w14:paraId="0C59DEE5">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lang w:val="en-US" w:eastAsia="zh-CN"/>
              </w:rPr>
            </w:pPr>
            <w:r>
              <w:rPr>
                <w:rFonts w:hint="eastAsia" w:ascii="Times New Roman" w:hAnsi="Times New Roman" w:cs="Times New Roman"/>
                <w:b/>
                <w:sz w:val="21"/>
                <w:szCs w:val="21"/>
                <w:lang w:val="en-US" w:eastAsia="zh-CN"/>
              </w:rPr>
              <w:t>存在问题</w:t>
            </w:r>
          </w:p>
        </w:tc>
        <w:tc>
          <w:tcPr>
            <w:tcW w:w="1338" w:type="pct"/>
            <w:tcBorders>
              <w:tl2br w:val="nil"/>
              <w:tr2bl w:val="nil"/>
            </w:tcBorders>
            <w:noWrap w:val="0"/>
            <w:vAlign w:val="center"/>
          </w:tcPr>
          <w:p w14:paraId="19CC9562">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cs="Times New Roman"/>
                <w:b/>
                <w:sz w:val="21"/>
                <w:szCs w:val="21"/>
                <w:lang w:val="en-US" w:eastAsia="zh-CN"/>
              </w:rPr>
            </w:pPr>
            <w:r>
              <w:rPr>
                <w:rFonts w:hint="eastAsia" w:ascii="Times New Roman" w:hAnsi="Times New Roman" w:cs="Times New Roman"/>
                <w:b/>
                <w:sz w:val="21"/>
                <w:szCs w:val="21"/>
                <w:lang w:val="en-US" w:eastAsia="zh-CN"/>
              </w:rPr>
              <w:t>整改措施</w:t>
            </w:r>
          </w:p>
        </w:tc>
        <w:tc>
          <w:tcPr>
            <w:tcW w:w="2074" w:type="pct"/>
            <w:tcBorders>
              <w:tl2br w:val="nil"/>
              <w:tr2bl w:val="nil"/>
            </w:tcBorders>
            <w:noWrap w:val="0"/>
            <w:vAlign w:val="center"/>
          </w:tcPr>
          <w:p w14:paraId="57EC063F">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整改照片</w:t>
            </w:r>
          </w:p>
        </w:tc>
      </w:tr>
      <w:tr w14:paraId="0F05AA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5" w:type="pct"/>
            <w:tcBorders>
              <w:tl2br w:val="nil"/>
              <w:tr2bl w:val="nil"/>
            </w:tcBorders>
            <w:noWrap w:val="0"/>
            <w:vAlign w:val="center"/>
          </w:tcPr>
          <w:p w14:paraId="3DD7B65A">
            <w:pPr>
              <w:keepNext w:val="0"/>
              <w:keepLines w:val="0"/>
              <w:pageBreakBefore w:val="0"/>
              <w:widowControl w:val="0"/>
              <w:numPr>
                <w:ilvl w:val="0"/>
                <w:numId w:val="165"/>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bCs/>
                <w:sz w:val="21"/>
                <w:szCs w:val="21"/>
              </w:rPr>
            </w:pPr>
          </w:p>
        </w:tc>
        <w:tc>
          <w:tcPr>
            <w:tcW w:w="1242" w:type="pct"/>
            <w:tcBorders>
              <w:tl2br w:val="nil"/>
              <w:tr2bl w:val="nil"/>
            </w:tcBorders>
            <w:noWrap w:val="0"/>
            <w:vAlign w:val="center"/>
          </w:tcPr>
          <w:p w14:paraId="7BE664F8">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消防设施周边存在遮挡、圈占、堆放杂物等情形。</w:t>
            </w:r>
          </w:p>
        </w:tc>
        <w:tc>
          <w:tcPr>
            <w:tcW w:w="1338" w:type="pct"/>
            <w:tcBorders>
              <w:tl2br w:val="nil"/>
              <w:tr2bl w:val="nil"/>
            </w:tcBorders>
            <w:noWrap w:val="0"/>
            <w:vAlign w:val="center"/>
          </w:tcPr>
          <w:p w14:paraId="291541F1">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消防设施或器材不应被圈占、遮挡，或挪作他用。</w:t>
            </w:r>
          </w:p>
        </w:tc>
        <w:tc>
          <w:tcPr>
            <w:tcW w:w="2074" w:type="pct"/>
            <w:tcBorders>
              <w:tl2br w:val="nil"/>
              <w:tr2bl w:val="nil"/>
            </w:tcBorders>
            <w:noWrap w:val="0"/>
            <w:vAlign w:val="center"/>
          </w:tcPr>
          <w:p w14:paraId="7857D03B">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default" w:ascii="Times New Roman" w:hAnsi="Times New Roman" w:eastAsia="宋体" w:cs="Times New Roman"/>
                <w:bCs/>
                <w:sz w:val="21"/>
                <w:szCs w:val="21"/>
              </w:rPr>
            </w:pPr>
            <w:r>
              <w:rPr>
                <w:rFonts w:hint="eastAsia" w:cs="宋体"/>
                <w:b/>
                <w:bCs/>
                <w:sz w:val="24"/>
                <w:szCs w:val="24"/>
                <w:lang w:val="en-US" w:eastAsia="zh-CN"/>
              </w:rPr>
              <w:drawing>
                <wp:anchor distT="0" distB="0" distL="114300" distR="114300" simplePos="0" relativeHeight="251692032" behindDoc="0" locked="0" layoutInCell="1" allowOverlap="1">
                  <wp:simplePos x="0" y="0"/>
                  <wp:positionH relativeFrom="column">
                    <wp:posOffset>-445770</wp:posOffset>
                  </wp:positionH>
                  <wp:positionV relativeFrom="paragraph">
                    <wp:posOffset>0</wp:posOffset>
                  </wp:positionV>
                  <wp:extent cx="2240915" cy="1680845"/>
                  <wp:effectExtent l="0" t="0" r="6985" b="8255"/>
                  <wp:wrapSquare wrapText="bothSides"/>
                  <wp:docPr id="30" name="图片 30" descr="IMG_20240820_140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IMG_20240820_140425"/>
                          <pic:cNvPicPr>
                            <a:picLocks noChangeAspect="1"/>
                          </pic:cNvPicPr>
                        </pic:nvPicPr>
                        <pic:blipFill>
                          <a:blip r:embed="rId55"/>
                          <a:stretch>
                            <a:fillRect/>
                          </a:stretch>
                        </pic:blipFill>
                        <pic:spPr>
                          <a:xfrm>
                            <a:off x="0" y="0"/>
                            <a:ext cx="2240915" cy="1680845"/>
                          </a:xfrm>
                          <a:prstGeom prst="rect">
                            <a:avLst/>
                          </a:prstGeom>
                        </pic:spPr>
                      </pic:pic>
                    </a:graphicData>
                  </a:graphic>
                </wp:anchor>
              </w:drawing>
            </w:r>
          </w:p>
        </w:tc>
      </w:tr>
      <w:tr w14:paraId="4253D0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5" w:type="pct"/>
            <w:tcBorders>
              <w:tl2br w:val="nil"/>
              <w:tr2bl w:val="nil"/>
            </w:tcBorders>
            <w:noWrap w:val="0"/>
            <w:vAlign w:val="center"/>
          </w:tcPr>
          <w:p w14:paraId="7875905C">
            <w:pPr>
              <w:keepNext w:val="0"/>
              <w:keepLines w:val="0"/>
              <w:pageBreakBefore w:val="0"/>
              <w:widowControl w:val="0"/>
              <w:numPr>
                <w:ilvl w:val="0"/>
                <w:numId w:val="165"/>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bCs/>
                <w:sz w:val="21"/>
                <w:szCs w:val="21"/>
              </w:rPr>
            </w:pPr>
          </w:p>
        </w:tc>
        <w:tc>
          <w:tcPr>
            <w:tcW w:w="1242" w:type="pct"/>
            <w:tcBorders>
              <w:tl2br w:val="nil"/>
              <w:tr2bl w:val="nil"/>
            </w:tcBorders>
            <w:noWrap w:val="0"/>
            <w:vAlign w:val="center"/>
          </w:tcPr>
          <w:p w14:paraId="7540C186">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有场（厂）内机动车辆运行的厂房出入口无防碰撞标志，无限宽标识。</w:t>
            </w:r>
          </w:p>
        </w:tc>
        <w:tc>
          <w:tcPr>
            <w:tcW w:w="1338" w:type="pct"/>
            <w:tcBorders>
              <w:tl2br w:val="nil"/>
              <w:tr2bl w:val="nil"/>
            </w:tcBorders>
            <w:noWrap w:val="0"/>
            <w:vAlign w:val="center"/>
          </w:tcPr>
          <w:p w14:paraId="13F3ED98">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厂房和仓库出入口设置防碰撞标志，限宽标识。</w:t>
            </w:r>
          </w:p>
        </w:tc>
        <w:tc>
          <w:tcPr>
            <w:tcW w:w="2074" w:type="pct"/>
            <w:tcBorders>
              <w:tl2br w:val="nil"/>
              <w:tr2bl w:val="nil"/>
            </w:tcBorders>
            <w:noWrap w:val="0"/>
            <w:vAlign w:val="top"/>
          </w:tcPr>
          <w:p w14:paraId="581A5867">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eastAsia" w:ascii="Times New Roman" w:hAnsi="Times New Roman" w:eastAsia="宋体" w:cs="Times New Roman"/>
                <w:bCs/>
                <w:sz w:val="21"/>
                <w:szCs w:val="21"/>
                <w:lang w:eastAsia="zh-CN"/>
              </w:rPr>
            </w:pPr>
            <w:r>
              <w:rPr>
                <w:rFonts w:hint="eastAsia" w:ascii="Times New Roman" w:hAnsi="Times New Roman" w:eastAsia="宋体" w:cs="Times New Roman"/>
                <w:bCs/>
                <w:sz w:val="21"/>
                <w:szCs w:val="21"/>
                <w:lang w:eastAsia="zh-CN"/>
              </w:rPr>
              <w:drawing>
                <wp:inline distT="0" distB="0" distL="114300" distR="114300">
                  <wp:extent cx="2105025" cy="1511300"/>
                  <wp:effectExtent l="0" t="0" r="3175" b="0"/>
                  <wp:docPr id="7" name="图片 7" descr="514db1900313c290e7d194df37575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14db1900313c290e7d194df375751f"/>
                          <pic:cNvPicPr>
                            <a:picLocks noChangeAspect="1"/>
                          </pic:cNvPicPr>
                        </pic:nvPicPr>
                        <pic:blipFill>
                          <a:blip r:embed="rId56"/>
                          <a:stretch>
                            <a:fillRect/>
                          </a:stretch>
                        </pic:blipFill>
                        <pic:spPr>
                          <a:xfrm>
                            <a:off x="0" y="0"/>
                            <a:ext cx="2105025" cy="1511300"/>
                          </a:xfrm>
                          <a:prstGeom prst="rect">
                            <a:avLst/>
                          </a:prstGeom>
                        </pic:spPr>
                      </pic:pic>
                    </a:graphicData>
                  </a:graphic>
                </wp:inline>
              </w:drawing>
            </w:r>
          </w:p>
        </w:tc>
      </w:tr>
      <w:tr w14:paraId="4770DE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5" w:type="pct"/>
            <w:tcBorders>
              <w:tl2br w:val="nil"/>
              <w:tr2bl w:val="nil"/>
            </w:tcBorders>
            <w:noWrap w:val="0"/>
            <w:vAlign w:val="center"/>
          </w:tcPr>
          <w:p w14:paraId="1A305892">
            <w:pPr>
              <w:keepNext w:val="0"/>
              <w:keepLines w:val="0"/>
              <w:pageBreakBefore w:val="0"/>
              <w:widowControl w:val="0"/>
              <w:numPr>
                <w:ilvl w:val="0"/>
                <w:numId w:val="165"/>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bCs/>
                <w:sz w:val="21"/>
                <w:szCs w:val="21"/>
              </w:rPr>
            </w:pPr>
          </w:p>
        </w:tc>
        <w:tc>
          <w:tcPr>
            <w:tcW w:w="1242" w:type="pct"/>
            <w:tcBorders>
              <w:tl2br w:val="nil"/>
              <w:tr2bl w:val="nil"/>
            </w:tcBorders>
            <w:noWrap w:val="0"/>
            <w:vAlign w:val="center"/>
          </w:tcPr>
          <w:p w14:paraId="1E157E6F">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高、低压配电室内均未设置应急照明设施，且消防设施配置不齐全。</w:t>
            </w:r>
          </w:p>
        </w:tc>
        <w:tc>
          <w:tcPr>
            <w:tcW w:w="1338" w:type="pct"/>
            <w:tcBorders>
              <w:tl2br w:val="nil"/>
              <w:tr2bl w:val="nil"/>
            </w:tcBorders>
            <w:noWrap w:val="0"/>
            <w:vAlign w:val="center"/>
          </w:tcPr>
          <w:p w14:paraId="62D352FC">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lef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配电室内应设置应急照明灯具，并配置满足需求的消防设施。</w:t>
            </w:r>
          </w:p>
        </w:tc>
        <w:tc>
          <w:tcPr>
            <w:tcW w:w="2074" w:type="pct"/>
            <w:tcBorders>
              <w:tl2br w:val="nil"/>
              <w:tr2bl w:val="nil"/>
            </w:tcBorders>
            <w:noWrap w:val="0"/>
            <w:vAlign w:val="center"/>
          </w:tcPr>
          <w:p w14:paraId="14FE41F6">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center"/>
              <w:rPr>
                <w:rFonts w:hint="eastAsia" w:ascii="Times New Roman" w:hAnsi="Times New Roman" w:eastAsia="宋体" w:cs="Times New Roman"/>
                <w:bCs/>
                <w:sz w:val="21"/>
                <w:szCs w:val="21"/>
                <w:lang w:eastAsia="zh-CN"/>
              </w:rPr>
            </w:pPr>
            <w:r>
              <w:rPr>
                <w:rFonts w:hint="eastAsia" w:ascii="Times New Roman" w:hAnsi="Times New Roman" w:eastAsia="宋体" w:cs="Times New Roman"/>
                <w:bCs/>
                <w:sz w:val="21"/>
                <w:szCs w:val="21"/>
                <w:lang w:eastAsia="zh-CN"/>
              </w:rPr>
              <w:drawing>
                <wp:inline distT="0" distB="0" distL="114300" distR="114300">
                  <wp:extent cx="2107565" cy="1579880"/>
                  <wp:effectExtent l="0" t="0" r="635" b="7620"/>
                  <wp:docPr id="26" name="图片 26" descr="7c4e0b285d8eff18c4c40fd9f7572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7c4e0b285d8eff18c4c40fd9f75720c"/>
                          <pic:cNvPicPr>
                            <a:picLocks noChangeAspect="1"/>
                          </pic:cNvPicPr>
                        </pic:nvPicPr>
                        <pic:blipFill>
                          <a:blip r:embed="rId57"/>
                          <a:stretch>
                            <a:fillRect/>
                          </a:stretch>
                        </pic:blipFill>
                        <pic:spPr>
                          <a:xfrm>
                            <a:off x="0" y="0"/>
                            <a:ext cx="2107565" cy="1579880"/>
                          </a:xfrm>
                          <a:prstGeom prst="rect">
                            <a:avLst/>
                          </a:prstGeom>
                        </pic:spPr>
                      </pic:pic>
                    </a:graphicData>
                  </a:graphic>
                </wp:inline>
              </w:drawing>
            </w:r>
          </w:p>
        </w:tc>
      </w:tr>
      <w:tr w14:paraId="07CC2D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5" w:type="pct"/>
            <w:tcBorders>
              <w:tl2br w:val="nil"/>
              <w:tr2bl w:val="nil"/>
            </w:tcBorders>
            <w:noWrap w:val="0"/>
            <w:vAlign w:val="center"/>
          </w:tcPr>
          <w:p w14:paraId="751DBA6A">
            <w:pPr>
              <w:keepNext w:val="0"/>
              <w:keepLines w:val="0"/>
              <w:pageBreakBefore w:val="0"/>
              <w:widowControl w:val="0"/>
              <w:numPr>
                <w:ilvl w:val="0"/>
                <w:numId w:val="165"/>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bCs/>
                <w:sz w:val="21"/>
                <w:szCs w:val="21"/>
              </w:rPr>
            </w:pPr>
          </w:p>
        </w:tc>
        <w:tc>
          <w:tcPr>
            <w:tcW w:w="1242" w:type="pct"/>
            <w:tcBorders>
              <w:tl2br w:val="nil"/>
              <w:tr2bl w:val="nil"/>
            </w:tcBorders>
            <w:noWrap w:val="0"/>
            <w:vAlign w:val="center"/>
          </w:tcPr>
          <w:p w14:paraId="2849B6CB">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生产区域部分停用设备设施未拆除或未设置停用标识。</w:t>
            </w:r>
          </w:p>
        </w:tc>
        <w:tc>
          <w:tcPr>
            <w:tcW w:w="1338" w:type="pct"/>
            <w:tcBorders>
              <w:tl2br w:val="nil"/>
              <w:tr2bl w:val="nil"/>
            </w:tcBorders>
            <w:noWrap w:val="0"/>
            <w:vAlign w:val="center"/>
          </w:tcPr>
          <w:p w14:paraId="4B7A844E">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停用设备设施应拆除或设置停用标识。</w:t>
            </w:r>
          </w:p>
        </w:tc>
        <w:tc>
          <w:tcPr>
            <w:tcW w:w="2074" w:type="pct"/>
            <w:tcBorders>
              <w:tl2br w:val="nil"/>
              <w:tr2bl w:val="nil"/>
            </w:tcBorders>
            <w:noWrap w:val="0"/>
            <w:vAlign w:val="top"/>
          </w:tcPr>
          <w:p w14:paraId="272F123B">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both"/>
              <w:rPr>
                <w:rFonts w:hint="eastAsia" w:ascii="Times New Roman" w:hAnsi="Times New Roman" w:eastAsia="宋体" w:cs="Times New Roman"/>
                <w:bCs/>
                <w:sz w:val="21"/>
                <w:szCs w:val="21"/>
                <w:lang w:eastAsia="zh-CN"/>
              </w:rPr>
            </w:pPr>
            <w:r>
              <w:rPr>
                <w:rFonts w:hint="eastAsia" w:ascii="Times New Roman" w:hAnsi="Times New Roman" w:eastAsia="宋体" w:cs="Times New Roman"/>
                <w:bCs/>
                <w:sz w:val="21"/>
                <w:szCs w:val="21"/>
                <w:lang w:eastAsia="zh-CN"/>
              </w:rPr>
              <w:drawing>
                <wp:inline distT="0" distB="0" distL="114300" distR="114300">
                  <wp:extent cx="2096770" cy="1692275"/>
                  <wp:effectExtent l="0" t="0" r="11430" b="9525"/>
                  <wp:docPr id="31" name="图片 31" descr="8222b6108c3d7ef357429391f425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8222b6108c3d7ef357429391f425784"/>
                          <pic:cNvPicPr>
                            <a:picLocks noChangeAspect="1"/>
                          </pic:cNvPicPr>
                        </pic:nvPicPr>
                        <pic:blipFill>
                          <a:blip r:embed="rId58"/>
                          <a:stretch>
                            <a:fillRect/>
                          </a:stretch>
                        </pic:blipFill>
                        <pic:spPr>
                          <a:xfrm>
                            <a:off x="0" y="0"/>
                            <a:ext cx="2096770" cy="1692275"/>
                          </a:xfrm>
                          <a:prstGeom prst="rect">
                            <a:avLst/>
                          </a:prstGeom>
                        </pic:spPr>
                      </pic:pic>
                    </a:graphicData>
                  </a:graphic>
                </wp:inline>
              </w:drawing>
            </w:r>
          </w:p>
        </w:tc>
      </w:tr>
      <w:tr w14:paraId="3F849D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5" w:type="pct"/>
            <w:tcBorders>
              <w:tl2br w:val="nil"/>
              <w:tr2bl w:val="nil"/>
            </w:tcBorders>
            <w:noWrap w:val="0"/>
            <w:vAlign w:val="center"/>
          </w:tcPr>
          <w:p w14:paraId="729090BA">
            <w:pPr>
              <w:keepNext w:val="0"/>
              <w:keepLines w:val="0"/>
              <w:pageBreakBefore w:val="0"/>
              <w:widowControl w:val="0"/>
              <w:numPr>
                <w:ilvl w:val="0"/>
                <w:numId w:val="165"/>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bCs/>
                <w:sz w:val="21"/>
                <w:szCs w:val="21"/>
              </w:rPr>
            </w:pPr>
            <w:bookmarkStart w:id="1224" w:name="_Toc55945342"/>
            <w:bookmarkStart w:id="1225" w:name="_Toc11626"/>
            <w:bookmarkStart w:id="1226" w:name="_Toc55033419"/>
            <w:bookmarkStart w:id="1227" w:name="_Toc531271175"/>
            <w:bookmarkStart w:id="1228" w:name="_Toc60925451"/>
            <w:bookmarkStart w:id="1229" w:name="_Toc55567481"/>
            <w:bookmarkStart w:id="1230" w:name="_Toc522811573"/>
          </w:p>
        </w:tc>
        <w:tc>
          <w:tcPr>
            <w:tcW w:w="1242" w:type="pct"/>
            <w:tcBorders>
              <w:tl2br w:val="nil"/>
              <w:tr2bl w:val="nil"/>
            </w:tcBorders>
            <w:noWrap w:val="0"/>
            <w:vAlign w:val="center"/>
          </w:tcPr>
          <w:p w14:paraId="5496B890">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电弧炉部分临边检修、清扫作业区域无安全防护设施。</w:t>
            </w:r>
          </w:p>
        </w:tc>
        <w:tc>
          <w:tcPr>
            <w:tcW w:w="1338" w:type="pct"/>
            <w:tcBorders>
              <w:tl2br w:val="nil"/>
              <w:tr2bl w:val="nil"/>
            </w:tcBorders>
            <w:noWrap w:val="0"/>
            <w:vAlign w:val="center"/>
          </w:tcPr>
          <w:p w14:paraId="1038CBFC">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lef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临边作业区域应设置安全防护设施和安全警示标志。</w:t>
            </w:r>
          </w:p>
        </w:tc>
        <w:tc>
          <w:tcPr>
            <w:tcW w:w="2074" w:type="pct"/>
            <w:tcBorders>
              <w:tl2br w:val="nil"/>
              <w:tr2bl w:val="nil"/>
            </w:tcBorders>
            <w:noWrap w:val="0"/>
            <w:vAlign w:val="top"/>
          </w:tcPr>
          <w:p w14:paraId="1218967A">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both"/>
              <w:rPr>
                <w:rFonts w:hint="eastAsia" w:ascii="Times New Roman" w:hAnsi="Times New Roman" w:eastAsia="宋体" w:cs="Times New Roman"/>
                <w:bCs/>
                <w:sz w:val="21"/>
                <w:szCs w:val="21"/>
                <w:lang w:eastAsia="zh-CN"/>
              </w:rPr>
            </w:pPr>
            <w:r>
              <w:rPr>
                <w:rFonts w:hint="eastAsia" w:ascii="Times New Roman" w:hAnsi="Times New Roman" w:eastAsia="宋体" w:cs="Times New Roman"/>
                <w:bCs/>
                <w:sz w:val="21"/>
                <w:szCs w:val="21"/>
                <w:lang w:eastAsia="zh-CN"/>
              </w:rPr>
              <w:drawing>
                <wp:inline distT="0" distB="0" distL="114300" distR="114300">
                  <wp:extent cx="2107565" cy="1579880"/>
                  <wp:effectExtent l="0" t="0" r="635" b="7620"/>
                  <wp:docPr id="11" name="图片 11" descr="8ef10004f6171f53f0856c13689e1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8ef10004f6171f53f0856c13689e1a1"/>
                          <pic:cNvPicPr>
                            <a:picLocks noChangeAspect="1"/>
                          </pic:cNvPicPr>
                        </pic:nvPicPr>
                        <pic:blipFill>
                          <a:blip r:embed="rId59"/>
                          <a:stretch>
                            <a:fillRect/>
                          </a:stretch>
                        </pic:blipFill>
                        <pic:spPr>
                          <a:xfrm>
                            <a:off x="0" y="0"/>
                            <a:ext cx="2107565" cy="1579880"/>
                          </a:xfrm>
                          <a:prstGeom prst="rect">
                            <a:avLst/>
                          </a:prstGeom>
                        </pic:spPr>
                      </pic:pic>
                    </a:graphicData>
                  </a:graphic>
                </wp:inline>
              </w:drawing>
            </w:r>
          </w:p>
        </w:tc>
      </w:tr>
      <w:tr w14:paraId="6E46B1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5" w:type="pct"/>
            <w:tcBorders>
              <w:tl2br w:val="nil"/>
              <w:tr2bl w:val="nil"/>
            </w:tcBorders>
            <w:noWrap w:val="0"/>
            <w:vAlign w:val="center"/>
          </w:tcPr>
          <w:p w14:paraId="59CB8CB4">
            <w:pPr>
              <w:keepNext w:val="0"/>
              <w:keepLines w:val="0"/>
              <w:pageBreakBefore w:val="0"/>
              <w:widowControl w:val="0"/>
              <w:numPr>
                <w:ilvl w:val="0"/>
                <w:numId w:val="165"/>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bCs/>
                <w:sz w:val="21"/>
                <w:szCs w:val="21"/>
              </w:rPr>
            </w:pPr>
          </w:p>
        </w:tc>
        <w:tc>
          <w:tcPr>
            <w:tcW w:w="1242" w:type="pct"/>
            <w:tcBorders>
              <w:tl2br w:val="nil"/>
              <w:tr2bl w:val="nil"/>
            </w:tcBorders>
            <w:noWrap w:val="0"/>
            <w:vAlign w:val="center"/>
          </w:tcPr>
          <w:p w14:paraId="69883DBF">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生产区域内部分起重机吊钩未设置防脱钩装置。</w:t>
            </w:r>
          </w:p>
        </w:tc>
        <w:tc>
          <w:tcPr>
            <w:tcW w:w="1338" w:type="pct"/>
            <w:tcBorders>
              <w:tl2br w:val="nil"/>
              <w:tr2bl w:val="nil"/>
            </w:tcBorders>
            <w:noWrap w:val="0"/>
            <w:vAlign w:val="center"/>
          </w:tcPr>
          <w:p w14:paraId="3E21B2A9">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lef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起重机应配置完善相应的安全附件。</w:t>
            </w:r>
          </w:p>
        </w:tc>
        <w:tc>
          <w:tcPr>
            <w:tcW w:w="2074" w:type="pct"/>
            <w:tcBorders>
              <w:tl2br w:val="nil"/>
              <w:tr2bl w:val="nil"/>
            </w:tcBorders>
            <w:noWrap w:val="0"/>
            <w:vAlign w:val="top"/>
          </w:tcPr>
          <w:p w14:paraId="29974007">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both"/>
              <w:rPr>
                <w:rFonts w:hint="eastAsia" w:ascii="Times New Roman" w:hAnsi="Times New Roman" w:eastAsia="宋体" w:cs="Times New Roman"/>
                <w:bCs/>
                <w:sz w:val="21"/>
                <w:szCs w:val="21"/>
                <w:lang w:eastAsia="zh-CN"/>
              </w:rPr>
            </w:pPr>
            <w:r>
              <w:rPr>
                <w:rFonts w:hint="eastAsia" w:ascii="Times New Roman" w:hAnsi="Times New Roman" w:eastAsia="宋体" w:cs="Times New Roman"/>
                <w:bCs/>
                <w:sz w:val="21"/>
                <w:szCs w:val="21"/>
                <w:lang w:eastAsia="zh-CN"/>
              </w:rPr>
              <w:drawing>
                <wp:inline distT="0" distB="0" distL="114300" distR="114300">
                  <wp:extent cx="2105660" cy="2060575"/>
                  <wp:effectExtent l="0" t="0" r="2540" b="9525"/>
                  <wp:docPr id="5" name="图片 5" descr="93525b25eee479516e5278cc5e2e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3525b25eee479516e5278cc5e2e837"/>
                          <pic:cNvPicPr>
                            <a:picLocks noChangeAspect="1"/>
                          </pic:cNvPicPr>
                        </pic:nvPicPr>
                        <pic:blipFill>
                          <a:blip r:embed="rId60"/>
                          <a:stretch>
                            <a:fillRect/>
                          </a:stretch>
                        </pic:blipFill>
                        <pic:spPr>
                          <a:xfrm>
                            <a:off x="0" y="0"/>
                            <a:ext cx="2105660" cy="2060575"/>
                          </a:xfrm>
                          <a:prstGeom prst="rect">
                            <a:avLst/>
                          </a:prstGeom>
                        </pic:spPr>
                      </pic:pic>
                    </a:graphicData>
                  </a:graphic>
                </wp:inline>
              </w:drawing>
            </w:r>
          </w:p>
        </w:tc>
      </w:tr>
      <w:tr w14:paraId="2BC60C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45" w:type="pct"/>
            <w:tcBorders>
              <w:tl2br w:val="nil"/>
              <w:tr2bl w:val="nil"/>
            </w:tcBorders>
            <w:noWrap w:val="0"/>
            <w:vAlign w:val="center"/>
          </w:tcPr>
          <w:p w14:paraId="72048134">
            <w:pPr>
              <w:keepNext w:val="0"/>
              <w:keepLines w:val="0"/>
              <w:pageBreakBefore w:val="0"/>
              <w:widowControl w:val="0"/>
              <w:numPr>
                <w:ilvl w:val="0"/>
                <w:numId w:val="165"/>
              </w:numPr>
              <w:suppressLineNumbers w:val="0"/>
              <w:kinsoku/>
              <w:wordWrap/>
              <w:bidi w:val="0"/>
              <w:spacing w:before="0" w:beforeAutospacing="0" w:after="0" w:afterAutospacing="0" w:line="240" w:lineRule="auto"/>
              <w:ind w:right="0" w:firstLine="0" w:firstLineChars="0"/>
              <w:jc w:val="center"/>
              <w:rPr>
                <w:rFonts w:hint="default" w:ascii="Times New Roman" w:hAnsi="Times New Roman" w:eastAsia="宋体" w:cs="Times New Roman"/>
                <w:bCs/>
                <w:sz w:val="21"/>
                <w:szCs w:val="21"/>
              </w:rPr>
            </w:pPr>
          </w:p>
        </w:tc>
        <w:tc>
          <w:tcPr>
            <w:tcW w:w="1242" w:type="pct"/>
            <w:tcBorders>
              <w:tl2br w:val="nil"/>
              <w:tr2bl w:val="nil"/>
            </w:tcBorders>
            <w:noWrap w:val="0"/>
            <w:vAlign w:val="center"/>
          </w:tcPr>
          <w:p w14:paraId="258F86A5">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部分生产作业区域安全警示标志设置不足。</w:t>
            </w:r>
          </w:p>
        </w:tc>
        <w:tc>
          <w:tcPr>
            <w:tcW w:w="1338" w:type="pct"/>
            <w:tcBorders>
              <w:tl2br w:val="nil"/>
              <w:tr2bl w:val="nil"/>
            </w:tcBorders>
            <w:noWrap w:val="0"/>
            <w:vAlign w:val="center"/>
          </w:tcPr>
          <w:p w14:paraId="7EABF1CA">
            <w:pPr>
              <w:keepNext w:val="0"/>
              <w:keepLines w:val="0"/>
              <w:pageBreakBefore w:val="0"/>
              <w:widowControl w:val="0"/>
              <w:suppressLineNumbers w:val="0"/>
              <w:kinsoku/>
              <w:wordWrap/>
              <w:bidi w:val="0"/>
              <w:spacing w:before="0" w:beforeAutospacing="0" w:after="0" w:afterAutospacing="0" w:line="240" w:lineRule="auto"/>
              <w:ind w:left="0" w:leftChars="0" w:right="0" w:rightChars="0" w:firstLine="0" w:firstLineChars="0"/>
              <w:jc w:val="lef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在危险性较大的区域或设施设备处设置安全警示标志。</w:t>
            </w:r>
          </w:p>
        </w:tc>
        <w:tc>
          <w:tcPr>
            <w:tcW w:w="2074" w:type="pct"/>
            <w:tcBorders>
              <w:tl2br w:val="nil"/>
              <w:tr2bl w:val="nil"/>
            </w:tcBorders>
            <w:noWrap w:val="0"/>
            <w:vAlign w:val="top"/>
          </w:tcPr>
          <w:p w14:paraId="6A902A13">
            <w:pPr>
              <w:keepNext w:val="0"/>
              <w:keepLines w:val="0"/>
              <w:pageBreakBefore w:val="0"/>
              <w:widowControl w:val="0"/>
              <w:suppressLineNumbers w:val="0"/>
              <w:kinsoku/>
              <w:wordWrap/>
              <w:bidi w:val="0"/>
              <w:spacing w:before="0" w:beforeAutospacing="0" w:after="0" w:afterAutospacing="0" w:line="240" w:lineRule="auto"/>
              <w:ind w:left="0" w:right="0" w:firstLine="0" w:firstLineChars="0"/>
              <w:jc w:val="both"/>
              <w:rPr>
                <w:rFonts w:hint="eastAsia" w:ascii="Times New Roman" w:hAnsi="Times New Roman" w:eastAsia="宋体" w:cs="Times New Roman"/>
                <w:bCs/>
                <w:sz w:val="21"/>
                <w:szCs w:val="21"/>
                <w:lang w:eastAsia="zh-CN"/>
              </w:rPr>
            </w:pPr>
            <w:r>
              <w:rPr>
                <w:rFonts w:hint="eastAsia" w:ascii="Times New Roman" w:hAnsi="Times New Roman" w:eastAsia="宋体" w:cs="Times New Roman"/>
                <w:bCs/>
                <w:sz w:val="21"/>
                <w:szCs w:val="21"/>
                <w:lang w:eastAsia="zh-CN"/>
              </w:rPr>
              <w:drawing>
                <wp:inline distT="0" distB="0" distL="114300" distR="114300">
                  <wp:extent cx="2107565" cy="1579880"/>
                  <wp:effectExtent l="0" t="0" r="635" b="7620"/>
                  <wp:docPr id="28" name="图片 28" descr="5b9e9b4ca46bd95d111dd24251e5c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5b9e9b4ca46bd95d111dd24251e5c66"/>
                          <pic:cNvPicPr>
                            <a:picLocks noChangeAspect="1"/>
                          </pic:cNvPicPr>
                        </pic:nvPicPr>
                        <pic:blipFill>
                          <a:blip r:embed="rId61"/>
                          <a:stretch>
                            <a:fillRect/>
                          </a:stretch>
                        </pic:blipFill>
                        <pic:spPr>
                          <a:xfrm>
                            <a:off x="0" y="0"/>
                            <a:ext cx="2107565" cy="1579880"/>
                          </a:xfrm>
                          <a:prstGeom prst="rect">
                            <a:avLst/>
                          </a:prstGeom>
                        </pic:spPr>
                      </pic:pic>
                    </a:graphicData>
                  </a:graphic>
                </wp:inline>
              </w:drawing>
            </w:r>
          </w:p>
        </w:tc>
      </w:tr>
    </w:tbl>
    <w:p w14:paraId="04CFE252">
      <w:pPr>
        <w:pStyle w:val="3"/>
        <w:keepNext w:val="0"/>
        <w:keepLines w:val="0"/>
        <w:pageBreakBefore w:val="0"/>
        <w:widowControl w:val="0"/>
        <w:kinsoku/>
        <w:bidi w:val="0"/>
        <w:ind w:left="575" w:leftChars="0" w:hanging="575" w:firstLineChars="0"/>
      </w:pPr>
      <w:bookmarkStart w:id="1231" w:name="_Toc12890"/>
      <w:r>
        <w:t>对策措施及建议</w:t>
      </w:r>
      <w:bookmarkEnd w:id="1224"/>
      <w:bookmarkEnd w:id="1225"/>
      <w:bookmarkEnd w:id="1226"/>
      <w:bookmarkEnd w:id="1227"/>
      <w:bookmarkEnd w:id="1228"/>
      <w:bookmarkEnd w:id="1229"/>
      <w:bookmarkEnd w:id="1230"/>
      <w:bookmarkEnd w:id="1231"/>
    </w:p>
    <w:p w14:paraId="7B446F7C">
      <w:pPr>
        <w:pStyle w:val="4"/>
        <w:keepNext w:val="0"/>
        <w:keepLines w:val="0"/>
        <w:pageBreakBefore w:val="0"/>
        <w:widowControl w:val="0"/>
        <w:kinsoku/>
        <w:bidi w:val="0"/>
        <w:ind w:left="720" w:leftChars="0" w:hanging="720" w:firstLineChars="0"/>
      </w:pPr>
      <w:bookmarkStart w:id="1232" w:name="_Toc522811574"/>
      <w:bookmarkStart w:id="1233" w:name="_Toc8628"/>
      <w:bookmarkStart w:id="1234" w:name="_Toc55945343"/>
      <w:bookmarkStart w:id="1235" w:name="_Toc55033420"/>
      <w:bookmarkStart w:id="1236" w:name="_Toc531271176"/>
      <w:bookmarkStart w:id="1237" w:name="_Toc60925452"/>
      <w:bookmarkStart w:id="1238" w:name="_Toc55567482"/>
      <w:bookmarkStart w:id="1239" w:name="_Toc14035"/>
      <w:r>
        <w:t>安全生产条件对策措施及建议</w:t>
      </w:r>
      <w:bookmarkEnd w:id="1232"/>
      <w:bookmarkEnd w:id="1233"/>
      <w:bookmarkEnd w:id="1234"/>
      <w:bookmarkEnd w:id="1235"/>
      <w:bookmarkEnd w:id="1236"/>
      <w:bookmarkEnd w:id="1237"/>
      <w:bookmarkEnd w:id="1238"/>
      <w:bookmarkEnd w:id="1239"/>
    </w:p>
    <w:p w14:paraId="304B9C49">
      <w:pPr>
        <w:keepNext w:val="0"/>
        <w:keepLines w:val="0"/>
        <w:pageBreakBefore w:val="0"/>
        <w:widowControl w:val="0"/>
        <w:numPr>
          <w:ilvl w:val="0"/>
          <w:numId w:val="166"/>
        </w:numPr>
        <w:tabs>
          <w:tab w:val="left" w:pos="0"/>
          <w:tab w:val="left" w:pos="840"/>
          <w:tab w:val="left" w:pos="980"/>
        </w:tabs>
        <w:kinsoku/>
        <w:wordWrap/>
        <w:overflowPunct/>
        <w:topLinePunct/>
        <w:autoSpaceDE/>
        <w:autoSpaceDN/>
        <w:bidi w:val="0"/>
        <w:adjustRightInd/>
        <w:snapToGrid/>
        <w:ind w:left="0" w:leftChars="0" w:firstLine="560" w:firstLineChars="200"/>
        <w:textAlignment w:val="auto"/>
        <w:rPr>
          <w:rFonts w:hint="eastAsia" w:ascii="宋体" w:hAnsi="宋体" w:eastAsia="宋体" w:cs="宋体"/>
          <w:lang w:val="en-US" w:eastAsia="zh-CN"/>
        </w:rPr>
      </w:pPr>
      <w:bookmarkStart w:id="1240" w:name="_Toc60925453"/>
      <w:bookmarkStart w:id="1241" w:name="_Toc55945344"/>
      <w:bookmarkStart w:id="1242" w:name="_Toc522811575"/>
      <w:bookmarkStart w:id="1243" w:name="_Toc531271177"/>
      <w:bookmarkStart w:id="1244" w:name="_Toc55567483"/>
      <w:bookmarkStart w:id="1245" w:name="_Toc55033421"/>
      <w:bookmarkStart w:id="1246" w:name="_Toc9665"/>
      <w:r>
        <w:rPr>
          <w:rFonts w:hint="eastAsia" w:ascii="宋体" w:hAnsi="宋体" w:eastAsia="宋体" w:cs="宋体"/>
          <w:lang w:val="en-US" w:eastAsia="zh-CN"/>
        </w:rPr>
        <w:t>企业应保障安全经费的投入，不断完善安全生产条件，并定期对安全设施进行巡检，保证其有效。</w:t>
      </w:r>
    </w:p>
    <w:p w14:paraId="778DF17D">
      <w:pPr>
        <w:keepNext w:val="0"/>
        <w:keepLines w:val="0"/>
        <w:pageBreakBefore w:val="0"/>
        <w:widowControl w:val="0"/>
        <w:numPr>
          <w:ilvl w:val="0"/>
          <w:numId w:val="166"/>
        </w:numPr>
        <w:tabs>
          <w:tab w:val="left" w:pos="0"/>
          <w:tab w:val="left" w:pos="840"/>
          <w:tab w:val="left" w:pos="980"/>
        </w:tabs>
        <w:kinsoku/>
        <w:wordWrap/>
        <w:overflowPunct/>
        <w:topLinePunct/>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定期对机械防护罩、防护栏、钢直梯、钢斜梯、踢脚板、静电导除装置等常规防护设施进行巡查，保证其有效。</w:t>
      </w:r>
    </w:p>
    <w:p w14:paraId="3F6441CB">
      <w:pPr>
        <w:keepNext w:val="0"/>
        <w:keepLines w:val="0"/>
        <w:pageBreakBefore w:val="0"/>
        <w:widowControl w:val="0"/>
        <w:numPr>
          <w:ilvl w:val="0"/>
          <w:numId w:val="166"/>
        </w:numPr>
        <w:tabs>
          <w:tab w:val="left" w:pos="0"/>
          <w:tab w:val="left" w:pos="840"/>
          <w:tab w:val="left" w:pos="980"/>
        </w:tabs>
        <w:kinsoku/>
        <w:wordWrap/>
        <w:overflowPunct/>
        <w:topLinePunct/>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完善厂区安全警示标识的设置，安全标志应定期检查、维护、保养，并及时更换，安全标志牌应至少每半年检查一次，如发现有破损、变形、褪色等不符合要求时，应及时修正或更换。</w:t>
      </w:r>
    </w:p>
    <w:p w14:paraId="128A55A6">
      <w:pPr>
        <w:keepNext w:val="0"/>
        <w:keepLines w:val="0"/>
        <w:pageBreakBefore w:val="0"/>
        <w:widowControl w:val="0"/>
        <w:numPr>
          <w:ilvl w:val="0"/>
          <w:numId w:val="166"/>
        </w:numPr>
        <w:tabs>
          <w:tab w:val="left" w:pos="0"/>
          <w:tab w:val="left" w:pos="840"/>
          <w:tab w:val="left" w:pos="980"/>
        </w:tabs>
        <w:kinsoku/>
        <w:wordWrap/>
        <w:overflowPunct/>
        <w:topLinePunct/>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做好起重设备的日常保养及维护工作，作业现场照明条件应良好，应定期对起重设备进行检测检验，起重设备应安装导绳器、超载限制器、升降限位器和运行限位器、联锁保护装置、缓冲器、防冲撞装置、轨道端部止挡、登吊车信号装置及门联锁装置、防脱钩装置等安全装置，并保证有效；并应设置能从地面辨别额定荷重的铭牌，严禁超载作业。起重设备必须使用检验合格的钢丝绳、吊钩以及吊具，并定期对其安全性进行检查。</w:t>
      </w:r>
    </w:p>
    <w:p w14:paraId="44C22ED2">
      <w:pPr>
        <w:keepNext w:val="0"/>
        <w:keepLines w:val="0"/>
        <w:pageBreakBefore w:val="0"/>
        <w:widowControl w:val="0"/>
        <w:numPr>
          <w:ilvl w:val="0"/>
          <w:numId w:val="166"/>
        </w:numPr>
        <w:tabs>
          <w:tab w:val="left" w:pos="0"/>
          <w:tab w:val="left" w:pos="840"/>
          <w:tab w:val="left" w:pos="980"/>
        </w:tabs>
        <w:kinsoku/>
        <w:wordWrap/>
        <w:overflowPunct/>
        <w:topLinePunct/>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作业现场应杜绝堵塞消防通道，灭火栓、灭火器应杜绝遮挡，并加强消防器材的检查维护，损坏的及时修复。消火栓箱上方、内部禁止摆放杂物，前方1.2m范围内不应有遮挡物。灭火器的设置应满足《建筑灭火器配置设计规范》（GB50140-2005）的要求。</w:t>
      </w:r>
    </w:p>
    <w:p w14:paraId="5A0C0F7E">
      <w:pPr>
        <w:keepNext w:val="0"/>
        <w:keepLines w:val="0"/>
        <w:pageBreakBefore w:val="0"/>
        <w:widowControl w:val="0"/>
        <w:numPr>
          <w:ilvl w:val="0"/>
          <w:numId w:val="166"/>
        </w:numPr>
        <w:tabs>
          <w:tab w:val="left" w:pos="0"/>
          <w:tab w:val="left" w:pos="840"/>
          <w:tab w:val="left" w:pos="980"/>
        </w:tabs>
        <w:kinsoku/>
        <w:wordWrap/>
        <w:overflowPunct/>
        <w:topLinePunct/>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企业应配置与抵御企业风险要求相适应的应急装备、物资，做好应急装备、物资的日常管理维护，配备必要的应急药品和急救器材。</w:t>
      </w:r>
    </w:p>
    <w:p w14:paraId="334908BE">
      <w:pPr>
        <w:keepNext w:val="0"/>
        <w:keepLines w:val="0"/>
        <w:pageBreakBefore w:val="0"/>
        <w:widowControl w:val="0"/>
        <w:numPr>
          <w:ilvl w:val="0"/>
          <w:numId w:val="166"/>
        </w:numPr>
        <w:tabs>
          <w:tab w:val="left" w:pos="0"/>
          <w:tab w:val="left" w:pos="840"/>
          <w:tab w:val="left" w:pos="980"/>
        </w:tabs>
        <w:kinsoku/>
        <w:wordWrap/>
        <w:overflowPunct/>
        <w:topLinePunct/>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电工绝缘工器具应定期检验，检验合格后使用，并张贴检验合格标签。</w:t>
      </w:r>
    </w:p>
    <w:p w14:paraId="44EBB0EE">
      <w:pPr>
        <w:keepNext w:val="0"/>
        <w:keepLines w:val="0"/>
        <w:pageBreakBefore w:val="0"/>
        <w:widowControl w:val="0"/>
        <w:numPr>
          <w:ilvl w:val="0"/>
          <w:numId w:val="166"/>
        </w:numPr>
        <w:tabs>
          <w:tab w:val="left" w:pos="0"/>
          <w:tab w:val="left" w:pos="840"/>
          <w:tab w:val="left" w:pos="980"/>
        </w:tabs>
        <w:kinsoku/>
        <w:wordWrap/>
        <w:overflowPunct/>
        <w:topLinePunct/>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现场应按要求配置应急救援物品及药品，并有定期检查记录台账。</w:t>
      </w:r>
    </w:p>
    <w:p w14:paraId="2DE844FA">
      <w:pPr>
        <w:pStyle w:val="4"/>
        <w:keepNext w:val="0"/>
        <w:keepLines w:val="0"/>
        <w:pageBreakBefore w:val="0"/>
        <w:widowControl w:val="0"/>
        <w:kinsoku/>
        <w:bidi w:val="0"/>
        <w:ind w:left="720" w:leftChars="0" w:hanging="720" w:firstLineChars="0"/>
        <w:rPr>
          <w:rFonts w:hint="eastAsia"/>
        </w:rPr>
      </w:pPr>
      <w:bookmarkStart w:id="1247" w:name="_Toc26974"/>
      <w:r>
        <w:t>安全管理对策措施及建议</w:t>
      </w:r>
      <w:bookmarkEnd w:id="1240"/>
      <w:bookmarkEnd w:id="1241"/>
      <w:bookmarkEnd w:id="1242"/>
      <w:bookmarkEnd w:id="1243"/>
      <w:bookmarkEnd w:id="1244"/>
      <w:bookmarkEnd w:id="1245"/>
      <w:bookmarkEnd w:id="1246"/>
      <w:bookmarkEnd w:id="1247"/>
    </w:p>
    <w:p w14:paraId="446B3CCC">
      <w:pPr>
        <w:keepNext w:val="0"/>
        <w:keepLines w:val="0"/>
        <w:pageBreakBefore w:val="0"/>
        <w:widowControl w:val="0"/>
        <w:numPr>
          <w:ilvl w:val="0"/>
          <w:numId w:val="167"/>
        </w:numPr>
        <w:tabs>
          <w:tab w:val="left" w:pos="0"/>
          <w:tab w:val="left" w:pos="840"/>
          <w:tab w:val="left" w:pos="980"/>
        </w:tabs>
        <w:kinsoku/>
        <w:wordWrap/>
        <w:overflowPunct/>
        <w:topLinePunct/>
        <w:autoSpaceDE/>
        <w:autoSpaceDN/>
        <w:bidi w:val="0"/>
        <w:adjustRightInd/>
        <w:snapToGrid/>
        <w:ind w:left="0" w:leftChars="0" w:firstLine="560" w:firstLineChars="200"/>
        <w:textAlignment w:val="auto"/>
        <w:rPr>
          <w:rFonts w:hint="eastAsia" w:cs="宋体"/>
          <w:lang w:val="en-US" w:eastAsia="zh-CN"/>
        </w:rPr>
      </w:pPr>
      <w:r>
        <w:rPr>
          <w:rFonts w:hint="eastAsia" w:ascii="宋体" w:hAnsi="宋体" w:eastAsia="宋体" w:cs="宋体"/>
        </w:rPr>
        <w:t>装置运行期间严禁擅自拆除安全联锁系统，确需拆除的，使用单位应制定、落实相应的安全技术保护措施，并经公司技术、安全等职能部门审查，报主管安全副总经理批准后方可拆除；其他安全设施的报废、拆除、停用需经本车间负责人批准后方可进行</w:t>
      </w:r>
      <w:r>
        <w:rPr>
          <w:rFonts w:hint="eastAsia" w:ascii="宋体" w:hAnsi="宋体" w:eastAsia="宋体" w:cs="宋体"/>
          <w:lang w:eastAsia="zh-CN"/>
        </w:rPr>
        <w:t>。</w:t>
      </w:r>
    </w:p>
    <w:p w14:paraId="2815A0E0">
      <w:pPr>
        <w:keepNext w:val="0"/>
        <w:keepLines w:val="0"/>
        <w:pageBreakBefore w:val="0"/>
        <w:widowControl w:val="0"/>
        <w:numPr>
          <w:ilvl w:val="0"/>
          <w:numId w:val="167"/>
        </w:numPr>
        <w:tabs>
          <w:tab w:val="left" w:pos="0"/>
          <w:tab w:val="left" w:pos="840"/>
          <w:tab w:val="left" w:pos="980"/>
        </w:tabs>
        <w:kinsoku/>
        <w:wordWrap/>
        <w:overflowPunct/>
        <w:topLinePunct/>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公司安全管理人员应不断提高自身的综合安全管理水平，加强对职工及新进人员的安全教育工作，</w:t>
      </w:r>
      <w:r>
        <w:rPr>
          <w:rFonts w:hint="eastAsia" w:ascii="宋体" w:hAnsi="宋体" w:eastAsia="宋体" w:cs="宋体"/>
          <w:lang w:eastAsia="zh-CN"/>
        </w:rPr>
        <w:t>增强</w:t>
      </w:r>
      <w:r>
        <w:rPr>
          <w:rFonts w:hint="eastAsia" w:ascii="宋体" w:hAnsi="宋体" w:eastAsia="宋体" w:cs="宋体"/>
        </w:rPr>
        <w:t>全体员工的安全意识和自我保护能力；并做好日常的安全教育培训记录；严禁违章作业、违章指挥；</w:t>
      </w:r>
      <w:r>
        <w:rPr>
          <w:rFonts w:hint="eastAsia" w:ascii="宋体" w:hAnsi="宋体" w:cs="宋体"/>
          <w:lang w:val="en-US" w:eastAsia="zh-CN"/>
        </w:rPr>
        <w:t>主要负责人、</w:t>
      </w:r>
      <w:r>
        <w:rPr>
          <w:rFonts w:hint="eastAsia" w:ascii="宋体" w:hAnsi="宋体" w:eastAsia="宋体" w:cs="宋体"/>
        </w:rPr>
        <w:t>安全管理人员及特种设备作业人员应全员参加培训，经考核合格后，持证上岗。</w:t>
      </w:r>
    </w:p>
    <w:p w14:paraId="63791592">
      <w:pPr>
        <w:keepNext w:val="0"/>
        <w:keepLines w:val="0"/>
        <w:pageBreakBefore w:val="0"/>
        <w:widowControl w:val="0"/>
        <w:numPr>
          <w:ilvl w:val="0"/>
          <w:numId w:val="167"/>
        </w:numPr>
        <w:tabs>
          <w:tab w:val="left" w:pos="0"/>
          <w:tab w:val="left" w:pos="840"/>
          <w:tab w:val="left" w:pos="980"/>
        </w:tabs>
        <w:kinsoku/>
        <w:wordWrap/>
        <w:overflowPunct/>
        <w:topLinePunct/>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按照“管业务必须管安全”的原则，在公司各部门职责中明确专业部门对所辖业务的安全管理责任，落实专业安全管理的职责、权限、考核内容，推动专业安全管理。突出专业部门专业安全管理重点，夯实安全生产基础。</w:t>
      </w:r>
    </w:p>
    <w:p w14:paraId="3CC1DA8E">
      <w:pPr>
        <w:keepNext w:val="0"/>
        <w:keepLines w:val="0"/>
        <w:pageBreakBefore w:val="0"/>
        <w:widowControl w:val="0"/>
        <w:numPr>
          <w:ilvl w:val="0"/>
          <w:numId w:val="167"/>
        </w:numPr>
        <w:tabs>
          <w:tab w:val="left" w:pos="0"/>
          <w:tab w:val="left" w:pos="840"/>
          <w:tab w:val="left" w:pos="993"/>
        </w:tabs>
        <w:kinsoku/>
        <w:wordWrap/>
        <w:overflowPunct/>
        <w:topLinePunct/>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按照</w:t>
      </w:r>
      <w:r>
        <w:rPr>
          <w:rFonts w:hint="eastAsia" w:ascii="宋体" w:hAnsi="宋体" w:eastAsia="宋体" w:cs="宋体"/>
        </w:rPr>
        <w:t>工贸企业主要负责人是有限空间作业安全第一责任人</w:t>
      </w:r>
      <w:r>
        <w:rPr>
          <w:rFonts w:hint="eastAsia" w:ascii="宋体" w:hAnsi="宋体" w:eastAsia="宋体" w:cs="宋体"/>
          <w:lang w:val="en-US" w:eastAsia="zh-CN"/>
        </w:rPr>
        <w:t>的要求，认真组织制定公司有限空间作业安全管理制度，明确有限空间作业审批人、监护人员、作业人员的职责，以及安全培训、作业审批、防护用品、应急救援装备、操作规程和应急处置等方面的要求。</w:t>
      </w:r>
    </w:p>
    <w:p w14:paraId="5877E738">
      <w:pPr>
        <w:keepNext w:val="0"/>
        <w:keepLines w:val="0"/>
        <w:pageBreakBefore w:val="0"/>
        <w:widowControl w:val="0"/>
        <w:numPr>
          <w:ilvl w:val="0"/>
          <w:numId w:val="167"/>
        </w:numPr>
        <w:tabs>
          <w:tab w:val="left" w:pos="0"/>
          <w:tab w:val="left" w:pos="840"/>
          <w:tab w:val="left" w:pos="993"/>
        </w:tabs>
        <w:kinsoku/>
        <w:wordWrap/>
        <w:overflowPunct/>
        <w:topLinePunct/>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应按《生产经营单位生产安全事故应急预案编制导则》（GB/T29639-2020）的相关要求不断完善预案，并定期进行演练、培训。</w:t>
      </w:r>
    </w:p>
    <w:p w14:paraId="10894545">
      <w:pPr>
        <w:keepNext w:val="0"/>
        <w:keepLines w:val="0"/>
        <w:pageBreakBefore w:val="0"/>
        <w:widowControl w:val="0"/>
        <w:numPr>
          <w:ilvl w:val="0"/>
          <w:numId w:val="167"/>
        </w:numPr>
        <w:tabs>
          <w:tab w:val="left" w:pos="0"/>
          <w:tab w:val="left" w:pos="840"/>
          <w:tab w:val="left" w:pos="993"/>
        </w:tabs>
        <w:kinsoku/>
        <w:wordWrap/>
        <w:overflowPunct/>
        <w:topLinePunct/>
        <w:autoSpaceDE/>
        <w:autoSpaceDN/>
        <w:bidi w:val="0"/>
        <w:adjustRightInd/>
        <w:snapToGrid/>
        <w:ind w:left="0" w:leftChars="0" w:firstLine="560" w:firstLineChars="200"/>
        <w:textAlignment w:val="auto"/>
        <w:rPr>
          <w:rFonts w:hint="eastAsia" w:ascii="宋体" w:hAnsi="宋体" w:eastAsia="宋体" w:cs="宋体"/>
          <w:lang w:val="en-US" w:eastAsia="zh-CN"/>
        </w:rPr>
        <w:sectPr>
          <w:pgSz w:w="11907" w:h="16840"/>
          <w:pgMar w:top="1440" w:right="1800" w:bottom="1440" w:left="1800" w:header="850" w:footer="992" w:gutter="0"/>
          <w:pgBorders>
            <w:top w:val="none" w:sz="0" w:space="0"/>
            <w:left w:val="none" w:sz="0" w:space="0"/>
            <w:bottom w:val="none" w:sz="0" w:space="0"/>
            <w:right w:val="none" w:sz="0" w:space="0"/>
          </w:pgBorders>
          <w:pgNumType w:fmt="decimal"/>
          <w:cols w:space="720" w:num="1"/>
          <w:docGrid w:linePitch="312" w:charSpace="0"/>
        </w:sectPr>
      </w:pPr>
      <w:r>
        <w:rPr>
          <w:rFonts w:hint="eastAsia" w:ascii="宋体" w:hAnsi="宋体" w:eastAsia="宋体" w:cs="宋体"/>
          <w:lang w:val="en-US" w:eastAsia="zh-CN"/>
        </w:rPr>
        <w:t>深刻吸取同行业类型事故教训，对事故进行分析总结，针对项目可能存在的问题，举一反三，采取相应的措施。</w:t>
      </w:r>
    </w:p>
    <w:p w14:paraId="01E35E59">
      <w:pPr>
        <w:pStyle w:val="2"/>
        <w:keepNext w:val="0"/>
        <w:keepLines w:val="0"/>
        <w:pageBreakBefore w:val="0"/>
        <w:widowControl w:val="0"/>
        <w:kinsoku/>
        <w:bidi w:val="0"/>
      </w:pPr>
      <w:bookmarkStart w:id="1248" w:name="_Toc23111"/>
      <w:r>
        <w:rPr>
          <w:rFonts w:hint="eastAsia"/>
        </w:rPr>
        <w:t>安全设施</w:t>
      </w:r>
      <w:r>
        <w:rPr>
          <w:rFonts w:hint="eastAsia"/>
          <w:lang w:val="en-US" w:eastAsia="zh-CN"/>
        </w:rPr>
        <w:t>竣工</w:t>
      </w:r>
      <w:r>
        <w:rPr>
          <w:rFonts w:hint="eastAsia"/>
        </w:rPr>
        <w:t>验收评价</w:t>
      </w:r>
      <w:r>
        <w:t>结论</w:t>
      </w:r>
      <w:bookmarkEnd w:id="1221"/>
      <w:bookmarkEnd w:id="1248"/>
    </w:p>
    <w:p w14:paraId="16F9EEB1">
      <w:pPr>
        <w:pStyle w:val="3"/>
        <w:keepNext w:val="0"/>
        <w:keepLines w:val="0"/>
        <w:pageBreakBefore w:val="0"/>
        <w:widowControl w:val="0"/>
        <w:kinsoku/>
        <w:bidi w:val="0"/>
      </w:pPr>
      <w:bookmarkStart w:id="1249" w:name="_Toc183423459"/>
      <w:bookmarkStart w:id="1250" w:name="_Toc201697667"/>
      <w:bookmarkStart w:id="1251" w:name="_Toc522811578"/>
      <w:bookmarkStart w:id="1252" w:name="_Toc60925455"/>
      <w:bookmarkStart w:id="1253" w:name="_Toc55567485"/>
      <w:bookmarkStart w:id="1254" w:name="_Toc393463136"/>
      <w:bookmarkStart w:id="1255" w:name="_Toc55945346"/>
      <w:bookmarkStart w:id="1256" w:name="_Toc393462948"/>
      <w:bookmarkStart w:id="1257" w:name="_Toc413501983"/>
      <w:bookmarkStart w:id="1258" w:name="_Toc531271180"/>
      <w:bookmarkStart w:id="1259" w:name="_Toc150217810"/>
      <w:bookmarkStart w:id="1260" w:name="_Toc55033424"/>
      <w:bookmarkStart w:id="1261" w:name="_Toc373853768"/>
      <w:bookmarkStart w:id="1262" w:name="_Toc4169"/>
      <w:bookmarkStart w:id="1263" w:name="_Toc21662"/>
      <w:r>
        <w:t>主要</w:t>
      </w:r>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Start w:id="1264" w:name="_Toc373853769"/>
      <w:bookmarkStart w:id="1265" w:name="_Toc413501984"/>
      <w:bookmarkStart w:id="1266" w:name="_Toc150217811"/>
      <w:bookmarkStart w:id="1267" w:name="_Toc183423460"/>
      <w:bookmarkStart w:id="1268" w:name="_Toc201697668"/>
      <w:bookmarkStart w:id="1269" w:name="_Toc531271181"/>
      <w:bookmarkStart w:id="1270" w:name="_Toc55033425"/>
      <w:bookmarkStart w:id="1271" w:name="_Toc55945347"/>
      <w:bookmarkStart w:id="1272" w:name="_Toc393462949"/>
      <w:bookmarkStart w:id="1273" w:name="_Toc393463137"/>
      <w:bookmarkStart w:id="1274" w:name="_Toc60925456"/>
      <w:bookmarkStart w:id="1275" w:name="_Toc522811579"/>
      <w:bookmarkStart w:id="1276" w:name="_Toc55567486"/>
      <w:r>
        <w:rPr>
          <w:rFonts w:hint="eastAsia"/>
          <w:lang w:eastAsia="zh-CN"/>
        </w:rPr>
        <w:t>危险有害因素</w:t>
      </w:r>
      <w:bookmarkEnd w:id="1262"/>
      <w:bookmarkEnd w:id="1263"/>
    </w:p>
    <w:p w14:paraId="6DCB124D">
      <w:pPr>
        <w:pStyle w:val="4"/>
        <w:keepNext w:val="0"/>
        <w:keepLines w:val="0"/>
        <w:pageBreakBefore w:val="0"/>
        <w:widowControl w:val="0"/>
        <w:kinsoku/>
        <w:bidi w:val="0"/>
        <w:ind w:left="720" w:leftChars="0" w:hanging="720" w:firstLineChars="0"/>
      </w:pPr>
      <w:bookmarkStart w:id="1277" w:name="_Toc12911"/>
      <w:bookmarkStart w:id="1278" w:name="_Toc2644"/>
      <w:r>
        <w:t>本项目存在的主要危险、有害物质</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p>
    <w:p w14:paraId="17528B90">
      <w:pPr>
        <w:bidi w:val="0"/>
      </w:pPr>
      <w:bookmarkStart w:id="1279" w:name="_Toc150217812"/>
      <w:bookmarkStart w:id="1280" w:name="_Toc373853770"/>
      <w:bookmarkStart w:id="1281" w:name="_Toc522811580"/>
      <w:bookmarkStart w:id="1282" w:name="_Toc183423461"/>
      <w:bookmarkStart w:id="1283" w:name="_Toc413501985"/>
      <w:bookmarkStart w:id="1284" w:name="_Toc393462950"/>
      <w:bookmarkStart w:id="1285" w:name="_Toc201697669"/>
      <w:bookmarkStart w:id="1286" w:name="_Toc393463138"/>
      <w:bookmarkStart w:id="1287" w:name="_Toc94155404"/>
      <w:r>
        <w:rPr>
          <w:rFonts w:hint="eastAsia"/>
        </w:rPr>
        <w:t>本项目生产过程中涉及的</w:t>
      </w:r>
      <w:r>
        <w:rPr>
          <w:rFonts w:hint="eastAsia"/>
          <w:lang w:val="en-US" w:eastAsia="zh-CN"/>
        </w:rPr>
        <w:t>危险、有害物质为：</w:t>
      </w:r>
      <w:r>
        <w:rPr>
          <w:rFonts w:hint="eastAsia"/>
        </w:rPr>
        <w:t>石油焦、石墨电极</w:t>
      </w:r>
      <w:r>
        <w:rPr>
          <w:rFonts w:hint="eastAsia"/>
          <w:lang w:eastAsia="zh-CN"/>
        </w:rPr>
        <w:t>、</w:t>
      </w:r>
      <w:r>
        <w:rPr>
          <w:rFonts w:hint="eastAsia"/>
          <w:lang w:val="en-US" w:eastAsia="zh-CN"/>
        </w:rPr>
        <w:t>Si</w:t>
      </w:r>
      <w:r>
        <w:rPr>
          <w:rFonts w:hint="eastAsia"/>
        </w:rPr>
        <w:t>O</w:t>
      </w:r>
      <w:r>
        <w:rPr>
          <w:rFonts w:hint="eastAsia"/>
          <w:vertAlign w:val="subscript"/>
          <w:lang w:val="en-US" w:eastAsia="zh-CN"/>
        </w:rPr>
        <w:t>2</w:t>
      </w:r>
      <w:r>
        <w:rPr>
          <w:rFonts w:hint="eastAsia"/>
          <w:lang w:eastAsia="zh-CN"/>
        </w:rPr>
        <w:t>、高温熔体</w:t>
      </w:r>
      <w:r>
        <w:rPr>
          <w:rFonts w:hint="eastAsia"/>
        </w:rPr>
        <w:t>、</w:t>
      </w:r>
      <w:r>
        <w:rPr>
          <w:rFonts w:hint="eastAsia"/>
          <w:lang w:val="en-US" w:eastAsia="zh-CN"/>
        </w:rPr>
        <w:t>高温烟气、</w:t>
      </w:r>
      <w:r>
        <w:rPr>
          <w:rFonts w:hint="eastAsia"/>
        </w:rPr>
        <w:t>CO</w:t>
      </w:r>
      <w:r>
        <w:rPr>
          <w:rFonts w:hint="eastAsia"/>
          <w:lang w:eastAsia="zh-CN"/>
        </w:rPr>
        <w:t>、</w:t>
      </w:r>
      <w:r>
        <w:rPr>
          <w:rFonts w:hint="eastAsia"/>
        </w:rPr>
        <w:t>氧气、乙炔</w:t>
      </w:r>
      <w:r>
        <w:rPr>
          <w:rFonts w:hint="eastAsia"/>
          <w:lang w:eastAsia="zh-CN"/>
        </w:rPr>
        <w:t>、</w:t>
      </w:r>
      <w:r>
        <w:rPr>
          <w:rFonts w:hint="eastAsia"/>
        </w:rPr>
        <w:t>柴油</w:t>
      </w:r>
      <w:r>
        <w:rPr>
          <w:rFonts w:hint="eastAsia"/>
          <w:lang w:eastAsia="zh-CN"/>
        </w:rPr>
        <w:t>、</w:t>
      </w:r>
      <w:r>
        <w:rPr>
          <w:rFonts w:hint="eastAsia"/>
          <w:lang w:val="en-US" w:eastAsia="zh-CN"/>
        </w:rPr>
        <w:t>盐酸。</w:t>
      </w:r>
    </w:p>
    <w:p w14:paraId="4E6622C4">
      <w:pPr>
        <w:pStyle w:val="4"/>
        <w:keepNext w:val="0"/>
        <w:keepLines w:val="0"/>
        <w:pageBreakBefore w:val="0"/>
        <w:widowControl w:val="0"/>
        <w:kinsoku/>
        <w:bidi w:val="0"/>
        <w:ind w:left="720" w:leftChars="0" w:hanging="720" w:firstLineChars="0"/>
      </w:pPr>
      <w:bookmarkStart w:id="1288" w:name="_Toc55945348"/>
      <w:bookmarkStart w:id="1289" w:name="_Toc55033426"/>
      <w:bookmarkStart w:id="1290" w:name="_Toc60925457"/>
      <w:bookmarkStart w:id="1291" w:name="_Toc55567487"/>
      <w:bookmarkStart w:id="1292" w:name="_Toc531271182"/>
      <w:bookmarkStart w:id="1293" w:name="_Toc719"/>
      <w:bookmarkStart w:id="1294" w:name="_Toc5942"/>
      <w:r>
        <w:t>本项目存在的主要</w:t>
      </w:r>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r>
        <w:rPr>
          <w:rFonts w:hint="eastAsia"/>
          <w:lang w:eastAsia="zh-CN"/>
        </w:rPr>
        <w:t>危险有害因素</w:t>
      </w:r>
      <w:bookmarkEnd w:id="1293"/>
      <w:bookmarkEnd w:id="1294"/>
    </w:p>
    <w:p w14:paraId="640DCA9F">
      <w:pPr>
        <w:keepNext w:val="0"/>
        <w:keepLines w:val="0"/>
        <w:pageBreakBefore w:val="0"/>
        <w:widowControl w:val="0"/>
        <w:kinsoku/>
        <w:wordWrap/>
        <w:overflowPunct/>
        <w:topLinePunct/>
        <w:autoSpaceDE/>
        <w:autoSpaceDN/>
        <w:bidi w:val="0"/>
        <w:adjustRightInd w:val="0"/>
        <w:snapToGrid/>
        <w:ind w:firstLine="560"/>
        <w:textAlignment w:val="auto"/>
        <w:rPr>
          <w:rFonts w:hint="eastAsia" w:eastAsia="宋体"/>
          <w:szCs w:val="28"/>
          <w:lang w:eastAsia="zh-CN"/>
        </w:rPr>
      </w:pPr>
      <w:bookmarkStart w:id="1295" w:name="_Toc393463139"/>
      <w:bookmarkStart w:id="1296" w:name="_Toc393462951"/>
      <w:bookmarkStart w:id="1297" w:name="_Toc413501986"/>
      <w:bookmarkStart w:id="1298" w:name="_Toc373853771"/>
      <w:bookmarkStart w:id="1299" w:name="_Toc522811581"/>
      <w:bookmarkStart w:id="1300" w:name="_Toc183423462"/>
      <w:bookmarkStart w:id="1301" w:name="_Toc150217813"/>
      <w:bookmarkStart w:id="1302" w:name="_Toc94155405"/>
      <w:bookmarkStart w:id="1303" w:name="_Toc201697670"/>
      <w:r>
        <w:rPr>
          <w:rFonts w:hint="eastAsia" w:hAnsi="宋体"/>
          <w:szCs w:val="28"/>
        </w:rPr>
        <w:t>本项目存在的主要危险有害因素为：</w:t>
      </w:r>
      <w:r>
        <w:rPr>
          <w:rFonts w:hint="eastAsia"/>
        </w:rPr>
        <w:t>物体打击、车辆伤害、机械伤害、</w:t>
      </w:r>
      <w:r>
        <w:rPr>
          <w:rFonts w:hint="eastAsia"/>
          <w:lang w:val="en-US" w:eastAsia="zh-CN"/>
        </w:rPr>
        <w:t>起重伤害、</w:t>
      </w:r>
      <w:r>
        <w:rPr>
          <w:rFonts w:hint="eastAsia"/>
        </w:rPr>
        <w:t>触电、</w:t>
      </w:r>
      <w:r>
        <w:rPr>
          <w:rFonts w:hint="eastAsia"/>
          <w:lang w:val="en-US" w:eastAsia="zh-CN"/>
        </w:rPr>
        <w:t>淹溺、灼烫、</w:t>
      </w:r>
      <w:r>
        <w:rPr>
          <w:rFonts w:hint="eastAsia"/>
        </w:rPr>
        <w:t>火灾、</w:t>
      </w:r>
      <w:r>
        <w:rPr>
          <w:rFonts w:hint="eastAsia"/>
          <w:lang w:val="en-US" w:eastAsia="zh-CN"/>
        </w:rPr>
        <w:t>高处坠落、坍塌、容器爆炸、其他爆炸、中毒和</w:t>
      </w:r>
      <w:r>
        <w:rPr>
          <w:rFonts w:hint="eastAsia"/>
        </w:rPr>
        <w:t>窒息、</w:t>
      </w:r>
      <w:r>
        <w:rPr>
          <w:rFonts w:hint="eastAsia"/>
          <w:lang w:val="en-US" w:eastAsia="zh-CN"/>
        </w:rPr>
        <w:t>其他伤害</w:t>
      </w:r>
      <w:r>
        <w:rPr>
          <w:rFonts w:hint="eastAsia"/>
        </w:rPr>
        <w:t>等</w:t>
      </w:r>
      <w:r>
        <w:rPr>
          <w:rFonts w:hint="eastAsia"/>
          <w:lang w:eastAsia="zh-CN"/>
        </w:rPr>
        <w:t>。</w:t>
      </w:r>
    </w:p>
    <w:p w14:paraId="1FD719BE">
      <w:pPr>
        <w:pStyle w:val="3"/>
        <w:keepNext w:val="0"/>
        <w:keepLines w:val="0"/>
        <w:pageBreakBefore w:val="0"/>
        <w:widowControl w:val="0"/>
        <w:kinsoku/>
        <w:bidi w:val="0"/>
        <w:ind w:left="575" w:leftChars="0" w:hanging="575" w:firstLineChars="0"/>
      </w:pPr>
      <w:bookmarkStart w:id="1304" w:name="_Toc55945349"/>
      <w:bookmarkStart w:id="1305" w:name="_Toc531271183"/>
      <w:bookmarkStart w:id="1306" w:name="_Toc55033427"/>
      <w:bookmarkStart w:id="1307" w:name="_Toc55567488"/>
      <w:bookmarkStart w:id="1308" w:name="_Toc936"/>
      <w:bookmarkStart w:id="1309" w:name="_Toc60925458"/>
      <w:bookmarkStart w:id="1310" w:name="_Toc20980"/>
      <w:r>
        <w:t>本项目应重点防范的重大事故和危害</w:t>
      </w:r>
      <w:bookmarkEnd w:id="1295"/>
      <w:bookmarkEnd w:id="1296"/>
      <w:bookmarkEnd w:id="1297"/>
      <w:bookmarkEnd w:id="1298"/>
      <w:bookmarkEnd w:id="1299"/>
      <w:bookmarkEnd w:id="1304"/>
      <w:bookmarkEnd w:id="1305"/>
      <w:bookmarkEnd w:id="1306"/>
      <w:bookmarkEnd w:id="1307"/>
      <w:bookmarkEnd w:id="1308"/>
      <w:bookmarkEnd w:id="1309"/>
      <w:bookmarkEnd w:id="1310"/>
    </w:p>
    <w:bookmarkEnd w:id="1300"/>
    <w:bookmarkEnd w:id="1301"/>
    <w:bookmarkEnd w:id="1302"/>
    <w:bookmarkEnd w:id="1303"/>
    <w:p w14:paraId="196D5591">
      <w:pPr>
        <w:keepNext w:val="0"/>
        <w:keepLines w:val="0"/>
        <w:pageBreakBefore w:val="0"/>
        <w:widowControl w:val="0"/>
        <w:kinsoku/>
        <w:wordWrap/>
        <w:overflowPunct/>
        <w:topLinePunct/>
        <w:autoSpaceDE/>
        <w:autoSpaceDN/>
        <w:bidi w:val="0"/>
        <w:adjustRightInd w:val="0"/>
        <w:snapToGrid/>
        <w:ind w:firstLine="560"/>
        <w:textAlignment w:val="auto"/>
        <w:rPr>
          <w:rFonts w:hint="eastAsia" w:ascii="宋体" w:hAnsi="宋体" w:eastAsia="宋体" w:cs="Times New Roman"/>
          <w:szCs w:val="28"/>
        </w:rPr>
      </w:pPr>
      <w:bookmarkStart w:id="1311" w:name="_Toc191800076"/>
      <w:bookmarkStart w:id="1312" w:name="_Toc191375163"/>
      <w:bookmarkStart w:id="1313" w:name="_Toc201697671"/>
      <w:bookmarkStart w:id="1314" w:name="_Toc522811582"/>
      <w:bookmarkStart w:id="1315" w:name="_Toc393462953"/>
      <w:bookmarkStart w:id="1316" w:name="_Toc393463141"/>
      <w:bookmarkStart w:id="1317" w:name="_Toc413501988"/>
      <w:bookmarkStart w:id="1318" w:name="_Toc373853773"/>
      <w:r>
        <w:rPr>
          <w:rFonts w:hint="eastAsia" w:ascii="宋体" w:hAnsi="宋体" w:eastAsia="宋体" w:cs="Times New Roman"/>
          <w:szCs w:val="28"/>
        </w:rPr>
        <w:t>通过分析可知，本项目应重点防范的重大事故和危害：</w:t>
      </w:r>
      <w:bookmarkStart w:id="1319" w:name="_Toc55567489"/>
      <w:bookmarkStart w:id="1320" w:name="_Toc531271184"/>
      <w:bookmarkStart w:id="1321" w:name="_Toc55033428"/>
      <w:bookmarkStart w:id="1322" w:name="_Toc60925459"/>
      <w:bookmarkStart w:id="1323" w:name="_Toc55945350"/>
      <w:r>
        <w:rPr>
          <w:rFonts w:hint="eastAsia" w:ascii="宋体" w:hAnsi="宋体" w:eastAsia="宋体" w:cs="Times New Roman"/>
          <w:szCs w:val="28"/>
        </w:rPr>
        <w:t>火灾</w:t>
      </w:r>
      <w:r>
        <w:rPr>
          <w:rFonts w:hint="eastAsia" w:ascii="宋体" w:hAnsi="宋体" w:eastAsia="宋体" w:cs="Times New Roman"/>
          <w:szCs w:val="28"/>
          <w:lang w:eastAsia="zh-CN"/>
        </w:rPr>
        <w:t>、</w:t>
      </w:r>
      <w:r>
        <w:rPr>
          <w:rFonts w:hint="eastAsia" w:ascii="宋体" w:hAnsi="宋体" w:eastAsia="宋体" w:cs="Times New Roman"/>
          <w:szCs w:val="28"/>
          <w:lang w:val="en-US" w:eastAsia="zh-CN"/>
        </w:rPr>
        <w:t>其他爆炸、</w:t>
      </w:r>
      <w:r>
        <w:rPr>
          <w:rFonts w:hint="eastAsia" w:ascii="宋体" w:hAnsi="宋体" w:eastAsia="宋体" w:cs="Times New Roman"/>
          <w:szCs w:val="28"/>
        </w:rPr>
        <w:t>压力容器爆炸</w:t>
      </w:r>
      <w:r>
        <w:rPr>
          <w:rFonts w:hint="eastAsia" w:ascii="宋体" w:hAnsi="宋体" w:eastAsia="宋体" w:cs="Times New Roman"/>
          <w:szCs w:val="28"/>
          <w:lang w:eastAsia="zh-CN"/>
        </w:rPr>
        <w:t>、</w:t>
      </w:r>
      <w:r>
        <w:rPr>
          <w:rFonts w:hint="eastAsia" w:ascii="宋体" w:hAnsi="宋体" w:eastAsia="宋体" w:cs="Times New Roman"/>
          <w:szCs w:val="28"/>
          <w:lang w:val="en-US" w:eastAsia="zh-CN"/>
        </w:rPr>
        <w:t>车辆伤害</w:t>
      </w:r>
      <w:bookmarkStart w:id="1324" w:name="_Toc373853772"/>
      <w:bookmarkStart w:id="1325" w:name="_Toc393462952"/>
      <w:bookmarkStart w:id="1326" w:name="_Toc393463140"/>
      <w:r>
        <w:rPr>
          <w:rFonts w:hint="eastAsia" w:ascii="宋体" w:hAnsi="宋体" w:eastAsia="宋体" w:cs="Times New Roman"/>
          <w:szCs w:val="28"/>
          <w:lang w:val="en-US" w:eastAsia="zh-CN"/>
        </w:rPr>
        <w:t>、</w:t>
      </w:r>
      <w:r>
        <w:rPr>
          <w:rFonts w:hint="eastAsia" w:ascii="宋体" w:hAnsi="宋体" w:eastAsia="宋体" w:cs="Times New Roman"/>
          <w:szCs w:val="28"/>
        </w:rPr>
        <w:t>机械伤害</w:t>
      </w:r>
      <w:r>
        <w:rPr>
          <w:rFonts w:hint="eastAsia" w:ascii="宋体" w:hAnsi="宋体" w:eastAsia="宋体" w:cs="Times New Roman"/>
          <w:szCs w:val="28"/>
          <w:lang w:eastAsia="zh-CN"/>
        </w:rPr>
        <w:t>、</w:t>
      </w:r>
      <w:r>
        <w:rPr>
          <w:rFonts w:hint="eastAsia" w:ascii="宋体" w:hAnsi="宋体" w:eastAsia="宋体" w:cs="Times New Roman"/>
          <w:szCs w:val="28"/>
          <w:lang w:val="en-US" w:eastAsia="zh-CN"/>
        </w:rPr>
        <w:t>起重伤害、</w:t>
      </w:r>
      <w:r>
        <w:rPr>
          <w:rFonts w:hint="eastAsia" w:ascii="宋体" w:hAnsi="宋体" w:eastAsia="宋体" w:cs="Times New Roman"/>
          <w:szCs w:val="28"/>
        </w:rPr>
        <w:t>触电</w:t>
      </w:r>
      <w:r>
        <w:rPr>
          <w:rFonts w:hint="eastAsia" w:ascii="宋体" w:hAnsi="宋体" w:eastAsia="宋体" w:cs="Times New Roman"/>
          <w:szCs w:val="28"/>
          <w:lang w:eastAsia="zh-CN"/>
        </w:rPr>
        <w:t>、</w:t>
      </w:r>
      <w:r>
        <w:rPr>
          <w:rFonts w:hint="eastAsia" w:ascii="宋体" w:hAnsi="宋体" w:eastAsia="宋体" w:cs="Times New Roman"/>
          <w:szCs w:val="28"/>
          <w:lang w:val="en-US" w:eastAsia="zh-CN"/>
        </w:rPr>
        <w:t>灼烫、高处坠落、</w:t>
      </w:r>
      <w:r>
        <w:rPr>
          <w:rFonts w:hint="eastAsia" w:ascii="宋体" w:hAnsi="宋体" w:eastAsia="宋体" w:cs="Times New Roman"/>
          <w:szCs w:val="28"/>
        </w:rPr>
        <w:t>中毒和窒息</w:t>
      </w:r>
      <w:r>
        <w:rPr>
          <w:rFonts w:hint="eastAsia" w:ascii="宋体" w:hAnsi="宋体" w:eastAsia="宋体" w:cs="Times New Roman"/>
          <w:szCs w:val="28"/>
          <w:lang w:eastAsia="zh-CN"/>
        </w:rPr>
        <w:t>。</w:t>
      </w:r>
    </w:p>
    <w:bookmarkEnd w:id="1311"/>
    <w:bookmarkEnd w:id="1312"/>
    <w:bookmarkEnd w:id="1313"/>
    <w:bookmarkEnd w:id="1324"/>
    <w:bookmarkEnd w:id="1325"/>
    <w:bookmarkEnd w:id="1326"/>
    <w:p w14:paraId="10659338">
      <w:pPr>
        <w:pStyle w:val="3"/>
        <w:keepNext w:val="0"/>
        <w:keepLines w:val="0"/>
        <w:pageBreakBefore w:val="0"/>
        <w:widowControl w:val="0"/>
        <w:kinsoku/>
        <w:bidi w:val="0"/>
        <w:ind w:left="575" w:leftChars="0" w:hanging="575" w:firstLineChars="0"/>
      </w:pPr>
      <w:bookmarkStart w:id="1327" w:name="_Toc10214"/>
      <w:bookmarkStart w:id="1328" w:name="_Toc31550"/>
      <w:r>
        <w:rPr>
          <w:rFonts w:hint="eastAsia"/>
        </w:rPr>
        <w:t>安全设施验收评价</w:t>
      </w:r>
      <w:r>
        <w:t>结论</w:t>
      </w:r>
      <w:bookmarkEnd w:id="1314"/>
      <w:bookmarkEnd w:id="1315"/>
      <w:bookmarkEnd w:id="1316"/>
      <w:bookmarkEnd w:id="1317"/>
      <w:bookmarkEnd w:id="1318"/>
      <w:bookmarkEnd w:id="1319"/>
      <w:bookmarkEnd w:id="1320"/>
      <w:bookmarkEnd w:id="1321"/>
      <w:bookmarkEnd w:id="1322"/>
      <w:bookmarkEnd w:id="1323"/>
      <w:bookmarkEnd w:id="1327"/>
      <w:bookmarkEnd w:id="1328"/>
    </w:p>
    <w:p w14:paraId="3D697529">
      <w:pPr>
        <w:keepNext w:val="0"/>
        <w:keepLines w:val="0"/>
        <w:pageBreakBefore w:val="0"/>
        <w:widowControl w:val="0"/>
        <w:kinsoku/>
        <w:wordWrap/>
        <w:overflowPunct/>
        <w:topLinePunct/>
        <w:autoSpaceDE/>
        <w:autoSpaceDN/>
        <w:bidi w:val="0"/>
        <w:adjustRightInd/>
        <w:snapToGrid/>
        <w:ind w:firstLine="560" w:firstLineChars="200"/>
        <w:textAlignment w:val="auto"/>
        <w:rPr>
          <w:rFonts w:hint="eastAsia" w:ascii="宋体" w:hAnsi="宋体" w:eastAsia="宋体" w:cs="宋体"/>
          <w:szCs w:val="28"/>
        </w:rPr>
      </w:pPr>
      <w:r>
        <w:rPr>
          <w:rFonts w:hint="eastAsia" w:ascii="宋体" w:hAnsi="宋体" w:eastAsia="宋体" w:cs="宋体"/>
          <w:szCs w:val="28"/>
          <w:lang w:val="en-US" w:eastAsia="zh-CN"/>
        </w:rPr>
        <w:t>昭通市鼎安科技有限公司</w:t>
      </w:r>
      <w:r>
        <w:rPr>
          <w:rFonts w:hint="eastAsia" w:ascii="宋体" w:hAnsi="宋体" w:eastAsia="宋体" w:cs="宋体"/>
          <w:szCs w:val="28"/>
        </w:rPr>
        <w:t>本着合法性、科学性、公正性、针对性的原则，依据国家和地方</w:t>
      </w:r>
      <w:r>
        <w:rPr>
          <w:rFonts w:hint="eastAsia" w:ascii="宋体" w:hAnsi="宋体" w:eastAsia="宋体" w:cs="宋体"/>
          <w:szCs w:val="28"/>
          <w:lang w:eastAsia="zh-CN"/>
        </w:rPr>
        <w:t>法律法规</w:t>
      </w:r>
      <w:r>
        <w:rPr>
          <w:rFonts w:hint="eastAsia" w:ascii="宋体" w:hAnsi="宋体" w:eastAsia="宋体" w:cs="宋体"/>
          <w:szCs w:val="28"/>
        </w:rPr>
        <w:t>、标准、规范及政策文件的要求，对</w:t>
      </w:r>
      <w:r>
        <w:rPr>
          <w:rFonts w:hint="eastAsia" w:ascii="宋体" w:hAnsi="宋体" w:eastAsia="宋体" w:cs="宋体"/>
          <w:szCs w:val="28"/>
          <w:lang w:eastAsia="zh-CN"/>
        </w:rPr>
        <w:t>云南东锆新材料有限公司年产3万吨电熔氧化锆陶瓷产业基地建设项目</w:t>
      </w:r>
      <w:r>
        <w:rPr>
          <w:rFonts w:hint="eastAsia" w:ascii="宋体" w:hAnsi="宋体" w:eastAsia="宋体" w:cs="宋体"/>
          <w:szCs w:val="28"/>
        </w:rPr>
        <w:t>的“三同时”符合性、选址及总平面布置、生产工艺及设备设施、安全防护设施、公用工程及辅助设施、特种设备及强制检验设备、安全生产管理等进行了安全设施竣工验收</w:t>
      </w:r>
      <w:r>
        <w:rPr>
          <w:rFonts w:hint="eastAsia" w:ascii="宋体" w:hAnsi="宋体" w:eastAsia="宋体" w:cs="宋体"/>
          <w:szCs w:val="28"/>
          <w:lang w:val="en-US" w:eastAsia="zh-CN"/>
        </w:rPr>
        <w:t>评价</w:t>
      </w:r>
      <w:r>
        <w:rPr>
          <w:rFonts w:hint="eastAsia" w:ascii="宋体" w:hAnsi="宋体" w:eastAsia="宋体" w:cs="宋体"/>
          <w:szCs w:val="28"/>
        </w:rPr>
        <w:t>，作出如下结论：</w:t>
      </w:r>
    </w:p>
    <w:p w14:paraId="06514A57">
      <w:pPr>
        <w:keepNext w:val="0"/>
        <w:keepLines w:val="0"/>
        <w:pageBreakBefore w:val="0"/>
        <w:widowControl w:val="0"/>
        <w:numPr>
          <w:ilvl w:val="0"/>
          <w:numId w:val="168"/>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0"/>
        </w:rPr>
      </w:pPr>
      <w:r>
        <w:rPr>
          <w:rFonts w:hint="eastAsia" w:ascii="宋体" w:hAnsi="宋体" w:eastAsia="宋体" w:cs="宋体"/>
          <w:szCs w:val="20"/>
          <w:lang w:val="en-US" w:eastAsia="zh-CN"/>
        </w:rPr>
        <w:t>该</w:t>
      </w:r>
      <w:r>
        <w:rPr>
          <w:rFonts w:hint="eastAsia" w:ascii="宋体" w:hAnsi="宋体" w:eastAsia="宋体" w:cs="宋体"/>
          <w:szCs w:val="20"/>
        </w:rPr>
        <w:t>项目在设计、施工、验收等过程中，按照国家相关的安全生产法律法规的要求履行了建设程序，安全费用使用符合安全设施设计的要求，符合《建设项目安全设施“三同时”监督管理办法》（国家安全生产监督管理总局令第36号，77号令修订）的要求。</w:t>
      </w:r>
    </w:p>
    <w:p w14:paraId="316D29DA">
      <w:pPr>
        <w:keepNext w:val="0"/>
        <w:keepLines w:val="0"/>
        <w:pageBreakBefore w:val="0"/>
        <w:widowControl w:val="0"/>
        <w:numPr>
          <w:ilvl w:val="0"/>
          <w:numId w:val="168"/>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szCs w:val="20"/>
        </w:rPr>
        <w:t>该项目选址、总平面布置及建构筑物等相关内容总体符合《建筑设计防火规范（2018年版）》（GB 50016-2014）、《工业企业总平面设计规范》（GB 50187-2012）等相关标准、规范的要求。</w:t>
      </w:r>
    </w:p>
    <w:p w14:paraId="23503FC9">
      <w:pPr>
        <w:keepNext w:val="0"/>
        <w:keepLines w:val="0"/>
        <w:pageBreakBefore w:val="0"/>
        <w:widowControl w:val="0"/>
        <w:numPr>
          <w:ilvl w:val="0"/>
          <w:numId w:val="168"/>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lang w:val="en-US" w:eastAsia="zh-CN"/>
        </w:rPr>
        <w:t>该</w:t>
      </w:r>
      <w:r>
        <w:rPr>
          <w:rFonts w:hint="eastAsia" w:ascii="宋体" w:hAnsi="宋体" w:eastAsia="宋体" w:cs="宋体"/>
          <w:szCs w:val="28"/>
        </w:rPr>
        <w:t>项目</w:t>
      </w:r>
      <w:r>
        <w:rPr>
          <w:rFonts w:hint="eastAsia" w:ascii="宋体" w:hAnsi="宋体" w:eastAsia="宋体" w:cs="宋体"/>
          <w:szCs w:val="28"/>
          <w:lang w:val="en-US" w:eastAsia="zh-CN"/>
        </w:rPr>
        <w:t>物料、产品在生产、输送、储存、使用、废弃等环节的防范措施符合</w:t>
      </w:r>
      <w:r>
        <w:rPr>
          <w:rFonts w:hint="eastAsia" w:ascii="宋体" w:hAnsi="宋体" w:eastAsia="宋体" w:cs="宋体"/>
          <w:szCs w:val="28"/>
          <w:lang w:eastAsia="zh-CN"/>
        </w:rPr>
        <w:t>《</w:t>
      </w:r>
      <w:r>
        <w:rPr>
          <w:rFonts w:hint="eastAsia" w:ascii="宋体" w:hAnsi="宋体" w:eastAsia="宋体" w:cs="宋体"/>
          <w:szCs w:val="28"/>
        </w:rPr>
        <w:t>生产过程安全卫生要求总则》（GB/T12801-2008）等规范标准</w:t>
      </w:r>
      <w:r>
        <w:rPr>
          <w:rFonts w:hint="eastAsia" w:ascii="宋体" w:hAnsi="宋体" w:eastAsia="宋体" w:cs="宋体"/>
          <w:szCs w:val="28"/>
          <w:lang w:val="en-US" w:eastAsia="zh-CN"/>
        </w:rPr>
        <w:t>要求</w:t>
      </w:r>
      <w:r>
        <w:rPr>
          <w:rFonts w:hint="eastAsia" w:ascii="宋体" w:hAnsi="宋体" w:eastAsia="宋体" w:cs="宋体"/>
          <w:szCs w:val="28"/>
        </w:rPr>
        <w:t>。</w:t>
      </w:r>
    </w:p>
    <w:p w14:paraId="2C07C4DA">
      <w:pPr>
        <w:keepNext w:val="0"/>
        <w:keepLines w:val="0"/>
        <w:pageBreakBefore w:val="0"/>
        <w:widowControl w:val="0"/>
        <w:numPr>
          <w:ilvl w:val="0"/>
          <w:numId w:val="168"/>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lang w:val="en-US" w:eastAsia="zh-CN"/>
        </w:rPr>
        <w:t>该</w:t>
      </w:r>
      <w:r>
        <w:rPr>
          <w:rFonts w:hint="eastAsia" w:ascii="宋体" w:hAnsi="宋体" w:eastAsia="宋体" w:cs="宋体"/>
        </w:rPr>
        <w:t>项目</w:t>
      </w:r>
      <w:r>
        <w:rPr>
          <w:rFonts w:hint="eastAsia" w:ascii="宋体" w:hAnsi="宋体" w:eastAsia="宋体" w:cs="宋体"/>
          <w:lang w:val="en-US" w:eastAsia="zh-CN"/>
        </w:rPr>
        <w:t>给排水、供配电、防雷接地、消防、采暖通风、供气系统、</w:t>
      </w:r>
      <w:r>
        <w:rPr>
          <w:rFonts w:hint="eastAsia" w:ascii="宋体" w:hAnsi="宋体" w:eastAsia="宋体" w:cs="宋体"/>
        </w:rPr>
        <w:t>自动控制及通信设施</w:t>
      </w:r>
      <w:r>
        <w:rPr>
          <w:rFonts w:hint="eastAsia" w:ascii="宋体" w:hAnsi="宋体" w:eastAsia="宋体" w:cs="宋体"/>
          <w:lang w:val="en-US" w:eastAsia="zh-CN"/>
        </w:rPr>
        <w:t>等</w:t>
      </w:r>
      <w:r>
        <w:rPr>
          <w:rFonts w:hint="eastAsia" w:ascii="宋体" w:hAnsi="宋体" w:eastAsia="宋体" w:cs="宋体"/>
        </w:rPr>
        <w:t>公用和辅助设备设施</w:t>
      </w:r>
      <w:r>
        <w:rPr>
          <w:rFonts w:hint="eastAsia" w:ascii="宋体" w:hAnsi="宋体" w:eastAsia="宋体" w:cs="宋体"/>
          <w:lang w:val="en-US" w:eastAsia="zh-CN"/>
        </w:rPr>
        <w:t>单元</w:t>
      </w:r>
      <w:r>
        <w:rPr>
          <w:rFonts w:hint="eastAsia" w:ascii="宋体" w:hAnsi="宋体" w:eastAsia="宋体" w:cs="宋体"/>
        </w:rPr>
        <w:t>符合</w:t>
      </w:r>
      <w:r>
        <w:rPr>
          <w:rFonts w:hint="eastAsia" w:ascii="宋体" w:hAnsi="宋体" w:eastAsia="宋体" w:cs="宋体"/>
          <w:lang w:val="en-US" w:eastAsia="zh-CN"/>
        </w:rPr>
        <w:t>国家相关法律法规、</w:t>
      </w:r>
      <w:r>
        <w:rPr>
          <w:rFonts w:hint="eastAsia" w:ascii="宋体" w:hAnsi="宋体" w:eastAsia="宋体" w:cs="宋体"/>
        </w:rPr>
        <w:t>标准规范</w:t>
      </w:r>
      <w:r>
        <w:rPr>
          <w:rFonts w:hint="eastAsia" w:ascii="宋体" w:hAnsi="宋体" w:eastAsia="宋体" w:cs="宋体"/>
          <w:lang w:val="en-US" w:eastAsia="zh-CN"/>
        </w:rPr>
        <w:t>的要求。</w:t>
      </w:r>
    </w:p>
    <w:p w14:paraId="11C47BED">
      <w:pPr>
        <w:keepNext w:val="0"/>
        <w:keepLines w:val="0"/>
        <w:pageBreakBefore w:val="0"/>
        <w:widowControl w:val="0"/>
        <w:numPr>
          <w:ilvl w:val="0"/>
          <w:numId w:val="168"/>
        </w:numPr>
        <w:kinsoku/>
        <w:wordWrap w:val="0"/>
        <w:overflowPunct/>
        <w:topLinePunct/>
        <w:autoSpaceDE/>
        <w:autoSpaceDN/>
        <w:bidi w:val="0"/>
        <w:adjustRightInd/>
        <w:snapToGrid/>
        <w:ind w:left="0" w:leftChars="0" w:firstLine="560" w:firstLineChars="200"/>
        <w:jc w:val="both"/>
        <w:textAlignment w:val="auto"/>
        <w:rPr>
          <w:rFonts w:hint="eastAsia" w:ascii="宋体" w:hAnsi="宋体" w:eastAsia="宋体" w:cs="宋体"/>
          <w:lang w:val="en-US" w:eastAsia="zh-CN"/>
        </w:rPr>
      </w:pPr>
      <w:r>
        <w:rPr>
          <w:rFonts w:hint="eastAsia" w:ascii="宋体" w:hAnsi="宋体" w:eastAsia="宋体" w:cs="宋体"/>
          <w:szCs w:val="20"/>
          <w:lang w:val="en-US" w:eastAsia="zh-CN"/>
        </w:rPr>
        <w:t>该</w:t>
      </w:r>
      <w:r>
        <w:rPr>
          <w:rFonts w:hint="eastAsia" w:ascii="宋体" w:hAnsi="宋体" w:eastAsia="宋体" w:cs="宋体"/>
          <w:szCs w:val="20"/>
        </w:rPr>
        <w:t>项目特种设备的安装、使用符合《中华人民共和国特种设备安全法》（中华人民共和国主席令第4号）、《特种设备安全监察条例》《固定式压力容器安全技术监察规程》行业标准第1号修改单（TSG21-2016/XG1-2020）、《场（厂）内专用机动车辆安全技术规程》（TSG81-2022）等国家相关的规定要求。项目涉及的压力表、安全阀等强制检验设备设施按要求进行了检验。</w:t>
      </w:r>
    </w:p>
    <w:p w14:paraId="5C1309AA">
      <w:pPr>
        <w:keepNext w:val="0"/>
        <w:keepLines w:val="0"/>
        <w:pageBreakBefore w:val="0"/>
        <w:widowControl w:val="0"/>
        <w:numPr>
          <w:ilvl w:val="0"/>
          <w:numId w:val="168"/>
        </w:numPr>
        <w:kinsoku/>
        <w:wordWrap w:val="0"/>
        <w:overflowPunct/>
        <w:topLinePunct/>
        <w:autoSpaceDE/>
        <w:autoSpaceDN/>
        <w:bidi w:val="0"/>
        <w:adjustRightInd/>
        <w:snapToGrid/>
        <w:ind w:left="0" w:leftChars="0" w:firstLine="560" w:firstLineChars="200"/>
        <w:jc w:val="both"/>
        <w:textAlignment w:val="auto"/>
        <w:rPr>
          <w:rFonts w:hint="eastAsia" w:ascii="宋体" w:hAnsi="宋体" w:eastAsia="宋体" w:cs="宋体"/>
          <w:lang w:val="en-US" w:eastAsia="zh-CN"/>
        </w:rPr>
      </w:pPr>
      <w:r>
        <w:rPr>
          <w:rFonts w:hint="eastAsia" w:ascii="宋体" w:hAnsi="宋体" w:eastAsia="宋体" w:cs="宋体"/>
        </w:rPr>
        <w:t>项目与周边企业有道路相隔，</w:t>
      </w:r>
      <w:r>
        <w:rPr>
          <w:rFonts w:hint="eastAsia" w:ascii="宋体" w:hAnsi="宋体" w:eastAsia="宋体" w:cs="宋体"/>
          <w:lang w:val="en-US" w:eastAsia="zh-CN"/>
        </w:rPr>
        <w:t>项目同周边的防火间距满足规范要求，项目对周边环境影响较小，反之周边环境对项目影响也较小</w:t>
      </w:r>
      <w:r>
        <w:rPr>
          <w:rFonts w:hint="eastAsia" w:ascii="宋体" w:hAnsi="宋体" w:eastAsia="宋体" w:cs="宋体"/>
        </w:rPr>
        <w:t>。</w:t>
      </w:r>
    </w:p>
    <w:p w14:paraId="42F9FF0C">
      <w:pPr>
        <w:keepNext w:val="0"/>
        <w:keepLines w:val="0"/>
        <w:pageBreakBefore w:val="0"/>
        <w:widowControl w:val="0"/>
        <w:numPr>
          <w:ilvl w:val="0"/>
          <w:numId w:val="168"/>
        </w:numPr>
        <w:kinsoku/>
        <w:wordWrap/>
        <w:overflowPunct/>
        <w:topLinePunct/>
        <w:autoSpaceDE/>
        <w:autoSpaceDN/>
        <w:bidi w:val="0"/>
        <w:spacing w:line="500" w:lineRule="exact"/>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lang w:eastAsia="zh-CN"/>
        </w:rPr>
        <w:t>云南东锆新材料有限公司</w:t>
      </w:r>
      <w:r>
        <w:rPr>
          <w:rFonts w:hint="eastAsia" w:ascii="宋体" w:hAnsi="宋体" w:eastAsia="宋体" w:cs="宋体"/>
          <w:szCs w:val="28"/>
        </w:rPr>
        <w:t>各级人员安全职责明确，安全生产责任制、管理制度、操作规程健全、可行，并能切实得到落实；</w:t>
      </w:r>
      <w:r>
        <w:rPr>
          <w:rFonts w:hint="eastAsia" w:ascii="宋体" w:hAnsi="宋体" w:eastAsia="宋体" w:cs="宋体"/>
          <w:szCs w:val="28"/>
          <w:lang w:val="en-US" w:eastAsia="zh-CN"/>
        </w:rPr>
        <w:t>为职工购买了工伤保险，按要求</w:t>
      </w:r>
      <w:r>
        <w:rPr>
          <w:rFonts w:hint="eastAsia" w:ascii="宋体" w:hAnsi="宋体" w:eastAsia="宋体" w:cs="宋体"/>
          <w:szCs w:val="28"/>
        </w:rPr>
        <w:t>为从业人员配发了相应的劳动防护用品，并对日常的佩戴使用情况进行检查。</w:t>
      </w:r>
    </w:p>
    <w:p w14:paraId="2DB0B6D2">
      <w:pPr>
        <w:keepNext w:val="0"/>
        <w:keepLines w:val="0"/>
        <w:pageBreakBefore w:val="0"/>
        <w:widowControl w:val="0"/>
        <w:kinsoku/>
        <w:wordWrap/>
        <w:overflowPunct/>
        <w:topLinePunct/>
        <w:autoSpaceDE/>
        <w:autoSpaceDN/>
        <w:bidi w:val="0"/>
        <w:adjustRightInd w:val="0"/>
        <w:snapToGrid w:val="0"/>
        <w:spacing w:line="500" w:lineRule="exact"/>
        <w:ind w:firstLine="560" w:firstLineChars="200"/>
        <w:textAlignment w:val="auto"/>
        <w:rPr>
          <w:rFonts w:hint="eastAsia" w:ascii="宋体" w:hAnsi="宋体" w:eastAsia="宋体" w:cs="宋体"/>
          <w:b/>
          <w:szCs w:val="28"/>
          <w:lang w:eastAsia="zh-CN"/>
        </w:rPr>
      </w:pPr>
      <w:r>
        <w:rPr>
          <w:rFonts w:hint="eastAsia" w:ascii="宋体" w:hAnsi="宋体" w:eastAsia="宋体" w:cs="宋体"/>
          <w:b w:val="0"/>
          <w:bCs/>
          <w:szCs w:val="28"/>
        </w:rPr>
        <w:t>安全验收评价结论：</w:t>
      </w:r>
      <w:r>
        <w:rPr>
          <w:rFonts w:hint="eastAsia" w:ascii="宋体" w:hAnsi="宋体" w:eastAsia="宋体" w:cs="宋体"/>
          <w:b/>
          <w:szCs w:val="28"/>
          <w:lang w:eastAsia="zh-CN"/>
        </w:rPr>
        <w:t>云南东锆新材料有限公司年产3万吨电熔氧化锆陶瓷产业基地建设项目一期工程符合国家相关安全法律法规、标准的要求，具备安全设施</w:t>
      </w:r>
      <w:r>
        <w:rPr>
          <w:rFonts w:hint="eastAsia" w:ascii="宋体" w:hAnsi="宋体" w:eastAsia="宋体" w:cs="宋体"/>
          <w:b/>
          <w:szCs w:val="28"/>
          <w:lang w:val="en-US" w:eastAsia="zh-CN"/>
        </w:rPr>
        <w:t>竣工</w:t>
      </w:r>
      <w:r>
        <w:rPr>
          <w:rFonts w:hint="eastAsia" w:ascii="宋体" w:hAnsi="宋体" w:eastAsia="宋体" w:cs="宋体"/>
          <w:b/>
          <w:szCs w:val="28"/>
          <w:lang w:eastAsia="zh-CN"/>
        </w:rPr>
        <w:t>验收条件。</w:t>
      </w:r>
    </w:p>
    <w:p w14:paraId="052CADED">
      <w:pPr>
        <w:keepNext w:val="0"/>
        <w:keepLines w:val="0"/>
        <w:pageBreakBefore w:val="0"/>
        <w:widowControl w:val="0"/>
        <w:kinsoku/>
        <w:wordWrap/>
        <w:overflowPunct/>
        <w:topLinePunct/>
        <w:autoSpaceDE/>
        <w:autoSpaceDN/>
        <w:bidi w:val="0"/>
        <w:spacing w:line="500" w:lineRule="exact"/>
        <w:ind w:firstLine="560" w:firstLineChars="200"/>
        <w:textAlignment w:val="auto"/>
        <w:rPr>
          <w:rFonts w:hint="eastAsia" w:ascii="宋体" w:hAnsi="宋体" w:eastAsia="宋体" w:cs="宋体"/>
        </w:rPr>
      </w:pPr>
      <w:r>
        <w:rPr>
          <w:rFonts w:hint="eastAsia" w:ascii="宋体" w:hAnsi="宋体" w:eastAsia="宋体" w:cs="宋体"/>
          <w:szCs w:val="28"/>
        </w:rPr>
        <w:t>总之，安全生产是一个不断完善的过程，企业应按照本报告提出的对策措施建议进行整改完善。在今后的安全生产过程中，应根据安全生产条件的变化和国家法规的进一步要求，不断完善安全技术措施和管理措施，提升安全技术水平，防止生产安全事故的发生，切实保障人民生命和企业财产的安全。</w:t>
      </w:r>
    </w:p>
    <w:p w14:paraId="3342D8BE">
      <w:pPr>
        <w:keepNext w:val="0"/>
        <w:keepLines w:val="0"/>
        <w:pageBreakBefore w:val="0"/>
        <w:widowControl w:val="0"/>
        <w:tabs>
          <w:tab w:val="left" w:pos="3780"/>
        </w:tabs>
        <w:kinsoku/>
        <w:wordWrap/>
        <w:overflowPunct/>
        <w:topLinePunct/>
        <w:autoSpaceDE/>
        <w:autoSpaceDN/>
        <w:bidi w:val="0"/>
        <w:ind w:firstLine="560" w:firstLineChars="200"/>
        <w:textAlignment w:val="auto"/>
        <w:rPr>
          <w:rFonts w:hint="eastAsia" w:ascii="宋体" w:hAnsi="宋体" w:eastAsia="宋体" w:cs="宋体"/>
        </w:rPr>
        <w:sectPr>
          <w:pgSz w:w="11907" w:h="16840"/>
          <w:pgMar w:top="1440" w:right="1800" w:bottom="1440" w:left="1800" w:header="850" w:footer="992" w:gutter="0"/>
          <w:pgBorders>
            <w:top w:val="none" w:sz="0" w:space="0"/>
            <w:left w:val="none" w:sz="0" w:space="0"/>
            <w:bottom w:val="none" w:sz="0" w:space="0"/>
            <w:right w:val="none" w:sz="0" w:space="0"/>
          </w:pgBorders>
          <w:pgNumType w:fmt="decimal"/>
          <w:cols w:space="720" w:num="1"/>
          <w:docGrid w:linePitch="312" w:charSpace="0"/>
        </w:sectPr>
      </w:pPr>
    </w:p>
    <w:p w14:paraId="78B107DA">
      <w:pPr>
        <w:pStyle w:val="2"/>
        <w:keepNext w:val="0"/>
        <w:keepLines w:val="0"/>
        <w:pageBreakBefore w:val="0"/>
        <w:widowControl w:val="0"/>
        <w:kinsoku/>
        <w:bidi w:val="0"/>
      </w:pPr>
      <w:bookmarkStart w:id="1329" w:name="_Toc4287"/>
      <w:bookmarkStart w:id="1330" w:name="_Toc14785"/>
      <w:r>
        <w:rPr>
          <w:rFonts w:hint="eastAsia"/>
        </w:rPr>
        <w:t>与建</w:t>
      </w:r>
      <w:r>
        <w:rPr>
          <w:rFonts w:hint="eastAsia"/>
          <w:lang w:val="en-US" w:eastAsia="zh-CN"/>
        </w:rPr>
        <w:t>设</w:t>
      </w:r>
      <w:r>
        <w:rPr>
          <w:rFonts w:hint="eastAsia"/>
        </w:rPr>
        <w:t>单位交换</w:t>
      </w:r>
      <w:r>
        <w:rPr>
          <w:rFonts w:hint="eastAsia"/>
          <w:lang w:val="en-US" w:eastAsia="zh-CN"/>
        </w:rPr>
        <w:t>意见</w:t>
      </w:r>
      <w:r>
        <w:rPr>
          <w:rFonts w:hint="eastAsia"/>
        </w:rPr>
        <w:t>的</w:t>
      </w:r>
      <w:r>
        <w:rPr>
          <w:rFonts w:hint="eastAsia"/>
          <w:lang w:val="en-US" w:eastAsia="zh-CN"/>
        </w:rPr>
        <w:t>情况</w:t>
      </w:r>
      <w:bookmarkEnd w:id="1329"/>
      <w:bookmarkEnd w:id="1330"/>
    </w:p>
    <w:p w14:paraId="4198794C">
      <w:pPr>
        <w:keepNext w:val="0"/>
        <w:keepLines w:val="0"/>
        <w:pageBreakBefore w:val="0"/>
        <w:widowControl w:val="0"/>
        <w:kinsoku/>
        <w:bidi w:val="0"/>
        <w:rPr>
          <w:rFonts w:hint="eastAsia" w:ascii="宋体" w:hAnsi="宋体" w:eastAsia="宋体" w:cs="宋体"/>
          <w:lang w:val="en-US" w:eastAsia="zh-CN"/>
        </w:rPr>
      </w:pPr>
      <w:r>
        <w:rPr>
          <w:rFonts w:hint="eastAsia" w:ascii="宋体" w:hAnsi="宋体" w:eastAsia="宋体" w:cs="宋体"/>
          <w:lang w:val="en-US" w:eastAsia="zh-CN"/>
        </w:rPr>
        <w:t>针对项目验收评价过程中发现的问题，评价组向云南东锆新材料有限公司交换了意见，提出下面的意见建议：</w:t>
      </w:r>
    </w:p>
    <w:p w14:paraId="01D15947">
      <w:pPr>
        <w:keepNext w:val="0"/>
        <w:keepLines w:val="0"/>
        <w:pageBreakBefore w:val="0"/>
        <w:widowControl w:val="0"/>
        <w:numPr>
          <w:ilvl w:val="0"/>
          <w:numId w:val="169"/>
        </w:numPr>
        <w:kinsoku/>
        <w:wordWrap/>
        <w:overflowPunct/>
        <w:topLinePunct w:val="0"/>
        <w:autoSpaceDE/>
        <w:autoSpaceDN/>
        <w:bidi w:val="0"/>
        <w:adjustRightInd/>
        <w:snapToGrid/>
        <w:ind w:left="0"/>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企业应按照《中华人民共和国安全生产法》等相关法律法规的要求，加强安全生产标准化、信息化建设，构建安全风险分级管控和隐患排查治理双重预防机制，健全风险防范化解机制，提高安全生产水平，确保安全生产。</w:t>
      </w:r>
    </w:p>
    <w:p w14:paraId="78F0D4BA">
      <w:pPr>
        <w:keepNext w:val="0"/>
        <w:keepLines w:val="0"/>
        <w:pageBreakBefore w:val="0"/>
        <w:widowControl w:val="0"/>
        <w:numPr>
          <w:ilvl w:val="0"/>
          <w:numId w:val="169"/>
        </w:numPr>
        <w:kinsoku/>
        <w:wordWrap/>
        <w:overflowPunct/>
        <w:topLinePunct w:val="0"/>
        <w:autoSpaceDE/>
        <w:autoSpaceDN/>
        <w:bidi w:val="0"/>
        <w:adjustRightInd/>
        <w:snapToGrid/>
        <w:ind w:left="0"/>
        <w:textAlignment w:val="auto"/>
        <w:rPr>
          <w:rFonts w:hint="eastAsia" w:ascii="宋体" w:hAnsi="宋体" w:eastAsia="宋体" w:cs="宋体"/>
          <w:lang w:eastAsia="zh-CN"/>
        </w:rPr>
      </w:pPr>
      <w:r>
        <w:rPr>
          <w:rFonts w:hint="eastAsia" w:ascii="宋体" w:hAnsi="宋体" w:eastAsia="宋体" w:cs="宋体"/>
          <w:color w:val="auto"/>
          <w:lang w:val="en-US" w:eastAsia="zh-CN"/>
        </w:rPr>
        <w:t>企业应当认真组织应急预案、应急知识、自救互救和避险逃生技能的培训活动，使有关人员了解应急预案内容，熟悉应急职责、应急处置程序和措施。并根据公司制定的应急预案，每年制定应急预案演练计划，定期开展综合（专项）应急预案演练和现场处置方案演练。</w:t>
      </w:r>
    </w:p>
    <w:p w14:paraId="335550A4">
      <w:pPr>
        <w:keepNext w:val="0"/>
        <w:keepLines w:val="0"/>
        <w:pageBreakBefore w:val="0"/>
        <w:widowControl w:val="0"/>
        <w:numPr>
          <w:ilvl w:val="0"/>
          <w:numId w:val="169"/>
        </w:numPr>
        <w:kinsoku/>
        <w:wordWrap/>
        <w:overflowPunct/>
        <w:topLinePunct w:val="0"/>
        <w:autoSpaceDE/>
        <w:autoSpaceDN/>
        <w:bidi w:val="0"/>
        <w:adjustRightInd/>
        <w:snapToGrid/>
        <w:ind w:left="0"/>
        <w:textAlignment w:val="auto"/>
        <w:rPr>
          <w:rFonts w:hint="eastAsia" w:ascii="宋体" w:hAnsi="宋体" w:eastAsia="宋体" w:cs="宋体"/>
          <w:color w:val="auto"/>
          <w:lang w:val="en-US" w:eastAsia="zh-CN"/>
        </w:rPr>
        <w:sectPr>
          <w:pgSz w:w="11905" w:h="16838"/>
          <w:pgMar w:top="1440" w:right="1800" w:bottom="1440" w:left="1800" w:header="1134" w:footer="850" w:gutter="0"/>
          <w:pgBorders>
            <w:top w:val="none" w:sz="0" w:space="0"/>
            <w:left w:val="none" w:sz="0" w:space="0"/>
            <w:bottom w:val="none" w:sz="0" w:space="0"/>
            <w:right w:val="none" w:sz="0" w:space="0"/>
          </w:pgBorders>
          <w:pgNumType w:fmt="decimal"/>
          <w:cols w:space="720" w:num="1"/>
          <w:docGrid w:linePitch="312" w:charSpace="0"/>
        </w:sectPr>
      </w:pPr>
      <w:r>
        <w:rPr>
          <w:rFonts w:hint="eastAsia" w:ascii="宋体" w:hAnsi="宋体" w:eastAsia="宋体" w:cs="宋体"/>
          <w:color w:val="auto"/>
          <w:lang w:val="en-US" w:eastAsia="zh-CN"/>
        </w:rPr>
        <w:t>云南东锆新材料有限公司对评价小组提出的意见和建议完全接受。</w:t>
      </w:r>
      <w:bookmarkStart w:id="1333" w:name="_GoBack"/>
      <w:bookmarkEnd w:id="1333"/>
    </w:p>
    <w:p w14:paraId="2C204E99">
      <w:pPr>
        <w:pStyle w:val="2"/>
        <w:keepNext w:val="0"/>
        <w:keepLines w:val="0"/>
        <w:pageBreakBefore w:val="0"/>
        <w:widowControl w:val="0"/>
        <w:numPr>
          <w:ilvl w:val="0"/>
          <w:numId w:val="0"/>
        </w:numPr>
        <w:kinsoku/>
        <w:bidi w:val="0"/>
        <w:ind w:left="0" w:leftChars="0" w:right="0" w:rightChars="0" w:firstLine="0" w:firstLineChars="0"/>
        <w:jc w:val="left"/>
        <w:rPr>
          <w:rFonts w:hint="eastAsia"/>
          <w:lang w:val="en-US" w:eastAsia="zh-CN"/>
        </w:rPr>
      </w:pPr>
      <w:bookmarkStart w:id="1331" w:name="_Toc14918"/>
      <w:r>
        <w:rPr>
          <w:rFonts w:hint="eastAsia"/>
          <w:lang w:val="en-US" w:eastAsia="zh-CN"/>
        </w:rPr>
        <w:t>附件和附图</w:t>
      </w:r>
      <w:bookmarkEnd w:id="1331"/>
    </w:p>
    <w:p w14:paraId="3A743A42">
      <w:pPr>
        <w:numPr>
          <w:ilvl w:val="0"/>
          <w:numId w:val="0"/>
        </w:numPr>
        <w:ind w:leftChars="0"/>
        <w:outlineLvl w:val="9"/>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附件</w:t>
      </w:r>
    </w:p>
    <w:p w14:paraId="7233BF48">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委托书</w:t>
      </w:r>
    </w:p>
    <w:p w14:paraId="0EA2CE75">
      <w:pPr>
        <w:numPr>
          <w:ilvl w:val="0"/>
          <w:numId w:val="170"/>
        </w:numPr>
        <w:ind w:left="425" w:leftChars="0" w:hanging="425" w:firstLineChars="0"/>
        <w:outlineLvl w:val="9"/>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提供材料真实性承诺书</w:t>
      </w:r>
    </w:p>
    <w:p w14:paraId="440CB33E">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营业执照</w:t>
      </w:r>
    </w:p>
    <w:p w14:paraId="6FBA5D82">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投资项目备案证</w:t>
      </w:r>
    </w:p>
    <w:p w14:paraId="1D20AFE4">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kern w:val="2"/>
          <w:szCs w:val="32"/>
          <w:lang w:val="en-US" w:eastAsia="zh-CN" w:bidi="ar-SA"/>
        </w:rPr>
        <w:t>建设用地规划许可证</w:t>
      </w:r>
    </w:p>
    <w:p w14:paraId="6F157DB3">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kern w:val="2"/>
          <w:szCs w:val="32"/>
          <w:lang w:val="en-US" w:eastAsia="zh-CN" w:bidi="ar-SA"/>
        </w:rPr>
        <w:t>建设工程规划许可证</w:t>
      </w:r>
    </w:p>
    <w:p w14:paraId="708B529D">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kern w:val="2"/>
          <w:szCs w:val="32"/>
          <w:lang w:val="en-US" w:eastAsia="zh-CN" w:bidi="ar-SA"/>
        </w:rPr>
        <w:t>不动产权证书</w:t>
      </w:r>
    </w:p>
    <w:p w14:paraId="719DBA76">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《安全预评价》封面及资质证书、专家审查意见</w:t>
      </w:r>
    </w:p>
    <w:p w14:paraId="690062B4">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《安全设施设计》封面及资质证书、专家评审意见</w:t>
      </w:r>
    </w:p>
    <w:p w14:paraId="46DB6A37">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《岩土工程勘察报告》</w:t>
      </w:r>
    </w:p>
    <w:p w14:paraId="566C9FEC">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施工单位资质</w:t>
      </w:r>
    </w:p>
    <w:p w14:paraId="69D45A1A">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监理单位资质</w:t>
      </w:r>
    </w:p>
    <w:p w14:paraId="67669071">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竣工验收报告</w:t>
      </w:r>
    </w:p>
    <w:p w14:paraId="070F69A4">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监理报告</w:t>
      </w:r>
    </w:p>
    <w:p w14:paraId="0F9CFAFE">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kern w:val="2"/>
          <w:szCs w:val="32"/>
          <w:lang w:val="en-US" w:eastAsia="zh-CN" w:bidi="ar-SA"/>
        </w:rPr>
        <w:t>试生产情况报告</w:t>
      </w:r>
    </w:p>
    <w:p w14:paraId="10F5F113">
      <w:pPr>
        <w:numPr>
          <w:ilvl w:val="0"/>
          <w:numId w:val="170"/>
        </w:numPr>
        <w:ind w:left="425" w:leftChars="0" w:hanging="425" w:firstLineChars="0"/>
        <w:outlineLvl w:val="9"/>
        <w:rPr>
          <w:rFonts w:hint="eastAsia"/>
          <w:lang w:val="en-US" w:eastAsia="zh-CN"/>
        </w:rPr>
      </w:pPr>
      <w:r>
        <w:rPr>
          <w:rFonts w:hint="eastAsia"/>
          <w:lang w:val="en-US" w:eastAsia="zh-CN"/>
        </w:rPr>
        <w:t>防雷检测</w:t>
      </w:r>
    </w:p>
    <w:p w14:paraId="1B6B47EB">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压力容器安装改造、使用登记证及检测记录</w:t>
      </w:r>
    </w:p>
    <w:p w14:paraId="2F539536">
      <w:pPr>
        <w:numPr>
          <w:ilvl w:val="0"/>
          <w:numId w:val="170"/>
        </w:numPr>
        <w:ind w:left="425" w:leftChars="0" w:hanging="425" w:firstLineChars="0"/>
        <w:outlineLvl w:val="9"/>
        <w:rPr>
          <w:rFonts w:hint="eastAsia"/>
          <w:lang w:val="en-US" w:eastAsia="zh-CN"/>
        </w:rPr>
      </w:pPr>
      <w:r>
        <w:rPr>
          <w:rFonts w:hint="eastAsia" w:asciiTheme="minorEastAsia" w:hAnsiTheme="minorEastAsia" w:eastAsiaTheme="minorEastAsia" w:cstheme="minorEastAsia"/>
          <w:lang w:val="en-US" w:eastAsia="zh-CN"/>
        </w:rPr>
        <w:t>压力表、安全阀校验记录</w:t>
      </w:r>
    </w:p>
    <w:p w14:paraId="20437C7E">
      <w:pPr>
        <w:numPr>
          <w:ilvl w:val="0"/>
          <w:numId w:val="170"/>
        </w:numPr>
        <w:ind w:left="425" w:leftChars="0" w:hanging="425" w:firstLineChars="0"/>
        <w:outlineLvl w:val="9"/>
        <w:rPr>
          <w:rFonts w:hint="eastAsia"/>
          <w:lang w:val="en-US" w:eastAsia="zh-CN"/>
        </w:rPr>
      </w:pPr>
      <w:r>
        <w:rPr>
          <w:rFonts w:hint="eastAsia" w:asciiTheme="minorEastAsia" w:hAnsiTheme="minorEastAsia" w:eastAsiaTheme="minorEastAsia" w:cstheme="minorEastAsia"/>
          <w:kern w:val="2"/>
          <w:szCs w:val="32"/>
          <w:lang w:val="en-US" w:eastAsia="zh-CN" w:bidi="ar-SA"/>
        </w:rPr>
        <w:t>起重机械</w:t>
      </w:r>
      <w:r>
        <w:rPr>
          <w:rFonts w:hint="eastAsia" w:asciiTheme="minorEastAsia" w:hAnsiTheme="minorEastAsia" w:eastAsiaTheme="minorEastAsia" w:cstheme="minorEastAsia"/>
          <w:lang w:val="en-US" w:eastAsia="zh-CN"/>
        </w:rPr>
        <w:t>使用登记证及检验记录</w:t>
      </w:r>
    </w:p>
    <w:p w14:paraId="107C2989">
      <w:pPr>
        <w:numPr>
          <w:ilvl w:val="0"/>
          <w:numId w:val="170"/>
        </w:numPr>
        <w:ind w:left="425" w:leftChars="0" w:hanging="425" w:firstLineChars="0"/>
        <w:outlineLvl w:val="9"/>
        <w:rPr>
          <w:rFonts w:hint="eastAsia"/>
          <w:lang w:val="en-US" w:eastAsia="zh-CN"/>
        </w:rPr>
      </w:pPr>
      <w:r>
        <w:rPr>
          <w:rFonts w:hint="eastAsia" w:asciiTheme="minorEastAsia" w:hAnsiTheme="minorEastAsia" w:eastAsiaTheme="minorEastAsia" w:cstheme="minorEastAsia"/>
          <w:kern w:val="2"/>
          <w:szCs w:val="32"/>
          <w:lang w:val="en-US" w:eastAsia="zh-CN" w:bidi="ar-SA"/>
        </w:rPr>
        <w:t>场（厂）内机动车辆检验记录</w:t>
      </w:r>
    </w:p>
    <w:p w14:paraId="3941B868">
      <w:pPr>
        <w:numPr>
          <w:ilvl w:val="0"/>
          <w:numId w:val="170"/>
        </w:numPr>
        <w:ind w:left="425" w:leftChars="0" w:hanging="425" w:firstLineChars="0"/>
        <w:outlineLvl w:val="9"/>
        <w:rPr>
          <w:rFonts w:hint="eastAsia" w:asciiTheme="minorEastAsia" w:hAnsiTheme="minorEastAsia" w:eastAsiaTheme="minorEastAsia" w:cstheme="minorEastAsia"/>
          <w:lang w:val="en-US" w:eastAsia="zh-CN"/>
        </w:rPr>
      </w:pPr>
      <w:bookmarkStart w:id="1332" w:name="_Toc18349"/>
      <w:r>
        <w:rPr>
          <w:rFonts w:hint="eastAsia" w:asciiTheme="minorEastAsia" w:hAnsiTheme="minorEastAsia" w:eastAsiaTheme="minorEastAsia" w:cstheme="minorEastAsia"/>
          <w:lang w:val="en-US" w:eastAsia="zh-CN"/>
        </w:rPr>
        <w:t>安全生产领导小组成立文件</w:t>
      </w:r>
      <w:bookmarkEnd w:id="1332"/>
      <w:r>
        <w:rPr>
          <w:rFonts w:hint="eastAsia" w:asciiTheme="minorEastAsia" w:hAnsiTheme="minorEastAsia" w:eastAsiaTheme="minorEastAsia" w:cstheme="minorEastAsia"/>
          <w:lang w:val="en-US" w:eastAsia="zh-CN"/>
        </w:rPr>
        <w:t>成立文件</w:t>
      </w:r>
    </w:p>
    <w:p w14:paraId="75F7600C">
      <w:pPr>
        <w:numPr>
          <w:ilvl w:val="0"/>
          <w:numId w:val="170"/>
        </w:numPr>
        <w:ind w:left="425" w:leftChars="0" w:hanging="425" w:firstLineChars="0"/>
        <w:outlineLvl w:val="9"/>
        <w:rPr>
          <w:rFonts w:hint="eastAsia"/>
          <w:lang w:val="en-US" w:eastAsia="zh-CN"/>
        </w:rPr>
      </w:pPr>
      <w:r>
        <w:rPr>
          <w:rFonts w:hint="eastAsia" w:asciiTheme="minorEastAsia" w:hAnsiTheme="minorEastAsia" w:eastAsiaTheme="minorEastAsia" w:cstheme="minorEastAsia"/>
          <w:lang w:val="en-US" w:eastAsia="zh-CN"/>
        </w:rPr>
        <w:t>企业安全管理人员任命文件</w:t>
      </w:r>
    </w:p>
    <w:p w14:paraId="17975F6D">
      <w:pPr>
        <w:numPr>
          <w:ilvl w:val="0"/>
          <w:numId w:val="170"/>
        </w:numPr>
        <w:ind w:left="425" w:leftChars="0" w:hanging="425" w:firstLineChars="0"/>
        <w:outlineLvl w:val="9"/>
        <w:rPr>
          <w:rFonts w:hint="eastAsia"/>
          <w:lang w:val="en-US" w:eastAsia="zh-CN"/>
        </w:rPr>
      </w:pPr>
      <w:r>
        <w:rPr>
          <w:rFonts w:hint="eastAsia" w:ascii="Times New Roman" w:hAnsi="Times New Roman" w:eastAsia="宋体" w:cs="Times New Roman"/>
          <w:lang w:val="en-US" w:eastAsia="zh-CN"/>
        </w:rPr>
        <w:t>企业特种设备管理人员任命文件</w:t>
      </w:r>
    </w:p>
    <w:p w14:paraId="5D4DDB25">
      <w:pPr>
        <w:numPr>
          <w:ilvl w:val="0"/>
          <w:numId w:val="170"/>
        </w:numPr>
        <w:ind w:left="425" w:leftChars="0" w:hanging="425" w:firstLineChars="0"/>
        <w:outlineLvl w:val="9"/>
        <w:rPr>
          <w:rFonts w:hint="eastAsia"/>
          <w:lang w:val="en-US" w:eastAsia="zh-CN"/>
        </w:rPr>
      </w:pPr>
      <w:r>
        <w:rPr>
          <w:rFonts w:hint="eastAsia" w:ascii="Times New Roman" w:hAnsi="Times New Roman" w:eastAsia="宋体"/>
          <w:lang w:val="en-US" w:eastAsia="zh-CN"/>
        </w:rPr>
        <w:t>全员安全生产责任制</w:t>
      </w:r>
    </w:p>
    <w:p w14:paraId="36AB521C">
      <w:pPr>
        <w:numPr>
          <w:ilvl w:val="0"/>
          <w:numId w:val="170"/>
        </w:numPr>
        <w:ind w:left="425" w:leftChars="0" w:hanging="425" w:firstLineChars="0"/>
        <w:outlineLvl w:val="9"/>
        <w:rPr>
          <w:rFonts w:hint="eastAsia"/>
          <w:lang w:val="en-US" w:eastAsia="zh-CN"/>
        </w:rPr>
      </w:pPr>
      <w:r>
        <w:rPr>
          <w:rFonts w:hint="eastAsia" w:asciiTheme="minorEastAsia" w:hAnsiTheme="minorEastAsia" w:eastAsiaTheme="minorEastAsia" w:cstheme="minorEastAsia"/>
          <w:lang w:val="en-US" w:eastAsia="zh-CN"/>
        </w:rPr>
        <w:t>安全管理规章制度</w:t>
      </w:r>
    </w:p>
    <w:p w14:paraId="4ACA4618">
      <w:pPr>
        <w:numPr>
          <w:ilvl w:val="0"/>
          <w:numId w:val="170"/>
        </w:numPr>
        <w:ind w:left="425" w:leftChars="0" w:hanging="425" w:firstLineChars="0"/>
        <w:outlineLvl w:val="9"/>
        <w:rPr>
          <w:rFonts w:hint="eastAsia"/>
          <w:lang w:val="en-US" w:eastAsia="zh-CN"/>
        </w:rPr>
      </w:pPr>
      <w:r>
        <w:rPr>
          <w:rFonts w:hint="eastAsia" w:asciiTheme="minorEastAsia" w:hAnsiTheme="minorEastAsia" w:eastAsiaTheme="minorEastAsia" w:cstheme="minorEastAsia"/>
          <w:lang w:val="en-US" w:eastAsia="zh-CN"/>
        </w:rPr>
        <w:t>操作规程</w:t>
      </w:r>
    </w:p>
    <w:p w14:paraId="4B9C9354">
      <w:pPr>
        <w:numPr>
          <w:ilvl w:val="0"/>
          <w:numId w:val="170"/>
        </w:numPr>
        <w:ind w:left="425" w:leftChars="0" w:hanging="425" w:firstLineChars="0"/>
        <w:outlineLvl w:val="9"/>
        <w:rPr>
          <w:rFonts w:hint="eastAsia"/>
          <w:lang w:val="en-US" w:eastAsia="zh-CN"/>
        </w:rPr>
      </w:pPr>
      <w:r>
        <w:rPr>
          <w:rFonts w:hint="eastAsia" w:asciiTheme="minorEastAsia" w:hAnsiTheme="minorEastAsia" w:eastAsiaTheme="minorEastAsia" w:cstheme="minorEastAsia"/>
          <w:lang w:val="en-US" w:eastAsia="zh-CN"/>
        </w:rPr>
        <w:t>主要负责人和安全管理员证书</w:t>
      </w:r>
    </w:p>
    <w:p w14:paraId="347A987D">
      <w:pPr>
        <w:numPr>
          <w:ilvl w:val="0"/>
          <w:numId w:val="170"/>
        </w:numPr>
        <w:ind w:left="425" w:leftChars="0" w:hanging="425" w:firstLineChars="0"/>
        <w:outlineLvl w:val="9"/>
        <w:rPr>
          <w:rFonts w:hint="eastAsia"/>
          <w:lang w:val="en-US" w:eastAsia="zh-CN"/>
        </w:rPr>
      </w:pPr>
      <w:r>
        <w:rPr>
          <w:rFonts w:hint="eastAsia" w:asciiTheme="minorEastAsia" w:hAnsiTheme="minorEastAsia" w:eastAsiaTheme="minorEastAsia" w:cstheme="minorEastAsia"/>
          <w:lang w:val="en-US" w:eastAsia="zh-CN"/>
        </w:rPr>
        <w:t>特种设备及特种作业人员证书</w:t>
      </w:r>
    </w:p>
    <w:p w14:paraId="25F2D52E">
      <w:pPr>
        <w:numPr>
          <w:ilvl w:val="0"/>
          <w:numId w:val="170"/>
        </w:numPr>
        <w:ind w:left="425" w:leftChars="0" w:hanging="425" w:firstLineChars="0"/>
        <w:outlineLvl w:val="9"/>
        <w:rPr>
          <w:rFonts w:hint="eastAsia"/>
          <w:lang w:val="en-US" w:eastAsia="zh-CN"/>
        </w:rPr>
      </w:pPr>
      <w:r>
        <w:rPr>
          <w:rFonts w:hint="eastAsia" w:asciiTheme="minorEastAsia" w:hAnsiTheme="minorEastAsia" w:eastAsiaTheme="minorEastAsia" w:cstheme="minorEastAsia"/>
          <w:lang w:val="en-US" w:eastAsia="zh-CN"/>
        </w:rPr>
        <w:t>安全培训记录</w:t>
      </w:r>
    </w:p>
    <w:p w14:paraId="53CDC789">
      <w:pPr>
        <w:numPr>
          <w:ilvl w:val="0"/>
          <w:numId w:val="170"/>
        </w:numPr>
        <w:ind w:left="425" w:leftChars="0" w:hanging="425" w:firstLineChars="0"/>
        <w:outlineLvl w:val="9"/>
        <w:rPr>
          <w:rFonts w:hint="eastAsia"/>
          <w:lang w:val="en-US" w:eastAsia="zh-CN"/>
        </w:rPr>
      </w:pPr>
      <w:r>
        <w:rPr>
          <w:rFonts w:hint="eastAsia" w:asciiTheme="minorEastAsia" w:hAnsiTheme="minorEastAsia" w:eastAsiaTheme="minorEastAsia" w:cstheme="minorEastAsia"/>
          <w:kern w:val="2"/>
          <w:szCs w:val="32"/>
          <w:highlight w:val="none"/>
          <w:lang w:val="en-US" w:eastAsia="zh-CN" w:bidi="ar-SA"/>
        </w:rPr>
        <w:t>应急预案和备案证明</w:t>
      </w:r>
    </w:p>
    <w:p w14:paraId="2197E015">
      <w:pPr>
        <w:numPr>
          <w:ilvl w:val="0"/>
          <w:numId w:val="170"/>
        </w:numPr>
        <w:ind w:left="425" w:leftChars="0" w:hanging="425" w:firstLineChars="0"/>
        <w:outlineLvl w:val="9"/>
        <w:rPr>
          <w:rFonts w:hint="eastAsia"/>
          <w:lang w:val="en-US" w:eastAsia="zh-CN"/>
        </w:rPr>
      </w:pPr>
      <w:r>
        <w:rPr>
          <w:rFonts w:hint="eastAsia" w:asciiTheme="minorEastAsia" w:hAnsiTheme="minorEastAsia" w:eastAsiaTheme="minorEastAsia" w:cstheme="minorEastAsia"/>
          <w:lang w:val="en-US" w:eastAsia="zh-CN"/>
        </w:rPr>
        <w:t>应急演练记录</w:t>
      </w:r>
    </w:p>
    <w:p w14:paraId="239E05AF">
      <w:pPr>
        <w:numPr>
          <w:ilvl w:val="0"/>
          <w:numId w:val="170"/>
        </w:numPr>
        <w:ind w:left="425" w:leftChars="0" w:hanging="425" w:firstLineChars="0"/>
        <w:outlineLvl w:val="9"/>
        <w:rPr>
          <w:rFonts w:hint="eastAsia"/>
          <w:lang w:val="en-US" w:eastAsia="zh-CN"/>
        </w:rPr>
      </w:pPr>
      <w:r>
        <w:rPr>
          <w:rFonts w:hint="eastAsia" w:asciiTheme="minorEastAsia" w:hAnsiTheme="minorEastAsia" w:eastAsiaTheme="minorEastAsia" w:cstheme="minorEastAsia"/>
          <w:kern w:val="2"/>
          <w:szCs w:val="32"/>
          <w:lang w:val="en-US" w:eastAsia="zh-CN" w:bidi="ar-SA"/>
        </w:rPr>
        <w:t>工伤保险缴费凭证</w:t>
      </w:r>
    </w:p>
    <w:p w14:paraId="75768F33">
      <w:pPr>
        <w:numPr>
          <w:ilvl w:val="0"/>
          <w:numId w:val="170"/>
        </w:numPr>
        <w:ind w:left="425" w:leftChars="0" w:hanging="425" w:firstLineChars="0"/>
        <w:outlineLvl w:val="9"/>
        <w:rPr>
          <w:rFonts w:hint="eastAsia"/>
          <w:lang w:val="en-US" w:eastAsia="zh-CN"/>
        </w:rPr>
      </w:pPr>
      <w:r>
        <w:rPr>
          <w:rFonts w:hint="eastAsia" w:asciiTheme="minorEastAsia" w:hAnsiTheme="minorEastAsia" w:eastAsiaTheme="minorEastAsia" w:cstheme="minorEastAsia"/>
          <w:lang w:val="en-US" w:eastAsia="zh-CN"/>
        </w:rPr>
        <w:t>劳动保护用品发放记录</w:t>
      </w:r>
    </w:p>
    <w:p w14:paraId="1D9B8744">
      <w:pPr>
        <w:numPr>
          <w:ilvl w:val="0"/>
          <w:numId w:val="0"/>
        </w:numPr>
        <w:ind w:leftChars="0"/>
        <w:outlineLvl w:val="9"/>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附图</w:t>
      </w:r>
    </w:p>
    <w:p w14:paraId="76B7849B">
      <w:pPr>
        <w:numPr>
          <w:ilvl w:val="0"/>
          <w:numId w:val="171"/>
        </w:numPr>
        <w:ind w:left="425" w:leftChars="0" w:hanging="425" w:firstLineChars="0"/>
        <w:outlineLvl w:val="9"/>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总平面布置图</w:t>
      </w:r>
    </w:p>
    <w:p w14:paraId="02474223">
      <w:pPr>
        <w:ind w:left="0" w:leftChars="0" w:firstLine="0" w:firstLineChars="0"/>
        <w:rPr>
          <w:rFonts w:hint="eastAsia"/>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F809E">
    <w:pPr>
      <w:pStyle w:val="20"/>
      <w:ind w:left="0" w:leftChars="0"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FF962D">
    <w:pPr>
      <w:pStyle w:val="20"/>
      <w:ind w:left="0" w:leftChars="0" w:firstLine="0" w:firstLineChars="0"/>
    </w:pPr>
    <w:r>
      <w:rPr>
        <w:rFonts w:hint="eastAsia"/>
      </w:rPr>
      <w:t>昭通市鼎安科技有限公司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794F4">
    <w:pPr>
      <w:pStyle w:val="20"/>
      <w:ind w:left="0" w:leftChars="0" w:firstLine="0" w:firstLineChars="0"/>
    </w:pPr>
    <w:r>
      <w:rPr>
        <w:rFonts w:hint="eastAsia"/>
      </w:rPr>
      <w:t>昭通市鼎安科技有限公司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8F87C">
    <w:pPr>
      <w:pStyle w:val="20"/>
      <w:ind w:firstLine="0" w:firstLineChars="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69C15F">
                          <w:pPr>
                            <w:pStyle w:val="20"/>
                            <w:ind w:firstLine="360"/>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NLTQM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0tNAywCAABXBAAADgAAAAAAAAABACAAAAAfAQAAZHJzL2Uyb0RvYy54bWxQSwUGAAAAAAYA&#10;BgBZAQAAvQUAAAAA&#10;">
              <v:fill on="f" focussize="0,0"/>
              <v:stroke on="f" weight="0.5pt"/>
              <v:imagedata o:title=""/>
              <o:lock v:ext="edit" aspectratio="f"/>
              <v:textbox inset="0mm,0mm,0mm,0mm" style="mso-fit-shape-to-text:t;">
                <w:txbxContent>
                  <w:p w14:paraId="0A69C15F">
                    <w:pPr>
                      <w:pStyle w:val="20"/>
                      <w:ind w:firstLine="360"/>
                    </w:pPr>
                    <w:r>
                      <w:fldChar w:fldCharType="begin"/>
                    </w:r>
                    <w:r>
                      <w:instrText xml:space="preserve"> PAGE  \* MERGEFORMAT </w:instrText>
                    </w:r>
                    <w:r>
                      <w:fldChar w:fldCharType="separate"/>
                    </w:r>
                    <w:r>
                      <w:t>III</w:t>
                    </w:r>
                    <w:r>
                      <w:fldChar w:fldCharType="end"/>
                    </w:r>
                  </w:p>
                </w:txbxContent>
              </v:textbox>
            </v:shape>
          </w:pict>
        </mc:Fallback>
      </mc:AlternateContent>
    </w:r>
    <w:r>
      <w:rPr>
        <w:rFonts w:hint="eastAsia"/>
      </w:rPr>
      <w:t xml:space="preserve">昭通市鼎安科技有限公司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2854B2">
    <w:pPr>
      <w:pStyle w:val="20"/>
      <w:ind w:firstLine="0" w:firstLineChars="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79D20C">
                          <w:pPr>
                            <w:pStyle w:val="20"/>
                            <w:ind w:firstLine="360"/>
                          </w:pPr>
                          <w:r>
                            <w:fldChar w:fldCharType="begin"/>
                          </w:r>
                          <w:r>
                            <w:instrText xml:space="preserve"> PAGE  \* MERGEFORMAT </w:instrText>
                          </w:r>
                          <w:r>
                            <w:fldChar w:fldCharType="separate"/>
                          </w:r>
                          <w:r>
                            <w:t>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4879D20C">
                    <w:pPr>
                      <w:pStyle w:val="20"/>
                      <w:ind w:firstLine="360"/>
                    </w:pPr>
                    <w:r>
                      <w:fldChar w:fldCharType="begin"/>
                    </w:r>
                    <w:r>
                      <w:instrText xml:space="preserve"> PAGE  \* MERGEFORMAT </w:instrText>
                    </w:r>
                    <w:r>
                      <w:fldChar w:fldCharType="separate"/>
                    </w:r>
                    <w:r>
                      <w:t>V</w:t>
                    </w:r>
                    <w:r>
                      <w:fldChar w:fldCharType="end"/>
                    </w:r>
                  </w:p>
                </w:txbxContent>
              </v:textbox>
            </v:shape>
          </w:pict>
        </mc:Fallback>
      </mc:AlternateContent>
    </w:r>
    <w:r>
      <w:rPr>
        <w:rFonts w:hint="eastAsia"/>
      </w:rPr>
      <w:t xml:space="preserve">昭通市鼎安科技有限公司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F05C5">
    <w:pPr>
      <w:tabs>
        <w:tab w:val="center" w:pos="4153"/>
        <w:tab w:val="right" w:pos="8306"/>
      </w:tabs>
      <w:ind w:left="0" w:leftChars="0" w:firstLine="0" w:firstLineChars="0"/>
      <w:jc w:val="left"/>
      <w:rPr>
        <w:rFonts w:hint="eastAsia" w:ascii="Times New Roman" w:hAnsi="Times New Roman" w:eastAsia="宋体" w:cs="Times New Roman"/>
        <w:sz w:val="21"/>
        <w:szCs w:val="21"/>
        <w:lang w:eastAsia="zh-CN"/>
      </w:rPr>
    </w:pPr>
    <w:r>
      <w:rPr>
        <w:rFonts w:ascii="Times New Roman" w:hAnsi="Times New Roman" w:eastAsia="宋体" w:cs="Times New Roman"/>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1B4C8">
                          <w:pPr>
                            <w:widowControl w:val="0"/>
                            <w:snapToGrid w:val="0"/>
                            <w:spacing w:line="500" w:lineRule="exact"/>
                            <w:ind w:firstLine="420" w:firstLineChars="200"/>
                            <w:jc w:val="left"/>
                            <w:rPr>
                              <w:rFonts w:ascii="宋体" w:hAnsi="宋体" w:eastAsia="宋体" w:cs="Times New Roman"/>
                              <w:kern w:val="2"/>
                              <w:sz w:val="21"/>
                              <w:szCs w:val="24"/>
                              <w:lang w:val="en-US" w:eastAsia="zh-CN" w:bidi="ar-SA"/>
                            </w:rPr>
                          </w:pPr>
                          <w:r>
                            <w:rPr>
                              <w:rFonts w:cs="Times New Roman"/>
                              <w:kern w:val="2"/>
                              <w:sz w:val="21"/>
                              <w:szCs w:val="24"/>
                              <w:lang w:val="en-US" w:eastAsia="zh-CN" w:bidi="ar-SA"/>
                            </w:rPr>
                            <w:t xml:space="preserve">第 </w:t>
                          </w:r>
                          <w:r>
                            <w:rPr>
                              <w:rFonts w:cs="Times New Roman"/>
                              <w:kern w:val="2"/>
                              <w:sz w:val="21"/>
                              <w:szCs w:val="24"/>
                              <w:lang w:val="en-US" w:eastAsia="zh-CN" w:bidi="ar-SA"/>
                            </w:rPr>
                            <w:fldChar w:fldCharType="begin"/>
                          </w:r>
                          <w:r>
                            <w:rPr>
                              <w:rFonts w:cs="Times New Roman"/>
                              <w:kern w:val="2"/>
                              <w:sz w:val="21"/>
                              <w:szCs w:val="24"/>
                              <w:lang w:val="en-US" w:eastAsia="zh-CN" w:bidi="ar-SA"/>
                            </w:rPr>
                            <w:instrText xml:space="preserve"> PAGE  \* MERGEFORMAT </w:instrText>
                          </w:r>
                          <w:r>
                            <w:rPr>
                              <w:rFonts w:cs="Times New Roman"/>
                              <w:kern w:val="2"/>
                              <w:sz w:val="21"/>
                              <w:szCs w:val="24"/>
                              <w:lang w:val="en-US" w:eastAsia="zh-CN" w:bidi="ar-SA"/>
                            </w:rPr>
                            <w:fldChar w:fldCharType="separate"/>
                          </w:r>
                          <w:r>
                            <w:rPr>
                              <w:rFonts w:cs="Times New Roman"/>
                              <w:kern w:val="2"/>
                              <w:sz w:val="21"/>
                              <w:szCs w:val="24"/>
                              <w:lang w:val="en-US" w:eastAsia="zh-CN" w:bidi="ar-SA"/>
                            </w:rPr>
                            <w:t>VII</w:t>
                          </w:r>
                          <w:r>
                            <w:rPr>
                              <w:rFonts w:cs="Times New Roman"/>
                              <w:kern w:val="2"/>
                              <w:sz w:val="21"/>
                              <w:szCs w:val="24"/>
                              <w:lang w:val="en-US" w:eastAsia="zh-CN" w:bidi="ar-SA"/>
                            </w:rPr>
                            <w:fldChar w:fldCharType="end"/>
                          </w:r>
                          <w:r>
                            <w:rPr>
                              <w:rFonts w:cs="Times New Roman"/>
                              <w:kern w:val="2"/>
                              <w:sz w:val="21"/>
                              <w:szCs w:val="24"/>
                              <w:lang w:val="en-US" w:eastAsia="zh-CN" w:bidi="ar-S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mC9XGMoBAACbAwAADgAAAAAAAAABACAAAAAeAQAAZHJzL2Uyb0Rv&#10;Yy54bWxQSwUGAAAAAAYABgBZAQAAWgUAAAAA&#10;">
              <v:fill on="f" focussize="0,0"/>
              <v:stroke on="f"/>
              <v:imagedata o:title=""/>
              <o:lock v:ext="edit" aspectratio="f"/>
              <v:textbox inset="0mm,0mm,0mm,0mm" style="mso-fit-shape-to-text:t;">
                <w:txbxContent>
                  <w:p w14:paraId="0031B4C8">
                    <w:pPr>
                      <w:widowControl w:val="0"/>
                      <w:snapToGrid w:val="0"/>
                      <w:spacing w:line="500" w:lineRule="exact"/>
                      <w:ind w:firstLine="420" w:firstLineChars="200"/>
                      <w:jc w:val="left"/>
                      <w:rPr>
                        <w:rFonts w:ascii="宋体" w:hAnsi="宋体" w:eastAsia="宋体" w:cs="Times New Roman"/>
                        <w:kern w:val="2"/>
                        <w:sz w:val="21"/>
                        <w:szCs w:val="24"/>
                        <w:lang w:val="en-US" w:eastAsia="zh-CN" w:bidi="ar-SA"/>
                      </w:rPr>
                    </w:pPr>
                    <w:r>
                      <w:rPr>
                        <w:rFonts w:cs="Times New Roman"/>
                        <w:kern w:val="2"/>
                        <w:sz w:val="21"/>
                        <w:szCs w:val="24"/>
                        <w:lang w:val="en-US" w:eastAsia="zh-CN" w:bidi="ar-SA"/>
                      </w:rPr>
                      <w:t xml:space="preserve">第 </w:t>
                    </w:r>
                    <w:r>
                      <w:rPr>
                        <w:rFonts w:cs="Times New Roman"/>
                        <w:kern w:val="2"/>
                        <w:sz w:val="21"/>
                        <w:szCs w:val="24"/>
                        <w:lang w:val="en-US" w:eastAsia="zh-CN" w:bidi="ar-SA"/>
                      </w:rPr>
                      <w:fldChar w:fldCharType="begin"/>
                    </w:r>
                    <w:r>
                      <w:rPr>
                        <w:rFonts w:cs="Times New Roman"/>
                        <w:kern w:val="2"/>
                        <w:sz w:val="21"/>
                        <w:szCs w:val="24"/>
                        <w:lang w:val="en-US" w:eastAsia="zh-CN" w:bidi="ar-SA"/>
                      </w:rPr>
                      <w:instrText xml:space="preserve"> PAGE  \* MERGEFORMAT </w:instrText>
                    </w:r>
                    <w:r>
                      <w:rPr>
                        <w:rFonts w:cs="Times New Roman"/>
                        <w:kern w:val="2"/>
                        <w:sz w:val="21"/>
                        <w:szCs w:val="24"/>
                        <w:lang w:val="en-US" w:eastAsia="zh-CN" w:bidi="ar-SA"/>
                      </w:rPr>
                      <w:fldChar w:fldCharType="separate"/>
                    </w:r>
                    <w:r>
                      <w:rPr>
                        <w:rFonts w:cs="Times New Roman"/>
                        <w:kern w:val="2"/>
                        <w:sz w:val="21"/>
                        <w:szCs w:val="24"/>
                        <w:lang w:val="en-US" w:eastAsia="zh-CN" w:bidi="ar-SA"/>
                      </w:rPr>
                      <w:t>VII</w:t>
                    </w:r>
                    <w:r>
                      <w:rPr>
                        <w:rFonts w:cs="Times New Roman"/>
                        <w:kern w:val="2"/>
                        <w:sz w:val="21"/>
                        <w:szCs w:val="24"/>
                        <w:lang w:val="en-US" w:eastAsia="zh-CN" w:bidi="ar-SA"/>
                      </w:rPr>
                      <w:fldChar w:fldCharType="end"/>
                    </w:r>
                    <w:r>
                      <w:rPr>
                        <w:rFonts w:cs="Times New Roman"/>
                        <w:kern w:val="2"/>
                        <w:sz w:val="21"/>
                        <w:szCs w:val="24"/>
                        <w:lang w:val="en-US" w:eastAsia="zh-CN" w:bidi="ar-SA"/>
                      </w:rPr>
                      <w:t xml:space="preserve"> 页</w:t>
                    </w:r>
                  </w:p>
                </w:txbxContent>
              </v:textbox>
            </v:shape>
          </w:pict>
        </mc:Fallback>
      </mc:AlternateContent>
    </w:r>
    <w:r>
      <w:rPr>
        <w:rFonts w:hint="eastAsia" w:ascii="Times New Roman" w:hAnsi="Times New Roman" w:eastAsia="宋体" w:cs="Times New Roman"/>
        <w:sz w:val="21"/>
        <w:szCs w:val="21"/>
      </w:rPr>
      <w:t>昭通市鼎安科技有限公司</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81731">
    <w:pPr>
      <w:pStyle w:val="20"/>
      <w:ind w:firstLine="0" w:firstLineChars="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9479">
                          <w:pPr>
                            <w:pStyle w:val="20"/>
                            <w:ind w:firstLine="360"/>
                          </w:pPr>
                          <w:r>
                            <w:t xml:space="preserve">第 </w:t>
                          </w:r>
                          <w:r>
                            <w:fldChar w:fldCharType="begin"/>
                          </w:r>
                          <w:r>
                            <w:instrText xml:space="preserve"> PAGE  \* MERGEFORMAT </w:instrText>
                          </w:r>
                          <w:r>
                            <w:fldChar w:fldCharType="separate"/>
                          </w:r>
                          <w:r>
                            <w:t>XIII</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580B9479">
                    <w:pPr>
                      <w:pStyle w:val="20"/>
                      <w:ind w:firstLine="360"/>
                    </w:pPr>
                    <w:r>
                      <w:t xml:space="preserve">第 </w:t>
                    </w:r>
                    <w:r>
                      <w:fldChar w:fldCharType="begin"/>
                    </w:r>
                    <w:r>
                      <w:instrText xml:space="preserve"> PAGE  \* MERGEFORMAT </w:instrText>
                    </w:r>
                    <w:r>
                      <w:fldChar w:fldCharType="separate"/>
                    </w:r>
                    <w:r>
                      <w:t>XIII</w:t>
                    </w:r>
                    <w:r>
                      <w:fldChar w:fldCharType="end"/>
                    </w:r>
                    <w:r>
                      <w:t xml:space="preserve"> 页</w:t>
                    </w:r>
                  </w:p>
                </w:txbxContent>
              </v:textbox>
            </v:shape>
          </w:pict>
        </mc:Fallback>
      </mc:AlternateContent>
    </w:r>
    <w:r>
      <w:rPr>
        <w:rFonts w:hint="eastAsia"/>
      </w:rPr>
      <w:t xml:space="preserve">昭通市鼎安科技有限公司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063BD8">
    <w:pPr>
      <w:tabs>
        <w:tab w:val="center" w:pos="4153"/>
        <w:tab w:val="right" w:pos="8306"/>
      </w:tabs>
      <w:ind w:firstLine="420"/>
      <w:rPr>
        <w:rFonts w:hint="eastAsia" w:eastAsia="宋体"/>
        <w:sz w:val="21"/>
        <w:szCs w:val="21"/>
        <w:lang w:eastAsia="zh-CN"/>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59A05E">
                          <w:pPr>
                            <w:pStyle w:val="20"/>
                          </w:pPr>
                          <w:r>
                            <w:t xml:space="preserve">第 </w:t>
                          </w:r>
                          <w:r>
                            <w:fldChar w:fldCharType="begin"/>
                          </w:r>
                          <w:r>
                            <w:instrText xml:space="preserve"> PAGE  \* MERGEFORMAT </w:instrText>
                          </w:r>
                          <w:r>
                            <w:fldChar w:fldCharType="separate"/>
                          </w:r>
                          <w:r>
                            <w:t>XC</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gUyskBAACb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gWN+GaEsctTvz888f515/z7+8E&#10;fShQH6DGvIeAmWn44AdMnv2Azsx7UNHmLzIiGEd5Txd55ZCIyI9Wy9WqwpDA2HxBfPb4PERIH6W3&#10;JBsNjTi/Iis/3kEaU+eUXM35W21MmaFx/zkQM3tY7n3sMVtp2A0ToZ1vT8inx9E31OGmU2I+OVQ2&#10;b8lsxNnYzcYhRL3vyhrlehDeHxI2UXrLFUbYqTDOrLCb9isvxb/3kvX4T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MOBTKyQEAAJsDAAAOAAAAAAAAAAEAIAAAAB4BAABkcnMvZTJvRG9j&#10;LnhtbFBLBQYAAAAABgAGAFkBAABZBQAAAAA=&#10;">
              <v:fill on="f" focussize="0,0"/>
              <v:stroke on="f"/>
              <v:imagedata o:title=""/>
              <o:lock v:ext="edit" aspectratio="f"/>
              <v:textbox inset="0mm,0mm,0mm,0mm" style="mso-fit-shape-to-text:t;">
                <w:txbxContent>
                  <w:p w14:paraId="6259A05E">
                    <w:pPr>
                      <w:pStyle w:val="20"/>
                    </w:pPr>
                    <w:r>
                      <w:t xml:space="preserve">第 </w:t>
                    </w:r>
                    <w:r>
                      <w:fldChar w:fldCharType="begin"/>
                    </w:r>
                    <w:r>
                      <w:instrText xml:space="preserve"> PAGE  \* MERGEFORMAT </w:instrText>
                    </w:r>
                    <w:r>
                      <w:fldChar w:fldCharType="separate"/>
                    </w:r>
                    <w:r>
                      <w:t>XC</w:t>
                    </w:r>
                    <w:r>
                      <w:fldChar w:fldCharType="end"/>
                    </w:r>
                    <w:r>
                      <w:t xml:space="preserve"> 页</w:t>
                    </w:r>
                  </w:p>
                </w:txbxContent>
              </v:textbox>
            </v:shape>
          </w:pict>
        </mc:Fallback>
      </mc:AlternateContent>
    </w:r>
    <w:r>
      <w:rPr>
        <w:rFonts w:hint="eastAsia"/>
        <w:sz w:val="21"/>
        <w:szCs w:val="21"/>
      </w:rPr>
      <w:t>昭通市鼎安科技有限公司</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FBD82C">
    <w:pPr>
      <w:tabs>
        <w:tab w:val="center" w:pos="4153"/>
        <w:tab w:val="right" w:pos="8306"/>
      </w:tabs>
      <w:ind w:firstLine="5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22932">
    <w:pPr>
      <w:tabs>
        <w:tab w:val="center" w:pos="4153"/>
        <w:tab w:val="right" w:pos="8306"/>
      </w:tabs>
      <w:ind w:firstLine="5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38896">
    <w:pPr>
      <w:pStyle w:val="21"/>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2C229">
    <w:pPr>
      <w:pStyle w:val="21"/>
      <w:pBdr>
        <w:bottom w:val="thinThickSmallGap" w:color="auto" w:sz="12" w:space="1"/>
      </w:pBdr>
      <w:spacing w:line="240" w:lineRule="auto"/>
      <w:ind w:firstLine="0" w:firstLineChars="0"/>
      <w:rPr>
        <w:rFonts w:hint="default" w:ascii="宋体" w:hAnsi="宋体" w:cs="宋体"/>
        <w:sz w:val="21"/>
        <w:szCs w:val="21"/>
        <w:lang w:val="en-US" w:eastAsia="zh-CN"/>
      </w:rPr>
    </w:pPr>
    <w:r>
      <w:rPr>
        <w:rFonts w:hint="eastAsia" w:ascii="宋体" w:hAnsi="宋体" w:cs="宋体"/>
        <w:sz w:val="21"/>
        <w:szCs w:val="21"/>
        <w:lang w:eastAsia="zh-CN"/>
      </w:rPr>
      <w:t>云南东锆新材料有限公司年产3万吨电熔氧化锆陶瓷产业基地建设项目</w:t>
    </w:r>
    <w:r>
      <w:rPr>
        <w:rFonts w:hint="eastAsia" w:ascii="宋体" w:hAnsi="宋体" w:cs="宋体"/>
        <w:sz w:val="21"/>
        <w:szCs w:val="21"/>
        <w:lang w:val="en-US" w:eastAsia="zh-CN"/>
      </w:rPr>
      <w:t>一期工程</w:t>
    </w:r>
  </w:p>
  <w:p w14:paraId="6F94E076">
    <w:pPr>
      <w:pStyle w:val="21"/>
      <w:pBdr>
        <w:bottom w:val="thinThickSmallGap" w:color="auto" w:sz="12" w:space="1"/>
      </w:pBdr>
      <w:spacing w:line="240" w:lineRule="auto"/>
      <w:ind w:firstLine="0" w:firstLineChars="0"/>
    </w:pPr>
    <w:r>
      <w:rPr>
        <w:rFonts w:hint="eastAsia" w:ascii="宋体" w:hAnsi="宋体" w:eastAsia="宋体" w:cs="宋体"/>
        <w:sz w:val="21"/>
        <w:szCs w:val="21"/>
      </w:rPr>
      <w:t>安全设施验收评价报告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4D02CE">
    <w:pPr>
      <w:pStyle w:val="21"/>
      <w:pBdr>
        <w:bottom w:val="thinThickSmallGap" w:color="auto" w:sz="12" w:space="1"/>
      </w:pBdr>
      <w:spacing w:line="240" w:lineRule="auto"/>
      <w:ind w:firstLine="0" w:firstLineChars="0"/>
      <w:rPr>
        <w:rFonts w:hint="eastAsia" w:ascii="宋体" w:hAnsi="宋体" w:cs="宋体"/>
        <w:sz w:val="21"/>
        <w:szCs w:val="21"/>
        <w:lang w:eastAsia="zh-CN"/>
      </w:rPr>
    </w:pPr>
    <w:r>
      <w:rPr>
        <w:rFonts w:hint="eastAsia" w:ascii="宋体" w:hAnsi="宋体" w:cs="宋体"/>
        <w:sz w:val="21"/>
        <w:szCs w:val="21"/>
        <w:lang w:eastAsia="zh-CN"/>
      </w:rPr>
      <w:t>云南东锆新材料有限公司年产3万吨电熔氧化锆陶瓷产业基地建设项目一期工程</w:t>
    </w:r>
  </w:p>
  <w:p w14:paraId="6F750F9D">
    <w:pPr>
      <w:pStyle w:val="21"/>
      <w:pBdr>
        <w:bottom w:val="thinThickSmallGap" w:color="auto" w:sz="12" w:space="1"/>
      </w:pBdr>
      <w:spacing w:line="240" w:lineRule="auto"/>
      <w:ind w:firstLine="0" w:firstLineChars="0"/>
      <w:rPr>
        <w:rFonts w:hint="eastAsia" w:ascii="宋体" w:hAnsi="宋体" w:eastAsia="宋体" w:cs="宋体"/>
        <w:sz w:val="21"/>
        <w:szCs w:val="21"/>
      </w:rPr>
    </w:pPr>
    <w:r>
      <w:rPr>
        <w:rFonts w:hint="eastAsia" w:ascii="宋体" w:hAnsi="宋体" w:cs="宋体"/>
        <w:sz w:val="21"/>
        <w:szCs w:val="21"/>
        <w:lang w:eastAsia="zh-CN"/>
      </w:rPr>
      <w:t>安全设施验收评价报告</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73403E">
    <w:pPr>
      <w:tabs>
        <w:tab w:val="center" w:pos="4153"/>
        <w:tab w:val="right" w:pos="8306"/>
      </w:tabs>
      <w:ind w:firstLine="5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87DC2">
    <w:pPr>
      <w:tabs>
        <w:tab w:val="center" w:pos="4153"/>
        <w:tab w:val="right" w:pos="8306"/>
      </w:tabs>
      <w:ind w:firstLine="5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2F080F"/>
    <w:multiLevelType w:val="singleLevel"/>
    <w:tmpl w:val="802F080F"/>
    <w:lvl w:ilvl="0" w:tentative="0">
      <w:start w:val="1"/>
      <w:numFmt w:val="decimal"/>
      <w:suff w:val="nothing"/>
      <w:lvlText w:val="%1"/>
      <w:lvlJc w:val="left"/>
      <w:pPr>
        <w:tabs>
          <w:tab w:val="left" w:pos="397"/>
        </w:tabs>
        <w:ind w:left="454" w:leftChars="0" w:hanging="454" w:firstLineChars="0"/>
      </w:pPr>
      <w:rPr>
        <w:rFonts w:hint="default"/>
      </w:rPr>
    </w:lvl>
  </w:abstractNum>
  <w:abstractNum w:abstractNumId="1">
    <w:nsid w:val="80869769"/>
    <w:multiLevelType w:val="singleLevel"/>
    <w:tmpl w:val="80869769"/>
    <w:lvl w:ilvl="0" w:tentative="0">
      <w:start w:val="1"/>
      <w:numFmt w:val="decimal"/>
      <w:suff w:val="nothing"/>
      <w:lvlText w:val="%1）"/>
      <w:lvlJc w:val="left"/>
      <w:pPr>
        <w:tabs>
          <w:tab w:val="left" w:pos="397"/>
        </w:tabs>
        <w:ind w:left="454" w:hanging="454"/>
      </w:pPr>
      <w:rPr>
        <w:rFonts w:hint="default"/>
      </w:rPr>
    </w:lvl>
  </w:abstractNum>
  <w:abstractNum w:abstractNumId="2">
    <w:nsid w:val="85FE60A0"/>
    <w:multiLevelType w:val="multilevel"/>
    <w:tmpl w:val="85FE60A0"/>
    <w:lvl w:ilvl="0" w:tentative="0">
      <w:start w:val="1"/>
      <w:numFmt w:val="decimal"/>
      <w:suff w:val="nothing"/>
      <w:lvlText w:val="%1"/>
      <w:lvlJc w:val="center"/>
      <w:pPr>
        <w:ind w:left="0" w:firstLine="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86F34107"/>
    <w:multiLevelType w:val="singleLevel"/>
    <w:tmpl w:val="86F34107"/>
    <w:lvl w:ilvl="0" w:tentative="0">
      <w:start w:val="1"/>
      <w:numFmt w:val="decimal"/>
      <w:suff w:val="space"/>
      <w:lvlText w:val="(%1)"/>
      <w:lvlJc w:val="left"/>
      <w:pPr>
        <w:ind w:left="425" w:hanging="425"/>
      </w:pPr>
      <w:rPr>
        <w:rFonts w:hint="default"/>
      </w:rPr>
    </w:lvl>
  </w:abstractNum>
  <w:abstractNum w:abstractNumId="4">
    <w:nsid w:val="8888650B"/>
    <w:multiLevelType w:val="singleLevel"/>
    <w:tmpl w:val="8888650B"/>
    <w:lvl w:ilvl="0" w:tentative="0">
      <w:start w:val="1"/>
      <w:numFmt w:val="decimal"/>
      <w:suff w:val="nothing"/>
      <w:lvlText w:val="%1"/>
      <w:lvlJc w:val="center"/>
      <w:pPr>
        <w:tabs>
          <w:tab w:val="left" w:pos="0"/>
        </w:tabs>
        <w:ind w:left="0" w:firstLine="0"/>
      </w:pPr>
      <w:rPr>
        <w:rFonts w:hint="default"/>
      </w:rPr>
    </w:lvl>
  </w:abstractNum>
  <w:abstractNum w:abstractNumId="5">
    <w:nsid w:val="8AE34C8D"/>
    <w:multiLevelType w:val="singleLevel"/>
    <w:tmpl w:val="8AE34C8D"/>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6">
    <w:nsid w:val="8D9593B7"/>
    <w:multiLevelType w:val="singleLevel"/>
    <w:tmpl w:val="8D9593B7"/>
    <w:lvl w:ilvl="0" w:tentative="0">
      <w:start w:val="1"/>
      <w:numFmt w:val="decimal"/>
      <w:lvlText w:val="(%1)"/>
      <w:lvlJc w:val="left"/>
      <w:pPr>
        <w:tabs>
          <w:tab w:val="left" w:pos="397"/>
        </w:tabs>
        <w:ind w:left="454" w:leftChars="0" w:hanging="454" w:firstLineChars="0"/>
      </w:pPr>
      <w:rPr>
        <w:rFonts w:hint="default"/>
      </w:rPr>
    </w:lvl>
  </w:abstractNum>
  <w:abstractNum w:abstractNumId="7">
    <w:nsid w:val="8E40FEBE"/>
    <w:multiLevelType w:val="singleLevel"/>
    <w:tmpl w:val="8E40FEBE"/>
    <w:lvl w:ilvl="0" w:tentative="0">
      <w:start w:val="1"/>
      <w:numFmt w:val="decimal"/>
      <w:suff w:val="nothing"/>
      <w:lvlText w:val="%1"/>
      <w:lvlJc w:val="left"/>
      <w:pPr>
        <w:tabs>
          <w:tab w:val="left" w:pos="420"/>
        </w:tabs>
        <w:ind w:left="425" w:leftChars="0" w:hanging="425" w:firstLineChars="0"/>
      </w:pPr>
      <w:rPr>
        <w:rFonts w:hint="default"/>
      </w:rPr>
    </w:lvl>
  </w:abstractNum>
  <w:abstractNum w:abstractNumId="8">
    <w:nsid w:val="8F8AAFFE"/>
    <w:multiLevelType w:val="singleLevel"/>
    <w:tmpl w:val="8F8AAFFE"/>
    <w:lvl w:ilvl="0" w:tentative="0">
      <w:start w:val="1"/>
      <w:numFmt w:val="decimal"/>
      <w:suff w:val="space"/>
      <w:lvlText w:val="(%1)"/>
      <w:lvlJc w:val="left"/>
      <w:pPr>
        <w:ind w:left="425" w:hanging="425"/>
      </w:pPr>
      <w:rPr>
        <w:rFonts w:hint="default"/>
      </w:rPr>
    </w:lvl>
  </w:abstractNum>
  <w:abstractNum w:abstractNumId="9">
    <w:nsid w:val="9052692B"/>
    <w:multiLevelType w:val="singleLevel"/>
    <w:tmpl w:val="9052692B"/>
    <w:lvl w:ilvl="0" w:tentative="0">
      <w:start w:val="1"/>
      <w:numFmt w:val="decimal"/>
      <w:suff w:val="space"/>
      <w:lvlText w:val="(%1)"/>
      <w:lvlJc w:val="left"/>
      <w:pPr>
        <w:ind w:left="425" w:hanging="425"/>
      </w:pPr>
      <w:rPr>
        <w:rFonts w:hint="default"/>
      </w:rPr>
    </w:lvl>
  </w:abstractNum>
  <w:abstractNum w:abstractNumId="10">
    <w:nsid w:val="907064B4"/>
    <w:multiLevelType w:val="singleLevel"/>
    <w:tmpl w:val="907064B4"/>
    <w:lvl w:ilvl="0" w:tentative="0">
      <w:start w:val="1"/>
      <w:numFmt w:val="decimal"/>
      <w:suff w:val="space"/>
      <w:lvlText w:val="(%1)"/>
      <w:lvlJc w:val="left"/>
      <w:pPr>
        <w:ind w:left="425" w:hanging="425"/>
      </w:pPr>
      <w:rPr>
        <w:rFonts w:hint="default"/>
      </w:rPr>
    </w:lvl>
  </w:abstractNum>
  <w:abstractNum w:abstractNumId="11">
    <w:nsid w:val="9084643D"/>
    <w:multiLevelType w:val="singleLevel"/>
    <w:tmpl w:val="9084643D"/>
    <w:lvl w:ilvl="0" w:tentative="0">
      <w:start w:val="1"/>
      <w:numFmt w:val="decimal"/>
      <w:suff w:val="space"/>
      <w:lvlText w:val="(%1)"/>
      <w:lvlJc w:val="left"/>
      <w:pPr>
        <w:ind w:left="425" w:hanging="425"/>
      </w:pPr>
      <w:rPr>
        <w:rFonts w:hint="default"/>
      </w:rPr>
    </w:lvl>
  </w:abstractNum>
  <w:abstractNum w:abstractNumId="12">
    <w:nsid w:val="9098498A"/>
    <w:multiLevelType w:val="singleLevel"/>
    <w:tmpl w:val="9098498A"/>
    <w:lvl w:ilvl="0" w:tentative="0">
      <w:start w:val="1"/>
      <w:numFmt w:val="decimal"/>
      <w:suff w:val="nothing"/>
      <w:lvlText w:val="%1"/>
      <w:lvlJc w:val="left"/>
      <w:pPr>
        <w:tabs>
          <w:tab w:val="left" w:pos="420"/>
        </w:tabs>
        <w:ind w:left="425" w:leftChars="0" w:hanging="425" w:firstLineChars="0"/>
      </w:pPr>
      <w:rPr>
        <w:rFonts w:hint="default"/>
      </w:rPr>
    </w:lvl>
  </w:abstractNum>
  <w:abstractNum w:abstractNumId="13">
    <w:nsid w:val="938A99D9"/>
    <w:multiLevelType w:val="singleLevel"/>
    <w:tmpl w:val="938A99D9"/>
    <w:lvl w:ilvl="0" w:tentative="0">
      <w:start w:val="1"/>
      <w:numFmt w:val="decimal"/>
      <w:suff w:val="space"/>
      <w:lvlText w:val="(%1)"/>
      <w:lvlJc w:val="left"/>
      <w:pPr>
        <w:ind w:left="425" w:hanging="425"/>
      </w:pPr>
      <w:rPr>
        <w:rFonts w:hint="default"/>
      </w:rPr>
    </w:lvl>
  </w:abstractNum>
  <w:abstractNum w:abstractNumId="14">
    <w:nsid w:val="93F4CD7C"/>
    <w:multiLevelType w:val="singleLevel"/>
    <w:tmpl w:val="93F4CD7C"/>
    <w:lvl w:ilvl="0" w:tentative="0">
      <w:start w:val="1"/>
      <w:numFmt w:val="decimal"/>
      <w:lvlText w:val="(%1)"/>
      <w:lvlJc w:val="left"/>
      <w:pPr>
        <w:ind w:left="425" w:hanging="425"/>
      </w:pPr>
      <w:rPr>
        <w:rFonts w:hint="default"/>
      </w:rPr>
    </w:lvl>
  </w:abstractNum>
  <w:abstractNum w:abstractNumId="15">
    <w:nsid w:val="946F7B49"/>
    <w:multiLevelType w:val="singleLevel"/>
    <w:tmpl w:val="946F7B49"/>
    <w:lvl w:ilvl="0" w:tentative="0">
      <w:start w:val="1"/>
      <w:numFmt w:val="decimalEnclosedCircleChinese"/>
      <w:suff w:val="nothing"/>
      <w:lvlText w:val="%1　"/>
      <w:lvlJc w:val="left"/>
      <w:pPr>
        <w:ind w:left="0" w:firstLine="400"/>
      </w:pPr>
      <w:rPr>
        <w:rFonts w:hint="eastAsia"/>
      </w:rPr>
    </w:lvl>
  </w:abstractNum>
  <w:abstractNum w:abstractNumId="16">
    <w:nsid w:val="948A5332"/>
    <w:multiLevelType w:val="singleLevel"/>
    <w:tmpl w:val="948A5332"/>
    <w:lvl w:ilvl="0" w:tentative="0">
      <w:start w:val="1"/>
      <w:numFmt w:val="decimal"/>
      <w:suff w:val="space"/>
      <w:lvlText w:val="(%1)"/>
      <w:lvlJc w:val="left"/>
      <w:pPr>
        <w:ind w:left="425" w:hanging="425"/>
      </w:pPr>
      <w:rPr>
        <w:rFonts w:hint="default"/>
      </w:rPr>
    </w:lvl>
  </w:abstractNum>
  <w:abstractNum w:abstractNumId="17">
    <w:nsid w:val="94FB5D5C"/>
    <w:multiLevelType w:val="singleLevel"/>
    <w:tmpl w:val="94FB5D5C"/>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18">
    <w:nsid w:val="98F4600A"/>
    <w:multiLevelType w:val="singleLevel"/>
    <w:tmpl w:val="98F4600A"/>
    <w:lvl w:ilvl="0" w:tentative="0">
      <w:start w:val="1"/>
      <w:numFmt w:val="decimal"/>
      <w:lvlText w:val="(%1)"/>
      <w:lvlJc w:val="left"/>
      <w:pPr>
        <w:ind w:left="425" w:hanging="425"/>
      </w:pPr>
      <w:rPr>
        <w:rFonts w:hint="default"/>
      </w:rPr>
    </w:lvl>
  </w:abstractNum>
  <w:abstractNum w:abstractNumId="19">
    <w:nsid w:val="9C7B6E06"/>
    <w:multiLevelType w:val="singleLevel"/>
    <w:tmpl w:val="9C7B6E06"/>
    <w:lvl w:ilvl="0" w:tentative="0">
      <w:start w:val="1"/>
      <w:numFmt w:val="decimal"/>
      <w:suff w:val="nothing"/>
      <w:lvlText w:val="（%1）"/>
      <w:lvlJc w:val="left"/>
      <w:pPr>
        <w:tabs>
          <w:tab w:val="left" w:pos="0"/>
        </w:tabs>
        <w:ind w:left="420" w:hanging="420"/>
      </w:pPr>
      <w:rPr>
        <w:rFonts w:hint="default"/>
      </w:rPr>
    </w:lvl>
  </w:abstractNum>
  <w:abstractNum w:abstractNumId="20">
    <w:nsid w:val="9CA15BF7"/>
    <w:multiLevelType w:val="multilevel"/>
    <w:tmpl w:val="9CA15BF7"/>
    <w:lvl w:ilvl="0" w:tentative="0">
      <w:start w:val="1"/>
      <w:numFmt w:val="decimal"/>
      <w:suff w:val="space"/>
      <w:lvlText w:val="(%1)"/>
      <w:lvlJc w:val="left"/>
      <w:pPr>
        <w:ind w:left="425" w:hanging="425"/>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1">
    <w:nsid w:val="A03AFEEE"/>
    <w:multiLevelType w:val="singleLevel"/>
    <w:tmpl w:val="A03AFEEE"/>
    <w:lvl w:ilvl="0" w:tentative="0">
      <w:start w:val="1"/>
      <w:numFmt w:val="chineseCounting"/>
      <w:suff w:val="nothing"/>
      <w:lvlText w:val="（%1）"/>
      <w:lvlJc w:val="left"/>
      <w:pPr>
        <w:ind w:left="0" w:firstLine="420"/>
      </w:pPr>
      <w:rPr>
        <w:rFonts w:hint="eastAsia"/>
      </w:rPr>
    </w:lvl>
  </w:abstractNum>
  <w:abstractNum w:abstractNumId="22">
    <w:nsid w:val="A0DED163"/>
    <w:multiLevelType w:val="singleLevel"/>
    <w:tmpl w:val="A0DED163"/>
    <w:lvl w:ilvl="0" w:tentative="0">
      <w:start w:val="1"/>
      <w:numFmt w:val="decimal"/>
      <w:suff w:val="space"/>
      <w:lvlText w:val="(%1)"/>
      <w:lvlJc w:val="left"/>
      <w:pPr>
        <w:ind w:left="425" w:hanging="425"/>
      </w:pPr>
      <w:rPr>
        <w:rFonts w:hint="default"/>
      </w:rPr>
    </w:lvl>
  </w:abstractNum>
  <w:abstractNum w:abstractNumId="23">
    <w:nsid w:val="A16FA44B"/>
    <w:multiLevelType w:val="singleLevel"/>
    <w:tmpl w:val="A16FA44B"/>
    <w:lvl w:ilvl="0" w:tentative="0">
      <w:start w:val="1"/>
      <w:numFmt w:val="decimal"/>
      <w:suff w:val="space"/>
      <w:lvlText w:val="(%1)"/>
      <w:lvlJc w:val="left"/>
      <w:pPr>
        <w:ind w:left="425" w:hanging="425"/>
      </w:pPr>
      <w:rPr>
        <w:rFonts w:hint="default"/>
      </w:rPr>
    </w:lvl>
  </w:abstractNum>
  <w:abstractNum w:abstractNumId="24">
    <w:nsid w:val="A562D269"/>
    <w:multiLevelType w:val="singleLevel"/>
    <w:tmpl w:val="A562D269"/>
    <w:lvl w:ilvl="0" w:tentative="0">
      <w:start w:val="1"/>
      <w:numFmt w:val="decimal"/>
      <w:suff w:val="nothing"/>
      <w:lvlText w:val="%1"/>
      <w:lvlJc w:val="left"/>
      <w:pPr>
        <w:ind w:left="0" w:firstLine="403"/>
      </w:pPr>
      <w:rPr>
        <w:rFonts w:hint="default"/>
        <w:b w:val="0"/>
        <w:bCs w:val="0"/>
      </w:rPr>
    </w:lvl>
  </w:abstractNum>
  <w:abstractNum w:abstractNumId="25">
    <w:nsid w:val="A5894C29"/>
    <w:multiLevelType w:val="singleLevel"/>
    <w:tmpl w:val="A5894C29"/>
    <w:lvl w:ilvl="0" w:tentative="0">
      <w:start w:val="1"/>
      <w:numFmt w:val="decimal"/>
      <w:lvlText w:val="(%1)"/>
      <w:lvlJc w:val="left"/>
      <w:pPr>
        <w:ind w:left="425" w:hanging="425"/>
      </w:pPr>
      <w:rPr>
        <w:rFonts w:hint="default"/>
      </w:rPr>
    </w:lvl>
  </w:abstractNum>
  <w:abstractNum w:abstractNumId="26">
    <w:nsid w:val="A77F37D7"/>
    <w:multiLevelType w:val="singleLevel"/>
    <w:tmpl w:val="A77F37D7"/>
    <w:lvl w:ilvl="0" w:tentative="0">
      <w:start w:val="1"/>
      <w:numFmt w:val="decimalEnclosedCircleChinese"/>
      <w:suff w:val="nothing"/>
      <w:lvlText w:val="%1 "/>
      <w:lvlJc w:val="left"/>
      <w:pPr>
        <w:ind w:left="0" w:firstLine="397"/>
      </w:pPr>
      <w:rPr>
        <w:rFonts w:hint="eastAsia"/>
      </w:rPr>
    </w:lvl>
  </w:abstractNum>
  <w:abstractNum w:abstractNumId="27">
    <w:nsid w:val="AC28C54E"/>
    <w:multiLevelType w:val="singleLevel"/>
    <w:tmpl w:val="AC28C54E"/>
    <w:lvl w:ilvl="0" w:tentative="0">
      <w:start w:val="1"/>
      <w:numFmt w:val="decimal"/>
      <w:suff w:val="space"/>
      <w:lvlText w:val="(%1)"/>
      <w:lvlJc w:val="left"/>
      <w:pPr>
        <w:ind w:left="425" w:hanging="425"/>
      </w:pPr>
      <w:rPr>
        <w:rFonts w:hint="default"/>
      </w:rPr>
    </w:lvl>
  </w:abstractNum>
  <w:abstractNum w:abstractNumId="28">
    <w:nsid w:val="AC87445F"/>
    <w:multiLevelType w:val="singleLevel"/>
    <w:tmpl w:val="AC87445F"/>
    <w:lvl w:ilvl="0" w:tentative="0">
      <w:start w:val="1"/>
      <w:numFmt w:val="decimal"/>
      <w:suff w:val="space"/>
      <w:lvlText w:val="(%1)"/>
      <w:lvlJc w:val="left"/>
      <w:pPr>
        <w:ind w:left="425" w:hanging="425"/>
      </w:pPr>
      <w:rPr>
        <w:rFonts w:hint="default"/>
      </w:rPr>
    </w:lvl>
  </w:abstractNum>
  <w:abstractNum w:abstractNumId="29">
    <w:nsid w:val="AE4CB992"/>
    <w:multiLevelType w:val="singleLevel"/>
    <w:tmpl w:val="AE4CB992"/>
    <w:lvl w:ilvl="0" w:tentative="0">
      <w:start w:val="1"/>
      <w:numFmt w:val="decimal"/>
      <w:lvlText w:val="(%1)"/>
      <w:lvlJc w:val="left"/>
      <w:pPr>
        <w:ind w:left="425" w:hanging="425"/>
      </w:pPr>
      <w:rPr>
        <w:rFonts w:hint="default"/>
      </w:rPr>
    </w:lvl>
  </w:abstractNum>
  <w:abstractNum w:abstractNumId="30">
    <w:nsid w:val="AE78EE56"/>
    <w:multiLevelType w:val="singleLevel"/>
    <w:tmpl w:val="AE78EE56"/>
    <w:lvl w:ilvl="0" w:tentative="0">
      <w:start w:val="1"/>
      <w:numFmt w:val="decimal"/>
      <w:suff w:val="nothing"/>
      <w:lvlText w:val="%1．"/>
      <w:lvlJc w:val="left"/>
      <w:pPr>
        <w:ind w:left="0" w:firstLine="400"/>
      </w:pPr>
      <w:rPr>
        <w:rFonts w:hint="default"/>
      </w:rPr>
    </w:lvl>
  </w:abstractNum>
  <w:abstractNum w:abstractNumId="31">
    <w:nsid w:val="B1430A1F"/>
    <w:multiLevelType w:val="singleLevel"/>
    <w:tmpl w:val="B1430A1F"/>
    <w:lvl w:ilvl="0" w:tentative="0">
      <w:start w:val="1"/>
      <w:numFmt w:val="chineseCounting"/>
      <w:suff w:val="nothing"/>
      <w:lvlText w:val="（%1）"/>
      <w:lvlJc w:val="left"/>
      <w:pPr>
        <w:ind w:left="0" w:firstLine="420"/>
      </w:pPr>
      <w:rPr>
        <w:rFonts w:hint="eastAsia"/>
      </w:rPr>
    </w:lvl>
  </w:abstractNum>
  <w:abstractNum w:abstractNumId="32">
    <w:nsid w:val="B2DF243F"/>
    <w:multiLevelType w:val="singleLevel"/>
    <w:tmpl w:val="B2DF243F"/>
    <w:lvl w:ilvl="0" w:tentative="0">
      <w:start w:val="1"/>
      <w:numFmt w:val="decimalEnclosedCircleChinese"/>
      <w:suff w:val="nothing"/>
      <w:lvlText w:val="%1 "/>
      <w:lvlJc w:val="left"/>
      <w:pPr>
        <w:ind w:left="0" w:firstLine="397"/>
      </w:pPr>
      <w:rPr>
        <w:rFonts w:hint="eastAsia"/>
      </w:rPr>
    </w:lvl>
  </w:abstractNum>
  <w:abstractNum w:abstractNumId="33">
    <w:nsid w:val="B31A0F31"/>
    <w:multiLevelType w:val="singleLevel"/>
    <w:tmpl w:val="B31A0F31"/>
    <w:lvl w:ilvl="0" w:tentative="0">
      <w:start w:val="1"/>
      <w:numFmt w:val="decimal"/>
      <w:suff w:val="nothing"/>
      <w:lvlText w:val="%1"/>
      <w:lvlJc w:val="left"/>
      <w:pPr>
        <w:tabs>
          <w:tab w:val="left" w:pos="397"/>
        </w:tabs>
        <w:ind w:left="454" w:leftChars="0" w:hanging="454" w:firstLineChars="0"/>
      </w:pPr>
      <w:rPr>
        <w:rFonts w:hint="default"/>
      </w:rPr>
    </w:lvl>
  </w:abstractNum>
  <w:abstractNum w:abstractNumId="34">
    <w:nsid w:val="B5B9B36B"/>
    <w:multiLevelType w:val="singleLevel"/>
    <w:tmpl w:val="B5B9B36B"/>
    <w:lvl w:ilvl="0" w:tentative="0">
      <w:start w:val="1"/>
      <w:numFmt w:val="decimal"/>
      <w:lvlText w:val="(%1)"/>
      <w:lvlJc w:val="left"/>
      <w:pPr>
        <w:tabs>
          <w:tab w:val="left" w:pos="397"/>
        </w:tabs>
        <w:ind w:left="454" w:leftChars="0" w:hanging="454" w:firstLineChars="0"/>
      </w:pPr>
      <w:rPr>
        <w:rFonts w:hint="default"/>
      </w:rPr>
    </w:lvl>
  </w:abstractNum>
  <w:abstractNum w:abstractNumId="35">
    <w:nsid w:val="B6F1F01D"/>
    <w:multiLevelType w:val="singleLevel"/>
    <w:tmpl w:val="B6F1F01D"/>
    <w:lvl w:ilvl="0" w:tentative="0">
      <w:start w:val="1"/>
      <w:numFmt w:val="decimalEnclosedCircleChinese"/>
      <w:suff w:val="nothing"/>
      <w:lvlText w:val="%1"/>
      <w:lvlJc w:val="left"/>
      <w:pPr>
        <w:tabs>
          <w:tab w:val="left" w:pos="0"/>
        </w:tabs>
        <w:ind w:left="0" w:firstLine="397"/>
      </w:pPr>
      <w:rPr>
        <w:rFonts w:hint="eastAsia"/>
      </w:rPr>
    </w:lvl>
  </w:abstractNum>
  <w:abstractNum w:abstractNumId="36">
    <w:nsid w:val="B72BE910"/>
    <w:multiLevelType w:val="singleLevel"/>
    <w:tmpl w:val="B72BE910"/>
    <w:lvl w:ilvl="0" w:tentative="0">
      <w:start w:val="1"/>
      <w:numFmt w:val="decimal"/>
      <w:lvlText w:val="(%1)"/>
      <w:lvlJc w:val="left"/>
      <w:pPr>
        <w:tabs>
          <w:tab w:val="left" w:pos="397"/>
        </w:tabs>
        <w:ind w:left="454" w:leftChars="0" w:hanging="454" w:firstLineChars="0"/>
      </w:pPr>
      <w:rPr>
        <w:rFonts w:hint="default"/>
      </w:rPr>
    </w:lvl>
  </w:abstractNum>
  <w:abstractNum w:abstractNumId="37">
    <w:nsid w:val="B773165B"/>
    <w:multiLevelType w:val="singleLevel"/>
    <w:tmpl w:val="B773165B"/>
    <w:lvl w:ilvl="0" w:tentative="0">
      <w:start w:val="1"/>
      <w:numFmt w:val="decimal"/>
      <w:lvlText w:val="(%1)"/>
      <w:lvlJc w:val="left"/>
      <w:pPr>
        <w:ind w:left="425" w:hanging="425"/>
      </w:pPr>
      <w:rPr>
        <w:rFonts w:hint="default"/>
      </w:rPr>
    </w:lvl>
  </w:abstractNum>
  <w:abstractNum w:abstractNumId="38">
    <w:nsid w:val="B7871F72"/>
    <w:multiLevelType w:val="singleLevel"/>
    <w:tmpl w:val="B7871F72"/>
    <w:lvl w:ilvl="0" w:tentative="0">
      <w:start w:val="1"/>
      <w:numFmt w:val="decimal"/>
      <w:lvlText w:val="(%1)"/>
      <w:lvlJc w:val="left"/>
      <w:pPr>
        <w:tabs>
          <w:tab w:val="left" w:pos="397"/>
        </w:tabs>
        <w:ind w:left="454" w:leftChars="0" w:hanging="454" w:firstLineChars="0"/>
      </w:pPr>
      <w:rPr>
        <w:rFonts w:hint="default"/>
      </w:rPr>
    </w:lvl>
  </w:abstractNum>
  <w:abstractNum w:abstractNumId="39">
    <w:nsid w:val="B88A393E"/>
    <w:multiLevelType w:val="singleLevel"/>
    <w:tmpl w:val="B88A393E"/>
    <w:lvl w:ilvl="0" w:tentative="0">
      <w:start w:val="1"/>
      <w:numFmt w:val="decimal"/>
      <w:suff w:val="space"/>
      <w:lvlText w:val="(%1)"/>
      <w:lvlJc w:val="left"/>
      <w:pPr>
        <w:ind w:left="425" w:hanging="425"/>
      </w:pPr>
      <w:rPr>
        <w:rFonts w:hint="default"/>
      </w:rPr>
    </w:lvl>
  </w:abstractNum>
  <w:abstractNum w:abstractNumId="40">
    <w:nsid w:val="B88CADCB"/>
    <w:multiLevelType w:val="singleLevel"/>
    <w:tmpl w:val="B88CADCB"/>
    <w:lvl w:ilvl="0" w:tentative="0">
      <w:start w:val="1"/>
      <w:numFmt w:val="decimal"/>
      <w:suff w:val="nothing"/>
      <w:lvlText w:val="%1"/>
      <w:lvlJc w:val="center"/>
      <w:pPr>
        <w:tabs>
          <w:tab w:val="left" w:pos="0"/>
        </w:tabs>
        <w:ind w:left="0" w:leftChars="0" w:firstLine="0" w:firstLineChars="0"/>
      </w:pPr>
      <w:rPr>
        <w:rFonts w:hint="default"/>
        <w:u w:val="none"/>
      </w:rPr>
    </w:lvl>
  </w:abstractNum>
  <w:abstractNum w:abstractNumId="41">
    <w:nsid w:val="BEB2B885"/>
    <w:multiLevelType w:val="singleLevel"/>
    <w:tmpl w:val="BEB2B885"/>
    <w:lvl w:ilvl="0" w:tentative="0">
      <w:start w:val="1"/>
      <w:numFmt w:val="decimal"/>
      <w:lvlText w:val="(%1)"/>
      <w:lvlJc w:val="left"/>
      <w:pPr>
        <w:ind w:left="425" w:hanging="425"/>
      </w:pPr>
      <w:rPr>
        <w:rFonts w:hint="default"/>
      </w:rPr>
    </w:lvl>
  </w:abstractNum>
  <w:abstractNum w:abstractNumId="42">
    <w:nsid w:val="BFFC8797"/>
    <w:multiLevelType w:val="singleLevel"/>
    <w:tmpl w:val="BFFC8797"/>
    <w:lvl w:ilvl="0" w:tentative="0">
      <w:start w:val="1"/>
      <w:numFmt w:val="decimal"/>
      <w:suff w:val="nothing"/>
      <w:lvlText w:val="%1"/>
      <w:lvlJc w:val="left"/>
      <w:pPr>
        <w:tabs>
          <w:tab w:val="left" w:pos="397"/>
        </w:tabs>
        <w:ind w:left="454" w:leftChars="0" w:hanging="454" w:firstLineChars="0"/>
      </w:pPr>
      <w:rPr>
        <w:rFonts w:hint="default"/>
      </w:rPr>
    </w:lvl>
  </w:abstractNum>
  <w:abstractNum w:abstractNumId="43">
    <w:nsid w:val="C0E302A5"/>
    <w:multiLevelType w:val="singleLevel"/>
    <w:tmpl w:val="C0E302A5"/>
    <w:lvl w:ilvl="0" w:tentative="0">
      <w:start w:val="1"/>
      <w:numFmt w:val="decimal"/>
      <w:lvlText w:val="(%1)"/>
      <w:lvlJc w:val="left"/>
      <w:pPr>
        <w:ind w:left="425" w:hanging="425"/>
      </w:pPr>
      <w:rPr>
        <w:rFonts w:hint="default"/>
      </w:rPr>
    </w:lvl>
  </w:abstractNum>
  <w:abstractNum w:abstractNumId="44">
    <w:nsid w:val="C14989C1"/>
    <w:multiLevelType w:val="singleLevel"/>
    <w:tmpl w:val="C14989C1"/>
    <w:lvl w:ilvl="0" w:tentative="0">
      <w:start w:val="1"/>
      <w:numFmt w:val="decimal"/>
      <w:suff w:val="space"/>
      <w:lvlText w:val="(%1)"/>
      <w:lvlJc w:val="left"/>
      <w:pPr>
        <w:ind w:left="425" w:hanging="425"/>
      </w:pPr>
      <w:rPr>
        <w:rFonts w:hint="default"/>
      </w:rPr>
    </w:lvl>
  </w:abstractNum>
  <w:abstractNum w:abstractNumId="45">
    <w:nsid w:val="C14A4AD6"/>
    <w:multiLevelType w:val="singleLevel"/>
    <w:tmpl w:val="C14A4AD6"/>
    <w:lvl w:ilvl="0" w:tentative="0">
      <w:start w:val="1"/>
      <w:numFmt w:val="decimal"/>
      <w:lvlText w:val="(%1)"/>
      <w:lvlJc w:val="left"/>
      <w:pPr>
        <w:ind w:left="425" w:hanging="425"/>
      </w:pPr>
      <w:rPr>
        <w:rFonts w:hint="default" w:ascii="宋体" w:hAnsi="宋体" w:eastAsia="宋体" w:cs="宋体"/>
        <w:sz w:val="28"/>
        <w:szCs w:val="28"/>
      </w:rPr>
    </w:lvl>
  </w:abstractNum>
  <w:abstractNum w:abstractNumId="46">
    <w:nsid w:val="C1F8DB12"/>
    <w:multiLevelType w:val="singleLevel"/>
    <w:tmpl w:val="C1F8DB12"/>
    <w:lvl w:ilvl="0" w:tentative="0">
      <w:start w:val="1"/>
      <w:numFmt w:val="decimal"/>
      <w:suff w:val="nothing"/>
      <w:lvlText w:val="（%1）"/>
      <w:lvlJc w:val="left"/>
      <w:pPr>
        <w:tabs>
          <w:tab w:val="left" w:pos="0"/>
        </w:tabs>
        <w:ind w:left="420" w:hanging="420"/>
      </w:pPr>
      <w:rPr>
        <w:rFonts w:hint="default"/>
      </w:rPr>
    </w:lvl>
  </w:abstractNum>
  <w:abstractNum w:abstractNumId="47">
    <w:nsid w:val="C2A5C24B"/>
    <w:multiLevelType w:val="singleLevel"/>
    <w:tmpl w:val="C2A5C24B"/>
    <w:lvl w:ilvl="0" w:tentative="0">
      <w:start w:val="1"/>
      <w:numFmt w:val="decimal"/>
      <w:lvlText w:val="(%1)"/>
      <w:lvlJc w:val="left"/>
      <w:pPr>
        <w:ind w:left="425" w:hanging="425"/>
      </w:pPr>
      <w:rPr>
        <w:rFonts w:hint="default"/>
      </w:rPr>
    </w:lvl>
  </w:abstractNum>
  <w:abstractNum w:abstractNumId="48">
    <w:nsid w:val="C4DFB90B"/>
    <w:multiLevelType w:val="singleLevel"/>
    <w:tmpl w:val="C4DFB90B"/>
    <w:lvl w:ilvl="0" w:tentative="0">
      <w:start w:val="1"/>
      <w:numFmt w:val="decimal"/>
      <w:suff w:val="nothing"/>
      <w:lvlText w:val="（%1）"/>
      <w:lvlJc w:val="left"/>
      <w:pPr>
        <w:tabs>
          <w:tab w:val="left" w:pos="0"/>
        </w:tabs>
        <w:ind w:left="420" w:hanging="420"/>
      </w:pPr>
      <w:rPr>
        <w:rFonts w:hint="default"/>
      </w:rPr>
    </w:lvl>
  </w:abstractNum>
  <w:abstractNum w:abstractNumId="49">
    <w:nsid w:val="C695A564"/>
    <w:multiLevelType w:val="singleLevel"/>
    <w:tmpl w:val="C695A564"/>
    <w:lvl w:ilvl="0" w:tentative="0">
      <w:start w:val="1"/>
      <w:numFmt w:val="decimal"/>
      <w:suff w:val="space"/>
      <w:lvlText w:val="(%1)"/>
      <w:lvlJc w:val="left"/>
      <w:pPr>
        <w:ind w:left="425" w:hanging="425"/>
      </w:pPr>
      <w:rPr>
        <w:rFonts w:hint="default"/>
      </w:rPr>
    </w:lvl>
  </w:abstractNum>
  <w:abstractNum w:abstractNumId="50">
    <w:nsid w:val="C723EC9E"/>
    <w:multiLevelType w:val="singleLevel"/>
    <w:tmpl w:val="C723EC9E"/>
    <w:lvl w:ilvl="0" w:tentative="0">
      <w:start w:val="1"/>
      <w:numFmt w:val="decimal"/>
      <w:suff w:val="space"/>
      <w:lvlText w:val="(%1)"/>
      <w:lvlJc w:val="left"/>
      <w:pPr>
        <w:ind w:left="425" w:hanging="425"/>
      </w:pPr>
      <w:rPr>
        <w:rFonts w:hint="default"/>
      </w:rPr>
    </w:lvl>
  </w:abstractNum>
  <w:abstractNum w:abstractNumId="51">
    <w:nsid w:val="C7AF0497"/>
    <w:multiLevelType w:val="singleLevel"/>
    <w:tmpl w:val="C7AF0497"/>
    <w:lvl w:ilvl="0" w:tentative="0">
      <w:start w:val="1"/>
      <w:numFmt w:val="decimal"/>
      <w:suff w:val="space"/>
      <w:lvlText w:val="(%1)"/>
      <w:lvlJc w:val="left"/>
      <w:pPr>
        <w:ind w:left="425" w:hanging="425"/>
      </w:pPr>
      <w:rPr>
        <w:rFonts w:hint="default" w:ascii="宋体" w:hAnsi="宋体" w:eastAsia="宋体" w:cs="宋体"/>
      </w:rPr>
    </w:lvl>
  </w:abstractNum>
  <w:abstractNum w:abstractNumId="52">
    <w:nsid w:val="C92000EC"/>
    <w:multiLevelType w:val="singleLevel"/>
    <w:tmpl w:val="C92000EC"/>
    <w:lvl w:ilvl="0" w:tentative="0">
      <w:start w:val="1"/>
      <w:numFmt w:val="decimal"/>
      <w:suff w:val="space"/>
      <w:lvlText w:val="(%1)"/>
      <w:lvlJc w:val="left"/>
      <w:pPr>
        <w:ind w:left="425" w:hanging="425"/>
      </w:pPr>
      <w:rPr>
        <w:rFonts w:hint="default"/>
      </w:rPr>
    </w:lvl>
  </w:abstractNum>
  <w:abstractNum w:abstractNumId="53">
    <w:nsid w:val="C99CDC2D"/>
    <w:multiLevelType w:val="multilevel"/>
    <w:tmpl w:val="C99CDC2D"/>
    <w:lvl w:ilvl="0" w:tentative="0">
      <w:start w:val="1"/>
      <w:numFmt w:val="decimalEnclosedCircleChinese"/>
      <w:suff w:val="nothing"/>
      <w:lvlText w:val="%1　"/>
      <w:lvlJc w:val="left"/>
      <w:pPr>
        <w:ind w:left="0" w:firstLine="40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4">
    <w:nsid w:val="CA1902BD"/>
    <w:multiLevelType w:val="singleLevel"/>
    <w:tmpl w:val="CA1902BD"/>
    <w:lvl w:ilvl="0" w:tentative="0">
      <w:start w:val="1"/>
      <w:numFmt w:val="decimal"/>
      <w:lvlText w:val="(%1)"/>
      <w:lvlJc w:val="left"/>
      <w:pPr>
        <w:ind w:left="425" w:hanging="425"/>
      </w:pPr>
      <w:rPr>
        <w:rFonts w:hint="default"/>
      </w:rPr>
    </w:lvl>
  </w:abstractNum>
  <w:abstractNum w:abstractNumId="55">
    <w:nsid w:val="CE06D1EF"/>
    <w:multiLevelType w:val="multilevel"/>
    <w:tmpl w:val="CE06D1EF"/>
    <w:lvl w:ilvl="0" w:tentative="0">
      <w:start w:val="1"/>
      <w:numFmt w:val="decimal"/>
      <w:suff w:val="space"/>
      <w:lvlText w:val="(%1)"/>
      <w:lvlJc w:val="left"/>
      <w:pPr>
        <w:ind w:left="425" w:hanging="425"/>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6">
    <w:nsid w:val="CE72CCA2"/>
    <w:multiLevelType w:val="singleLevel"/>
    <w:tmpl w:val="CE72CCA2"/>
    <w:lvl w:ilvl="0" w:tentative="0">
      <w:start w:val="1"/>
      <w:numFmt w:val="decimal"/>
      <w:suff w:val="space"/>
      <w:lvlText w:val="(%1)"/>
      <w:lvlJc w:val="left"/>
      <w:pPr>
        <w:ind w:left="425" w:hanging="425"/>
      </w:pPr>
      <w:rPr>
        <w:rFonts w:hint="default"/>
      </w:rPr>
    </w:lvl>
  </w:abstractNum>
  <w:abstractNum w:abstractNumId="57">
    <w:nsid w:val="D0078C7D"/>
    <w:multiLevelType w:val="singleLevel"/>
    <w:tmpl w:val="D0078C7D"/>
    <w:lvl w:ilvl="0" w:tentative="0">
      <w:start w:val="1"/>
      <w:numFmt w:val="decimalEnclosedCircleChinese"/>
      <w:suff w:val="nothing"/>
      <w:lvlText w:val="%1 "/>
      <w:lvlJc w:val="left"/>
      <w:pPr>
        <w:ind w:left="0" w:firstLine="403"/>
      </w:pPr>
      <w:rPr>
        <w:rFonts w:hint="eastAsia"/>
      </w:rPr>
    </w:lvl>
  </w:abstractNum>
  <w:abstractNum w:abstractNumId="58">
    <w:nsid w:val="D0DFC5B9"/>
    <w:multiLevelType w:val="singleLevel"/>
    <w:tmpl w:val="D0DFC5B9"/>
    <w:lvl w:ilvl="0" w:tentative="0">
      <w:start w:val="1"/>
      <w:numFmt w:val="decimal"/>
      <w:lvlText w:val="(%1)"/>
      <w:lvlJc w:val="left"/>
      <w:pPr>
        <w:tabs>
          <w:tab w:val="left" w:pos="397"/>
        </w:tabs>
        <w:ind w:left="454" w:leftChars="0" w:hanging="454" w:firstLineChars="0"/>
      </w:pPr>
      <w:rPr>
        <w:rFonts w:hint="default"/>
      </w:rPr>
    </w:lvl>
  </w:abstractNum>
  <w:abstractNum w:abstractNumId="59">
    <w:nsid w:val="D275134A"/>
    <w:multiLevelType w:val="singleLevel"/>
    <w:tmpl w:val="D275134A"/>
    <w:lvl w:ilvl="0" w:tentative="0">
      <w:start w:val="1"/>
      <w:numFmt w:val="decimal"/>
      <w:lvlText w:val="(%1)"/>
      <w:lvlJc w:val="left"/>
      <w:pPr>
        <w:tabs>
          <w:tab w:val="left" w:pos="397"/>
        </w:tabs>
        <w:ind w:left="454" w:leftChars="0" w:hanging="454" w:firstLineChars="0"/>
      </w:pPr>
      <w:rPr>
        <w:rFonts w:hint="default"/>
      </w:rPr>
    </w:lvl>
  </w:abstractNum>
  <w:abstractNum w:abstractNumId="60">
    <w:nsid w:val="D2939575"/>
    <w:multiLevelType w:val="singleLevel"/>
    <w:tmpl w:val="D2939575"/>
    <w:lvl w:ilvl="0" w:tentative="0">
      <w:start w:val="1"/>
      <w:numFmt w:val="decimal"/>
      <w:suff w:val="space"/>
      <w:lvlText w:val="(%1)"/>
      <w:lvlJc w:val="left"/>
      <w:pPr>
        <w:ind w:left="425" w:hanging="425"/>
      </w:pPr>
      <w:rPr>
        <w:rFonts w:hint="default"/>
      </w:rPr>
    </w:lvl>
  </w:abstractNum>
  <w:abstractNum w:abstractNumId="61">
    <w:nsid w:val="D3C405FA"/>
    <w:multiLevelType w:val="singleLevel"/>
    <w:tmpl w:val="D3C405FA"/>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62">
    <w:nsid w:val="D6F7AF3C"/>
    <w:multiLevelType w:val="singleLevel"/>
    <w:tmpl w:val="D6F7AF3C"/>
    <w:lvl w:ilvl="0" w:tentative="0">
      <w:start w:val="1"/>
      <w:numFmt w:val="decimal"/>
      <w:suff w:val="space"/>
      <w:lvlText w:val="(%1)"/>
      <w:lvlJc w:val="left"/>
      <w:pPr>
        <w:ind w:left="425" w:hanging="425"/>
      </w:pPr>
      <w:rPr>
        <w:rFonts w:hint="default"/>
      </w:rPr>
    </w:lvl>
  </w:abstractNum>
  <w:abstractNum w:abstractNumId="63">
    <w:nsid w:val="DA8B707A"/>
    <w:multiLevelType w:val="singleLevel"/>
    <w:tmpl w:val="DA8B707A"/>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64">
    <w:nsid w:val="E23011E3"/>
    <w:multiLevelType w:val="singleLevel"/>
    <w:tmpl w:val="E23011E3"/>
    <w:lvl w:ilvl="0" w:tentative="0">
      <w:start w:val="1"/>
      <w:numFmt w:val="decimalEnclosedCircleChinese"/>
      <w:suff w:val="nothing"/>
      <w:lvlText w:val="%1"/>
      <w:lvlJc w:val="left"/>
      <w:pPr>
        <w:tabs>
          <w:tab w:val="left" w:pos="0"/>
        </w:tabs>
        <w:ind w:left="0" w:firstLine="397"/>
      </w:pPr>
      <w:rPr>
        <w:rFonts w:hint="eastAsia"/>
      </w:rPr>
    </w:lvl>
  </w:abstractNum>
  <w:abstractNum w:abstractNumId="65">
    <w:nsid w:val="E2A984FF"/>
    <w:multiLevelType w:val="singleLevel"/>
    <w:tmpl w:val="E2A984FF"/>
    <w:lvl w:ilvl="0" w:tentative="0">
      <w:start w:val="1"/>
      <w:numFmt w:val="decimal"/>
      <w:suff w:val="nothing"/>
      <w:lvlText w:val="%1."/>
      <w:lvlJc w:val="left"/>
      <w:pPr>
        <w:ind w:left="425" w:hanging="425"/>
      </w:pPr>
      <w:rPr>
        <w:rFonts w:hint="default"/>
        <w:b/>
        <w:bCs/>
      </w:rPr>
    </w:lvl>
  </w:abstractNum>
  <w:abstractNum w:abstractNumId="66">
    <w:nsid w:val="EABD000E"/>
    <w:multiLevelType w:val="singleLevel"/>
    <w:tmpl w:val="EABD000E"/>
    <w:lvl w:ilvl="0" w:tentative="0">
      <w:start w:val="1"/>
      <w:numFmt w:val="decimal"/>
      <w:suff w:val="nothing"/>
      <w:lvlText w:val="%1．"/>
      <w:lvlJc w:val="left"/>
      <w:pPr>
        <w:ind w:left="0" w:firstLine="400"/>
      </w:pPr>
      <w:rPr>
        <w:rFonts w:hint="default"/>
      </w:rPr>
    </w:lvl>
  </w:abstractNum>
  <w:abstractNum w:abstractNumId="67">
    <w:nsid w:val="EB261239"/>
    <w:multiLevelType w:val="multilevel"/>
    <w:tmpl w:val="EB261239"/>
    <w:lvl w:ilvl="0" w:tentative="0">
      <w:start w:val="1"/>
      <w:numFmt w:val="decimal"/>
      <w:pStyle w:val="2"/>
      <w:suff w:val="space"/>
      <w:lvlText w:val="第%1章"/>
      <w:lvlJc w:val="left"/>
      <w:pPr>
        <w:tabs>
          <w:tab w:val="left" w:pos="0"/>
        </w:tabs>
        <w:ind w:left="432" w:hanging="432"/>
      </w:pPr>
      <w:rPr>
        <w:rFonts w:hint="default" w:ascii="黑体" w:hAnsi="黑体" w:eastAsia="黑体" w:cs="黑体"/>
        <w:b/>
        <w:bCs/>
        <w:sz w:val="36"/>
        <w:szCs w:val="36"/>
      </w:rPr>
    </w:lvl>
    <w:lvl w:ilvl="1" w:tentative="0">
      <w:start w:val="1"/>
      <w:numFmt w:val="decimal"/>
      <w:pStyle w:val="3"/>
      <w:suff w:val="space"/>
      <w:lvlText w:val="%1.%2"/>
      <w:lvlJc w:val="left"/>
      <w:pPr>
        <w:ind w:left="575" w:hanging="575"/>
      </w:pPr>
      <w:rPr>
        <w:rFonts w:hint="default" w:ascii="黑体" w:hAnsi="黑体" w:eastAsia="黑体" w:cs="黑体"/>
        <w:b w:val="0"/>
        <w:bCs w:val="0"/>
        <w:sz w:val="32"/>
        <w:szCs w:val="32"/>
      </w:rPr>
    </w:lvl>
    <w:lvl w:ilvl="2" w:tentative="0">
      <w:start w:val="1"/>
      <w:numFmt w:val="decimal"/>
      <w:pStyle w:val="4"/>
      <w:suff w:val="space"/>
      <w:lvlText w:val="%1.%2.%3"/>
      <w:lvlJc w:val="left"/>
      <w:pPr>
        <w:tabs>
          <w:tab w:val="left" w:pos="0"/>
        </w:tabs>
        <w:ind w:left="720" w:hanging="720"/>
      </w:pPr>
      <w:rPr>
        <w:rFonts w:hint="default" w:ascii="宋体" w:hAnsi="宋体" w:cs="宋体"/>
        <w:b/>
        <w:bCs/>
        <w:sz w:val="32"/>
        <w:szCs w:val="32"/>
      </w:rPr>
    </w:lvl>
    <w:lvl w:ilvl="3" w:tentative="0">
      <w:start w:val="1"/>
      <w:numFmt w:val="decimal"/>
      <w:pStyle w:val="5"/>
      <w:suff w:val="space"/>
      <w:lvlText w:val="%1.%2.%3.%4"/>
      <w:lvlJc w:val="left"/>
      <w:pPr>
        <w:ind w:left="864" w:hanging="864"/>
      </w:pPr>
      <w:rPr>
        <w:rFonts w:hint="default" w:ascii="宋体" w:hAnsi="宋体" w:cs="宋体"/>
        <w:b/>
        <w:bCs/>
        <w:sz w:val="30"/>
        <w:szCs w:val="30"/>
      </w:rPr>
    </w:lvl>
    <w:lvl w:ilvl="4" w:tentative="0">
      <w:start w:val="1"/>
      <w:numFmt w:val="decimal"/>
      <w:pStyle w:val="6"/>
      <w:lvlText w:val="%1.%2.%3.%4.%5"/>
      <w:lvlJc w:val="left"/>
      <w:pPr>
        <w:tabs>
          <w:tab w:val="left" w:pos="420"/>
        </w:tabs>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68">
    <w:nsid w:val="EFCB31D6"/>
    <w:multiLevelType w:val="singleLevel"/>
    <w:tmpl w:val="EFCB31D6"/>
    <w:lvl w:ilvl="0" w:tentative="0">
      <w:start w:val="1"/>
      <w:numFmt w:val="decimal"/>
      <w:lvlText w:val="(%1)"/>
      <w:lvlJc w:val="left"/>
      <w:pPr>
        <w:tabs>
          <w:tab w:val="left" w:pos="397"/>
        </w:tabs>
        <w:ind w:left="454" w:leftChars="0" w:hanging="454" w:firstLineChars="0"/>
      </w:pPr>
      <w:rPr>
        <w:rFonts w:hint="default"/>
      </w:rPr>
    </w:lvl>
  </w:abstractNum>
  <w:abstractNum w:abstractNumId="69">
    <w:nsid w:val="F0EE141E"/>
    <w:multiLevelType w:val="singleLevel"/>
    <w:tmpl w:val="F0EE141E"/>
    <w:lvl w:ilvl="0" w:tentative="0">
      <w:start w:val="1"/>
      <w:numFmt w:val="decimal"/>
      <w:suff w:val="nothing"/>
      <w:lvlText w:val="%1．"/>
      <w:lvlJc w:val="left"/>
      <w:pPr>
        <w:ind w:left="0" w:firstLine="400"/>
      </w:pPr>
      <w:rPr>
        <w:rFonts w:hint="default"/>
      </w:rPr>
    </w:lvl>
  </w:abstractNum>
  <w:abstractNum w:abstractNumId="70">
    <w:nsid w:val="F25818F5"/>
    <w:multiLevelType w:val="singleLevel"/>
    <w:tmpl w:val="F25818F5"/>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71">
    <w:nsid w:val="F28BDE97"/>
    <w:multiLevelType w:val="singleLevel"/>
    <w:tmpl w:val="F28BDE97"/>
    <w:lvl w:ilvl="0" w:tentative="0">
      <w:start w:val="1"/>
      <w:numFmt w:val="decimal"/>
      <w:suff w:val="space"/>
      <w:lvlText w:val="(%1)"/>
      <w:lvlJc w:val="left"/>
      <w:pPr>
        <w:ind w:left="425" w:hanging="425"/>
      </w:pPr>
      <w:rPr>
        <w:rFonts w:hint="default"/>
        <w:b w:val="0"/>
        <w:bCs w:val="0"/>
      </w:rPr>
    </w:lvl>
  </w:abstractNum>
  <w:abstractNum w:abstractNumId="72">
    <w:nsid w:val="F2DA26E2"/>
    <w:multiLevelType w:val="singleLevel"/>
    <w:tmpl w:val="F2DA26E2"/>
    <w:lvl w:ilvl="0" w:tentative="0">
      <w:start w:val="1"/>
      <w:numFmt w:val="decimal"/>
      <w:suff w:val="nothing"/>
      <w:lvlText w:val="%1."/>
      <w:lvlJc w:val="left"/>
      <w:pPr>
        <w:ind w:left="425" w:hanging="425"/>
      </w:pPr>
      <w:rPr>
        <w:rFonts w:hint="default"/>
        <w:b/>
        <w:bCs/>
      </w:rPr>
    </w:lvl>
  </w:abstractNum>
  <w:abstractNum w:abstractNumId="73">
    <w:nsid w:val="F941F99C"/>
    <w:multiLevelType w:val="singleLevel"/>
    <w:tmpl w:val="F941F99C"/>
    <w:lvl w:ilvl="0" w:tentative="0">
      <w:start w:val="1"/>
      <w:numFmt w:val="decimal"/>
      <w:suff w:val="space"/>
      <w:lvlText w:val="(%1)"/>
      <w:lvlJc w:val="left"/>
      <w:pPr>
        <w:ind w:left="425" w:hanging="425"/>
      </w:pPr>
      <w:rPr>
        <w:rFonts w:hint="default"/>
      </w:rPr>
    </w:lvl>
  </w:abstractNum>
  <w:abstractNum w:abstractNumId="74">
    <w:nsid w:val="FBB57E9A"/>
    <w:multiLevelType w:val="singleLevel"/>
    <w:tmpl w:val="FBB57E9A"/>
    <w:lvl w:ilvl="0" w:tentative="0">
      <w:start w:val="1"/>
      <w:numFmt w:val="decimal"/>
      <w:suff w:val="space"/>
      <w:lvlText w:val="(%1)"/>
      <w:lvlJc w:val="left"/>
      <w:pPr>
        <w:ind w:left="425" w:hanging="425"/>
      </w:pPr>
      <w:rPr>
        <w:rFonts w:hint="default"/>
      </w:rPr>
    </w:lvl>
  </w:abstractNum>
  <w:abstractNum w:abstractNumId="75">
    <w:nsid w:val="FCDE1B14"/>
    <w:multiLevelType w:val="singleLevel"/>
    <w:tmpl w:val="FCDE1B14"/>
    <w:lvl w:ilvl="0" w:tentative="0">
      <w:start w:val="1"/>
      <w:numFmt w:val="decimalEnclosedCircleChinese"/>
      <w:suff w:val="nothing"/>
      <w:lvlText w:val="%1"/>
      <w:lvlJc w:val="left"/>
      <w:pPr>
        <w:tabs>
          <w:tab w:val="left" w:pos="0"/>
        </w:tabs>
        <w:ind w:left="0" w:firstLine="397"/>
      </w:pPr>
      <w:rPr>
        <w:rFonts w:hint="eastAsia"/>
      </w:rPr>
    </w:lvl>
  </w:abstractNum>
  <w:abstractNum w:abstractNumId="76">
    <w:nsid w:val="FDA3BE66"/>
    <w:multiLevelType w:val="singleLevel"/>
    <w:tmpl w:val="FDA3BE66"/>
    <w:lvl w:ilvl="0" w:tentative="0">
      <w:start w:val="1"/>
      <w:numFmt w:val="decimal"/>
      <w:lvlText w:val="(%1)"/>
      <w:lvlJc w:val="left"/>
      <w:pPr>
        <w:ind w:left="425" w:hanging="425"/>
      </w:pPr>
      <w:rPr>
        <w:rFonts w:hint="default"/>
      </w:rPr>
    </w:lvl>
  </w:abstractNum>
  <w:abstractNum w:abstractNumId="77">
    <w:nsid w:val="00000025"/>
    <w:multiLevelType w:val="multilevel"/>
    <w:tmpl w:val="00000025"/>
    <w:lvl w:ilvl="0" w:tentative="0">
      <w:start w:val="1"/>
      <w:numFmt w:val="decimal"/>
      <w:suff w:val="nothing"/>
      <w:lvlText w:val="%1"/>
      <w:lvlJc w:val="center"/>
      <w:pPr>
        <w:ind w:left="0" w:firstLine="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78">
    <w:nsid w:val="05B7545D"/>
    <w:multiLevelType w:val="singleLevel"/>
    <w:tmpl w:val="05B7545D"/>
    <w:lvl w:ilvl="0" w:tentative="0">
      <w:start w:val="1"/>
      <w:numFmt w:val="decimal"/>
      <w:suff w:val="nothing"/>
      <w:lvlText w:val="%1"/>
      <w:lvlJc w:val="left"/>
      <w:pPr>
        <w:tabs>
          <w:tab w:val="left" w:pos="420"/>
        </w:tabs>
        <w:ind w:left="425" w:leftChars="0" w:hanging="425" w:firstLineChars="0"/>
      </w:pPr>
      <w:rPr>
        <w:rFonts w:hint="default"/>
      </w:rPr>
    </w:lvl>
  </w:abstractNum>
  <w:abstractNum w:abstractNumId="79">
    <w:nsid w:val="06A76B6A"/>
    <w:multiLevelType w:val="multilevel"/>
    <w:tmpl w:val="06A76B6A"/>
    <w:lvl w:ilvl="0" w:tentative="0">
      <w:start w:val="1"/>
      <w:numFmt w:val="decimal"/>
      <w:suff w:val="nothing"/>
      <w:lvlText w:val="%1"/>
      <w:lvlJc w:val="left"/>
      <w:pPr>
        <w:ind w:left="-210" w:firstLine="210"/>
      </w:pPr>
    </w:lvl>
    <w:lvl w:ilvl="1" w:tentative="0">
      <w:start w:val="1"/>
      <w:numFmt w:val="lowerLetter"/>
      <w:lvlText w:val="%2)"/>
      <w:lvlJc w:val="left"/>
      <w:pPr>
        <w:tabs>
          <w:tab w:val="left" w:pos="630"/>
        </w:tabs>
        <w:ind w:left="630" w:hanging="420"/>
      </w:pPr>
    </w:lvl>
    <w:lvl w:ilvl="2" w:tentative="0">
      <w:start w:val="1"/>
      <w:numFmt w:val="lowerRoman"/>
      <w:lvlText w:val="%3."/>
      <w:lvlJc w:val="right"/>
      <w:pPr>
        <w:tabs>
          <w:tab w:val="left" w:pos="1050"/>
        </w:tabs>
        <w:ind w:left="1050" w:hanging="420"/>
      </w:pPr>
    </w:lvl>
    <w:lvl w:ilvl="3" w:tentative="0">
      <w:start w:val="1"/>
      <w:numFmt w:val="decimal"/>
      <w:lvlText w:val="%4."/>
      <w:lvlJc w:val="left"/>
      <w:pPr>
        <w:tabs>
          <w:tab w:val="left" w:pos="1470"/>
        </w:tabs>
        <w:ind w:left="1470" w:hanging="420"/>
      </w:pPr>
    </w:lvl>
    <w:lvl w:ilvl="4" w:tentative="0">
      <w:start w:val="1"/>
      <w:numFmt w:val="lowerLetter"/>
      <w:lvlText w:val="%5)"/>
      <w:lvlJc w:val="left"/>
      <w:pPr>
        <w:tabs>
          <w:tab w:val="left" w:pos="1890"/>
        </w:tabs>
        <w:ind w:left="1890" w:hanging="420"/>
      </w:pPr>
    </w:lvl>
    <w:lvl w:ilvl="5" w:tentative="0">
      <w:start w:val="1"/>
      <w:numFmt w:val="lowerRoman"/>
      <w:lvlText w:val="%6."/>
      <w:lvlJc w:val="right"/>
      <w:pPr>
        <w:tabs>
          <w:tab w:val="left" w:pos="2310"/>
        </w:tabs>
        <w:ind w:left="2310" w:hanging="420"/>
      </w:pPr>
    </w:lvl>
    <w:lvl w:ilvl="6" w:tentative="0">
      <w:start w:val="1"/>
      <w:numFmt w:val="decimal"/>
      <w:lvlText w:val="%7."/>
      <w:lvlJc w:val="left"/>
      <w:pPr>
        <w:tabs>
          <w:tab w:val="left" w:pos="2730"/>
        </w:tabs>
        <w:ind w:left="2730" w:hanging="420"/>
      </w:pPr>
    </w:lvl>
    <w:lvl w:ilvl="7" w:tentative="0">
      <w:start w:val="1"/>
      <w:numFmt w:val="lowerLetter"/>
      <w:lvlText w:val="%8)"/>
      <w:lvlJc w:val="left"/>
      <w:pPr>
        <w:tabs>
          <w:tab w:val="left" w:pos="3150"/>
        </w:tabs>
        <w:ind w:left="3150" w:hanging="420"/>
      </w:pPr>
    </w:lvl>
    <w:lvl w:ilvl="8" w:tentative="0">
      <w:start w:val="1"/>
      <w:numFmt w:val="lowerRoman"/>
      <w:lvlText w:val="%9."/>
      <w:lvlJc w:val="right"/>
      <w:pPr>
        <w:tabs>
          <w:tab w:val="left" w:pos="3570"/>
        </w:tabs>
        <w:ind w:left="3570" w:hanging="420"/>
      </w:pPr>
    </w:lvl>
  </w:abstractNum>
  <w:abstractNum w:abstractNumId="80">
    <w:nsid w:val="078270DC"/>
    <w:multiLevelType w:val="singleLevel"/>
    <w:tmpl w:val="078270DC"/>
    <w:lvl w:ilvl="0" w:tentative="0">
      <w:start w:val="1"/>
      <w:numFmt w:val="decimal"/>
      <w:suff w:val="space"/>
      <w:lvlText w:val="(%1)"/>
      <w:lvlJc w:val="left"/>
      <w:pPr>
        <w:ind w:left="425" w:hanging="425"/>
      </w:pPr>
      <w:rPr>
        <w:rFonts w:hint="default"/>
      </w:rPr>
    </w:lvl>
  </w:abstractNum>
  <w:abstractNum w:abstractNumId="81">
    <w:nsid w:val="08E2C155"/>
    <w:multiLevelType w:val="singleLevel"/>
    <w:tmpl w:val="08E2C155"/>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82">
    <w:nsid w:val="09F6A74B"/>
    <w:multiLevelType w:val="singleLevel"/>
    <w:tmpl w:val="09F6A74B"/>
    <w:lvl w:ilvl="0" w:tentative="0">
      <w:start w:val="1"/>
      <w:numFmt w:val="decimal"/>
      <w:suff w:val="nothing"/>
      <w:lvlText w:val="(%1)"/>
      <w:lvlJc w:val="left"/>
      <w:pPr>
        <w:ind w:left="425" w:hanging="425"/>
      </w:pPr>
      <w:rPr>
        <w:rFonts w:hint="default"/>
      </w:rPr>
    </w:lvl>
  </w:abstractNum>
  <w:abstractNum w:abstractNumId="83">
    <w:nsid w:val="0B0CC715"/>
    <w:multiLevelType w:val="singleLevel"/>
    <w:tmpl w:val="0B0CC715"/>
    <w:lvl w:ilvl="0" w:tentative="0">
      <w:start w:val="1"/>
      <w:numFmt w:val="decimal"/>
      <w:lvlText w:val="附件%1."/>
      <w:lvlJc w:val="left"/>
      <w:pPr>
        <w:tabs>
          <w:tab w:val="left" w:pos="420"/>
        </w:tabs>
        <w:ind w:left="425" w:leftChars="0" w:hanging="425" w:firstLineChars="0"/>
      </w:pPr>
      <w:rPr>
        <w:rFonts w:hint="default"/>
      </w:rPr>
    </w:lvl>
  </w:abstractNum>
  <w:abstractNum w:abstractNumId="84">
    <w:nsid w:val="0B69D833"/>
    <w:multiLevelType w:val="singleLevel"/>
    <w:tmpl w:val="0B69D833"/>
    <w:lvl w:ilvl="0" w:tentative="0">
      <w:start w:val="1"/>
      <w:numFmt w:val="decimal"/>
      <w:suff w:val="nothing"/>
      <w:lvlText w:val="%1."/>
      <w:lvlJc w:val="left"/>
      <w:pPr>
        <w:ind w:left="425" w:hanging="425"/>
      </w:pPr>
      <w:rPr>
        <w:rFonts w:hint="default"/>
        <w:b/>
        <w:bCs/>
      </w:rPr>
    </w:lvl>
  </w:abstractNum>
  <w:abstractNum w:abstractNumId="85">
    <w:nsid w:val="0BDEA377"/>
    <w:multiLevelType w:val="singleLevel"/>
    <w:tmpl w:val="0BDEA377"/>
    <w:lvl w:ilvl="0" w:tentative="0">
      <w:start w:val="1"/>
      <w:numFmt w:val="decimal"/>
      <w:suff w:val="space"/>
      <w:lvlText w:val="(%1)"/>
      <w:lvlJc w:val="left"/>
      <w:pPr>
        <w:ind w:left="425" w:hanging="425"/>
      </w:pPr>
      <w:rPr>
        <w:rFonts w:hint="default"/>
      </w:rPr>
    </w:lvl>
  </w:abstractNum>
  <w:abstractNum w:abstractNumId="86">
    <w:nsid w:val="0D0CACD7"/>
    <w:multiLevelType w:val="singleLevel"/>
    <w:tmpl w:val="0D0CACD7"/>
    <w:lvl w:ilvl="0" w:tentative="0">
      <w:start w:val="1"/>
      <w:numFmt w:val="decimal"/>
      <w:suff w:val="space"/>
      <w:lvlText w:val="(%1)"/>
      <w:lvlJc w:val="left"/>
      <w:pPr>
        <w:ind w:left="425" w:hanging="425"/>
      </w:pPr>
      <w:rPr>
        <w:rFonts w:hint="default"/>
      </w:rPr>
    </w:lvl>
  </w:abstractNum>
  <w:abstractNum w:abstractNumId="87">
    <w:nsid w:val="0D91242B"/>
    <w:multiLevelType w:val="multilevel"/>
    <w:tmpl w:val="0D91242B"/>
    <w:lvl w:ilvl="0" w:tentative="0">
      <w:start w:val="1"/>
      <w:numFmt w:val="decimal"/>
      <w:suff w:val="nothing"/>
      <w:lvlText w:val="%1"/>
      <w:lvlJc w:val="center"/>
      <w:pPr>
        <w:ind w:left="0" w:firstLine="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88">
    <w:nsid w:val="102DE26C"/>
    <w:multiLevelType w:val="singleLevel"/>
    <w:tmpl w:val="102DE26C"/>
    <w:lvl w:ilvl="0" w:tentative="0">
      <w:start w:val="1"/>
      <w:numFmt w:val="decimal"/>
      <w:suff w:val="space"/>
      <w:lvlText w:val="(%1)"/>
      <w:lvlJc w:val="left"/>
      <w:pPr>
        <w:ind w:left="425" w:hanging="425"/>
      </w:pPr>
      <w:rPr>
        <w:rFonts w:hint="default"/>
      </w:rPr>
    </w:lvl>
  </w:abstractNum>
  <w:abstractNum w:abstractNumId="89">
    <w:nsid w:val="12447CE1"/>
    <w:multiLevelType w:val="multilevel"/>
    <w:tmpl w:val="12447CE1"/>
    <w:lvl w:ilvl="0" w:tentative="0">
      <w:start w:val="1"/>
      <w:numFmt w:val="decimal"/>
      <w:suff w:val="nothing"/>
      <w:lvlText w:val="%1"/>
      <w:lvlJc w:val="center"/>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132AFE24"/>
    <w:multiLevelType w:val="singleLevel"/>
    <w:tmpl w:val="132AFE24"/>
    <w:lvl w:ilvl="0" w:tentative="0">
      <w:start w:val="1"/>
      <w:numFmt w:val="decimal"/>
      <w:suff w:val="nothing"/>
      <w:lvlText w:val="%1."/>
      <w:lvlJc w:val="left"/>
      <w:pPr>
        <w:ind w:left="425" w:hanging="425"/>
      </w:pPr>
      <w:rPr>
        <w:rFonts w:hint="default"/>
        <w:b/>
        <w:bCs/>
      </w:rPr>
    </w:lvl>
  </w:abstractNum>
  <w:abstractNum w:abstractNumId="91">
    <w:nsid w:val="13E8A7D7"/>
    <w:multiLevelType w:val="singleLevel"/>
    <w:tmpl w:val="13E8A7D7"/>
    <w:lvl w:ilvl="0" w:tentative="0">
      <w:start w:val="1"/>
      <w:numFmt w:val="decimal"/>
      <w:suff w:val="space"/>
      <w:lvlText w:val="(%1)"/>
      <w:lvlJc w:val="left"/>
      <w:pPr>
        <w:ind w:left="425" w:hanging="425"/>
      </w:pPr>
      <w:rPr>
        <w:rFonts w:hint="default"/>
      </w:rPr>
    </w:lvl>
  </w:abstractNum>
  <w:abstractNum w:abstractNumId="92">
    <w:nsid w:val="163F82D5"/>
    <w:multiLevelType w:val="multilevel"/>
    <w:tmpl w:val="163F82D5"/>
    <w:lvl w:ilvl="0" w:tentative="0">
      <w:start w:val="1"/>
      <w:numFmt w:val="decimal"/>
      <w:suff w:val="space"/>
      <w:lvlText w:val="(%1)"/>
      <w:lvlJc w:val="left"/>
      <w:pPr>
        <w:ind w:left="425" w:hanging="425"/>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93">
    <w:nsid w:val="19380E29"/>
    <w:multiLevelType w:val="singleLevel"/>
    <w:tmpl w:val="19380E29"/>
    <w:lvl w:ilvl="0" w:tentative="0">
      <w:start w:val="1"/>
      <w:numFmt w:val="decimal"/>
      <w:suff w:val="space"/>
      <w:lvlText w:val="(%1)"/>
      <w:lvlJc w:val="left"/>
      <w:pPr>
        <w:ind w:left="425" w:hanging="425"/>
      </w:pPr>
      <w:rPr>
        <w:rFonts w:hint="default"/>
      </w:rPr>
    </w:lvl>
  </w:abstractNum>
  <w:abstractNum w:abstractNumId="94">
    <w:nsid w:val="198A7FD5"/>
    <w:multiLevelType w:val="singleLevel"/>
    <w:tmpl w:val="198A7FD5"/>
    <w:lvl w:ilvl="0" w:tentative="0">
      <w:start w:val="1"/>
      <w:numFmt w:val="decimalEnclosedCircleChinese"/>
      <w:suff w:val="nothing"/>
      <w:lvlText w:val="%1 "/>
      <w:lvlJc w:val="left"/>
      <w:pPr>
        <w:ind w:left="0" w:firstLine="397"/>
      </w:pPr>
      <w:rPr>
        <w:rFonts w:hint="eastAsia"/>
      </w:rPr>
    </w:lvl>
  </w:abstractNum>
  <w:abstractNum w:abstractNumId="95">
    <w:nsid w:val="1A3A9868"/>
    <w:multiLevelType w:val="singleLevel"/>
    <w:tmpl w:val="1A3A9868"/>
    <w:lvl w:ilvl="0" w:tentative="0">
      <w:start w:val="1"/>
      <w:numFmt w:val="decimal"/>
      <w:suff w:val="nothing"/>
      <w:lvlText w:val="（%1）"/>
      <w:lvlJc w:val="left"/>
      <w:pPr>
        <w:tabs>
          <w:tab w:val="left" w:pos="420"/>
        </w:tabs>
        <w:ind w:left="425" w:hanging="425"/>
      </w:pPr>
      <w:rPr>
        <w:rFonts w:hint="default"/>
      </w:rPr>
    </w:lvl>
  </w:abstractNum>
  <w:abstractNum w:abstractNumId="96">
    <w:nsid w:val="1B5B30D0"/>
    <w:multiLevelType w:val="singleLevel"/>
    <w:tmpl w:val="1B5B30D0"/>
    <w:lvl w:ilvl="0" w:tentative="0">
      <w:start w:val="1"/>
      <w:numFmt w:val="decimal"/>
      <w:lvlText w:val="(%1)"/>
      <w:lvlJc w:val="left"/>
      <w:pPr>
        <w:ind w:left="425" w:hanging="425"/>
      </w:pPr>
      <w:rPr>
        <w:rFonts w:hint="default"/>
      </w:rPr>
    </w:lvl>
  </w:abstractNum>
  <w:abstractNum w:abstractNumId="97">
    <w:nsid w:val="1B78B5EF"/>
    <w:multiLevelType w:val="singleLevel"/>
    <w:tmpl w:val="1B78B5EF"/>
    <w:lvl w:ilvl="0" w:tentative="0">
      <w:start w:val="1"/>
      <w:numFmt w:val="decimal"/>
      <w:suff w:val="space"/>
      <w:lvlText w:val="(%1)"/>
      <w:lvlJc w:val="left"/>
      <w:pPr>
        <w:ind w:left="425" w:hanging="425"/>
      </w:pPr>
      <w:rPr>
        <w:rFonts w:hint="default"/>
      </w:rPr>
    </w:lvl>
  </w:abstractNum>
  <w:abstractNum w:abstractNumId="98">
    <w:nsid w:val="1BF932C6"/>
    <w:multiLevelType w:val="singleLevel"/>
    <w:tmpl w:val="1BF932C6"/>
    <w:lvl w:ilvl="0" w:tentative="0">
      <w:start w:val="1"/>
      <w:numFmt w:val="decimal"/>
      <w:suff w:val="space"/>
      <w:lvlText w:val="(%1)"/>
      <w:lvlJc w:val="left"/>
      <w:pPr>
        <w:ind w:left="425" w:hanging="425"/>
      </w:pPr>
      <w:rPr>
        <w:rFonts w:hint="default"/>
      </w:rPr>
    </w:lvl>
  </w:abstractNum>
  <w:abstractNum w:abstractNumId="99">
    <w:nsid w:val="1CB91FB8"/>
    <w:multiLevelType w:val="multilevel"/>
    <w:tmpl w:val="1CB91FB8"/>
    <w:lvl w:ilvl="0" w:tentative="0">
      <w:start w:val="1"/>
      <w:numFmt w:val="decimal"/>
      <w:suff w:val="nothing"/>
      <w:lvlText w:val="%1"/>
      <w:lvlJc w:val="left"/>
      <w:pPr>
        <w:ind w:left="0" w:firstLine="0"/>
      </w:pPr>
      <w:rPr>
        <w:rFonts w:hint="eastAsia"/>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00">
    <w:nsid w:val="21638341"/>
    <w:multiLevelType w:val="singleLevel"/>
    <w:tmpl w:val="21638341"/>
    <w:lvl w:ilvl="0" w:tentative="0">
      <w:start w:val="1"/>
      <w:numFmt w:val="decimal"/>
      <w:suff w:val="space"/>
      <w:lvlText w:val="(%1)"/>
      <w:lvlJc w:val="left"/>
      <w:pPr>
        <w:ind w:left="0" w:leftChars="0" w:firstLine="40" w:firstLineChars="0"/>
      </w:pPr>
      <w:rPr>
        <w:rFonts w:hint="default"/>
      </w:rPr>
    </w:lvl>
  </w:abstractNum>
  <w:abstractNum w:abstractNumId="101">
    <w:nsid w:val="216FB114"/>
    <w:multiLevelType w:val="singleLevel"/>
    <w:tmpl w:val="216FB114"/>
    <w:lvl w:ilvl="0" w:tentative="0">
      <w:start w:val="1"/>
      <w:numFmt w:val="decimal"/>
      <w:suff w:val="space"/>
      <w:lvlText w:val="(%1)"/>
      <w:lvlJc w:val="left"/>
      <w:pPr>
        <w:ind w:left="425" w:hanging="425"/>
      </w:pPr>
      <w:rPr>
        <w:rFonts w:hint="default"/>
      </w:rPr>
    </w:lvl>
  </w:abstractNum>
  <w:abstractNum w:abstractNumId="102">
    <w:nsid w:val="230D6BCE"/>
    <w:multiLevelType w:val="singleLevel"/>
    <w:tmpl w:val="230D6BCE"/>
    <w:lvl w:ilvl="0" w:tentative="0">
      <w:start w:val="1"/>
      <w:numFmt w:val="decimal"/>
      <w:suff w:val="space"/>
      <w:lvlText w:val="(%1)"/>
      <w:lvlJc w:val="left"/>
      <w:pPr>
        <w:ind w:left="425" w:hanging="425"/>
      </w:pPr>
      <w:rPr>
        <w:rFonts w:hint="default"/>
      </w:rPr>
    </w:lvl>
  </w:abstractNum>
  <w:abstractNum w:abstractNumId="103">
    <w:nsid w:val="2376A53E"/>
    <w:multiLevelType w:val="singleLevel"/>
    <w:tmpl w:val="2376A53E"/>
    <w:lvl w:ilvl="0" w:tentative="0">
      <w:start w:val="1"/>
      <w:numFmt w:val="decimal"/>
      <w:suff w:val="nothing"/>
      <w:lvlText w:val="%1"/>
      <w:lvlJc w:val="center"/>
      <w:pPr>
        <w:tabs>
          <w:tab w:val="left" w:pos="0"/>
        </w:tabs>
        <w:ind w:left="0" w:firstLine="0"/>
      </w:pPr>
      <w:rPr>
        <w:rFonts w:hint="default"/>
      </w:rPr>
    </w:lvl>
  </w:abstractNum>
  <w:abstractNum w:abstractNumId="104">
    <w:nsid w:val="2377AC6A"/>
    <w:multiLevelType w:val="singleLevel"/>
    <w:tmpl w:val="2377AC6A"/>
    <w:lvl w:ilvl="0" w:tentative="0">
      <w:start w:val="1"/>
      <w:numFmt w:val="decimal"/>
      <w:suff w:val="space"/>
      <w:lvlText w:val="(%1)"/>
      <w:lvlJc w:val="left"/>
      <w:pPr>
        <w:ind w:left="425" w:hanging="425"/>
      </w:pPr>
      <w:rPr>
        <w:rFonts w:hint="default"/>
      </w:rPr>
    </w:lvl>
  </w:abstractNum>
  <w:abstractNum w:abstractNumId="105">
    <w:nsid w:val="23F1F0D8"/>
    <w:multiLevelType w:val="singleLevel"/>
    <w:tmpl w:val="23F1F0D8"/>
    <w:lvl w:ilvl="0" w:tentative="0">
      <w:start w:val="1"/>
      <w:numFmt w:val="decimal"/>
      <w:suff w:val="nothing"/>
      <w:lvlText w:val="%1."/>
      <w:lvlJc w:val="left"/>
      <w:pPr>
        <w:ind w:left="425" w:hanging="425"/>
      </w:pPr>
      <w:rPr>
        <w:rFonts w:hint="default"/>
        <w:b/>
        <w:bCs/>
      </w:rPr>
    </w:lvl>
  </w:abstractNum>
  <w:abstractNum w:abstractNumId="106">
    <w:nsid w:val="23F52F08"/>
    <w:multiLevelType w:val="singleLevel"/>
    <w:tmpl w:val="23F52F08"/>
    <w:lvl w:ilvl="0" w:tentative="0">
      <w:start w:val="1"/>
      <w:numFmt w:val="decimal"/>
      <w:suff w:val="space"/>
      <w:lvlText w:val="(%1)"/>
      <w:lvlJc w:val="left"/>
      <w:pPr>
        <w:ind w:left="425" w:hanging="425"/>
      </w:pPr>
      <w:rPr>
        <w:rFonts w:hint="default"/>
      </w:rPr>
    </w:lvl>
  </w:abstractNum>
  <w:abstractNum w:abstractNumId="107">
    <w:nsid w:val="25385514"/>
    <w:multiLevelType w:val="singleLevel"/>
    <w:tmpl w:val="25385514"/>
    <w:lvl w:ilvl="0" w:tentative="0">
      <w:start w:val="1"/>
      <w:numFmt w:val="decimal"/>
      <w:suff w:val="nothing"/>
      <w:lvlText w:val="%1"/>
      <w:lvlJc w:val="left"/>
      <w:pPr>
        <w:ind w:left="0" w:firstLine="397"/>
      </w:pPr>
      <w:rPr>
        <w:rFonts w:hint="default"/>
      </w:rPr>
    </w:lvl>
  </w:abstractNum>
  <w:abstractNum w:abstractNumId="108">
    <w:nsid w:val="28AE1DC8"/>
    <w:multiLevelType w:val="singleLevel"/>
    <w:tmpl w:val="28AE1DC8"/>
    <w:lvl w:ilvl="0" w:tentative="0">
      <w:start w:val="1"/>
      <w:numFmt w:val="decimal"/>
      <w:suff w:val="nothing"/>
      <w:lvlText w:val="（%1）"/>
      <w:lvlJc w:val="left"/>
      <w:pPr>
        <w:tabs>
          <w:tab w:val="left" w:pos="0"/>
        </w:tabs>
        <w:ind w:left="420" w:hanging="420"/>
      </w:pPr>
      <w:rPr>
        <w:rFonts w:hint="default"/>
      </w:rPr>
    </w:lvl>
  </w:abstractNum>
  <w:abstractNum w:abstractNumId="109">
    <w:nsid w:val="28B85D42"/>
    <w:multiLevelType w:val="multilevel"/>
    <w:tmpl w:val="28B85D42"/>
    <w:lvl w:ilvl="0" w:tentative="0">
      <w:start w:val="1"/>
      <w:numFmt w:val="decimal"/>
      <w:suff w:val="nothing"/>
      <w:lvlText w:val="%1"/>
      <w:lvlJc w:val="left"/>
      <w:pPr>
        <w:ind w:left="0" w:firstLine="210"/>
      </w:pPr>
      <w:rPr>
        <w:rFonts w:hint="eastAsia"/>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10">
    <w:nsid w:val="290EF17B"/>
    <w:multiLevelType w:val="singleLevel"/>
    <w:tmpl w:val="290EF17B"/>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111">
    <w:nsid w:val="2910291A"/>
    <w:multiLevelType w:val="singleLevel"/>
    <w:tmpl w:val="2910291A"/>
    <w:lvl w:ilvl="0" w:tentative="0">
      <w:start w:val="1"/>
      <w:numFmt w:val="decimal"/>
      <w:lvlText w:val="(%1)"/>
      <w:lvlJc w:val="left"/>
      <w:pPr>
        <w:ind w:left="425" w:hanging="425"/>
      </w:pPr>
      <w:rPr>
        <w:rFonts w:hint="default"/>
      </w:rPr>
    </w:lvl>
  </w:abstractNum>
  <w:abstractNum w:abstractNumId="112">
    <w:nsid w:val="2A1FA1A9"/>
    <w:multiLevelType w:val="singleLevel"/>
    <w:tmpl w:val="2A1FA1A9"/>
    <w:lvl w:ilvl="0" w:tentative="0">
      <w:start w:val="1"/>
      <w:numFmt w:val="decimalEnclosedCircleChinese"/>
      <w:suff w:val="nothing"/>
      <w:lvlText w:val="%1"/>
      <w:lvlJc w:val="left"/>
      <w:pPr>
        <w:tabs>
          <w:tab w:val="left" w:pos="0"/>
        </w:tabs>
        <w:ind w:left="0" w:firstLine="397"/>
      </w:pPr>
      <w:rPr>
        <w:rFonts w:hint="eastAsia"/>
      </w:rPr>
    </w:lvl>
  </w:abstractNum>
  <w:abstractNum w:abstractNumId="113">
    <w:nsid w:val="2BC25BD9"/>
    <w:multiLevelType w:val="singleLevel"/>
    <w:tmpl w:val="2BC25BD9"/>
    <w:lvl w:ilvl="0" w:tentative="0">
      <w:start w:val="1"/>
      <w:numFmt w:val="chineseCounting"/>
      <w:suff w:val="nothing"/>
      <w:lvlText w:val="（%1）"/>
      <w:lvlJc w:val="left"/>
      <w:pPr>
        <w:ind w:left="0" w:firstLine="420"/>
      </w:pPr>
      <w:rPr>
        <w:rFonts w:hint="eastAsia"/>
      </w:rPr>
    </w:lvl>
  </w:abstractNum>
  <w:abstractNum w:abstractNumId="114">
    <w:nsid w:val="2CA9EABF"/>
    <w:multiLevelType w:val="singleLevel"/>
    <w:tmpl w:val="2CA9EABF"/>
    <w:lvl w:ilvl="0" w:tentative="0">
      <w:start w:val="1"/>
      <w:numFmt w:val="decimal"/>
      <w:suff w:val="space"/>
      <w:lvlText w:val="(%1)"/>
      <w:lvlJc w:val="left"/>
      <w:pPr>
        <w:ind w:left="425" w:hanging="425"/>
      </w:pPr>
      <w:rPr>
        <w:rFonts w:hint="default"/>
      </w:rPr>
    </w:lvl>
  </w:abstractNum>
  <w:abstractNum w:abstractNumId="115">
    <w:nsid w:val="2F9B47AA"/>
    <w:multiLevelType w:val="singleLevel"/>
    <w:tmpl w:val="2F9B47AA"/>
    <w:lvl w:ilvl="0" w:tentative="0">
      <w:start w:val="1"/>
      <w:numFmt w:val="decimal"/>
      <w:lvlText w:val="(%1)"/>
      <w:lvlJc w:val="left"/>
      <w:pPr>
        <w:ind w:left="425" w:hanging="425"/>
      </w:pPr>
      <w:rPr>
        <w:rFonts w:hint="default"/>
      </w:rPr>
    </w:lvl>
  </w:abstractNum>
  <w:abstractNum w:abstractNumId="116">
    <w:nsid w:val="2FE4091B"/>
    <w:multiLevelType w:val="singleLevel"/>
    <w:tmpl w:val="2FE4091B"/>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117">
    <w:nsid w:val="314EA6BB"/>
    <w:multiLevelType w:val="singleLevel"/>
    <w:tmpl w:val="314EA6BB"/>
    <w:lvl w:ilvl="0" w:tentative="0">
      <w:start w:val="1"/>
      <w:numFmt w:val="decimal"/>
      <w:suff w:val="space"/>
      <w:lvlText w:val="(%1)"/>
      <w:lvlJc w:val="left"/>
      <w:pPr>
        <w:ind w:left="425" w:hanging="425"/>
      </w:pPr>
      <w:rPr>
        <w:rFonts w:hint="default"/>
      </w:rPr>
    </w:lvl>
  </w:abstractNum>
  <w:abstractNum w:abstractNumId="118">
    <w:nsid w:val="33FF3718"/>
    <w:multiLevelType w:val="singleLevel"/>
    <w:tmpl w:val="33FF3718"/>
    <w:lvl w:ilvl="0" w:tentative="0">
      <w:start w:val="1"/>
      <w:numFmt w:val="decimal"/>
      <w:suff w:val="space"/>
      <w:lvlText w:val="(%1)"/>
      <w:lvlJc w:val="left"/>
      <w:pPr>
        <w:ind w:left="425" w:hanging="425"/>
      </w:pPr>
      <w:rPr>
        <w:rFonts w:hint="default" w:ascii="宋体" w:hAnsi="宋体" w:eastAsia="宋体" w:cs="宋体"/>
      </w:rPr>
    </w:lvl>
  </w:abstractNum>
  <w:abstractNum w:abstractNumId="119">
    <w:nsid w:val="34CB0DB8"/>
    <w:multiLevelType w:val="singleLevel"/>
    <w:tmpl w:val="34CB0DB8"/>
    <w:lvl w:ilvl="0" w:tentative="0">
      <w:start w:val="1"/>
      <w:numFmt w:val="decimal"/>
      <w:suff w:val="nothing"/>
      <w:lvlText w:val="（%1）"/>
      <w:lvlJc w:val="left"/>
      <w:pPr>
        <w:tabs>
          <w:tab w:val="left" w:pos="0"/>
        </w:tabs>
        <w:ind w:left="420" w:hanging="420"/>
      </w:pPr>
      <w:rPr>
        <w:rFonts w:hint="default"/>
      </w:rPr>
    </w:lvl>
  </w:abstractNum>
  <w:abstractNum w:abstractNumId="120">
    <w:nsid w:val="35EFBBB6"/>
    <w:multiLevelType w:val="singleLevel"/>
    <w:tmpl w:val="35EFBBB6"/>
    <w:lvl w:ilvl="0" w:tentative="0">
      <w:start w:val="1"/>
      <w:numFmt w:val="decimal"/>
      <w:suff w:val="space"/>
      <w:lvlText w:val="(%1)"/>
      <w:lvlJc w:val="left"/>
      <w:pPr>
        <w:ind w:left="425" w:hanging="425"/>
      </w:pPr>
      <w:rPr>
        <w:rFonts w:hint="default"/>
      </w:rPr>
    </w:lvl>
  </w:abstractNum>
  <w:abstractNum w:abstractNumId="121">
    <w:nsid w:val="35F12181"/>
    <w:multiLevelType w:val="singleLevel"/>
    <w:tmpl w:val="35F12181"/>
    <w:lvl w:ilvl="0" w:tentative="0">
      <w:start w:val="1"/>
      <w:numFmt w:val="decimal"/>
      <w:lvlText w:val="(%1)"/>
      <w:lvlJc w:val="left"/>
      <w:pPr>
        <w:ind w:left="425" w:hanging="425"/>
      </w:pPr>
      <w:rPr>
        <w:rFonts w:hint="default"/>
      </w:rPr>
    </w:lvl>
  </w:abstractNum>
  <w:abstractNum w:abstractNumId="122">
    <w:nsid w:val="36D4201C"/>
    <w:multiLevelType w:val="multilevel"/>
    <w:tmpl w:val="36D4201C"/>
    <w:lvl w:ilvl="0" w:tentative="0">
      <w:start w:val="1"/>
      <w:numFmt w:val="decimal"/>
      <w:suff w:val="nothing"/>
      <w:lvlText w:val="%1"/>
      <w:lvlJc w:val="center"/>
      <w:pPr>
        <w:ind w:left="0" w:firstLine="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23">
    <w:nsid w:val="38628F39"/>
    <w:multiLevelType w:val="singleLevel"/>
    <w:tmpl w:val="38628F39"/>
    <w:lvl w:ilvl="0" w:tentative="0">
      <w:start w:val="1"/>
      <w:numFmt w:val="decimal"/>
      <w:suff w:val="nothing"/>
      <w:lvlText w:val="（%1）"/>
      <w:lvlJc w:val="left"/>
      <w:pPr>
        <w:tabs>
          <w:tab w:val="left" w:pos="420"/>
        </w:tabs>
        <w:ind w:left="425" w:hanging="425"/>
      </w:pPr>
      <w:rPr>
        <w:rFonts w:hint="default"/>
      </w:rPr>
    </w:lvl>
  </w:abstractNum>
  <w:abstractNum w:abstractNumId="124">
    <w:nsid w:val="3C5BA608"/>
    <w:multiLevelType w:val="singleLevel"/>
    <w:tmpl w:val="3C5BA608"/>
    <w:lvl w:ilvl="0" w:tentative="0">
      <w:start w:val="1"/>
      <w:numFmt w:val="decimal"/>
      <w:lvlText w:val="%1."/>
      <w:lvlJc w:val="left"/>
      <w:pPr>
        <w:ind w:left="425" w:hanging="425"/>
      </w:pPr>
      <w:rPr>
        <w:rFonts w:hint="default"/>
      </w:rPr>
    </w:lvl>
  </w:abstractNum>
  <w:abstractNum w:abstractNumId="125">
    <w:nsid w:val="3E09087D"/>
    <w:multiLevelType w:val="singleLevel"/>
    <w:tmpl w:val="3E09087D"/>
    <w:lvl w:ilvl="0" w:tentative="0">
      <w:start w:val="1"/>
      <w:numFmt w:val="decimal"/>
      <w:suff w:val="space"/>
      <w:lvlText w:val="(%1)"/>
      <w:lvlJc w:val="left"/>
      <w:pPr>
        <w:ind w:left="425" w:hanging="425"/>
      </w:pPr>
      <w:rPr>
        <w:rFonts w:hint="default"/>
      </w:rPr>
    </w:lvl>
  </w:abstractNum>
  <w:abstractNum w:abstractNumId="126">
    <w:nsid w:val="40D17111"/>
    <w:multiLevelType w:val="singleLevel"/>
    <w:tmpl w:val="40D17111"/>
    <w:lvl w:ilvl="0" w:tentative="0">
      <w:start w:val="1"/>
      <w:numFmt w:val="decimal"/>
      <w:suff w:val="space"/>
      <w:lvlText w:val="(%1)"/>
      <w:lvlJc w:val="left"/>
      <w:pPr>
        <w:ind w:left="425" w:hanging="425"/>
      </w:pPr>
      <w:rPr>
        <w:rFonts w:hint="default"/>
      </w:rPr>
    </w:lvl>
  </w:abstractNum>
  <w:abstractNum w:abstractNumId="127">
    <w:nsid w:val="41240996"/>
    <w:multiLevelType w:val="singleLevel"/>
    <w:tmpl w:val="41240996"/>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128">
    <w:nsid w:val="43637586"/>
    <w:multiLevelType w:val="singleLevel"/>
    <w:tmpl w:val="43637586"/>
    <w:lvl w:ilvl="0" w:tentative="0">
      <w:start w:val="1"/>
      <w:numFmt w:val="decimal"/>
      <w:lvlText w:val="(%1)"/>
      <w:lvlJc w:val="left"/>
      <w:pPr>
        <w:tabs>
          <w:tab w:val="left" w:pos="397"/>
        </w:tabs>
        <w:ind w:left="454" w:leftChars="0" w:hanging="454" w:firstLineChars="0"/>
      </w:pPr>
      <w:rPr>
        <w:rFonts w:hint="default"/>
      </w:rPr>
    </w:lvl>
  </w:abstractNum>
  <w:abstractNum w:abstractNumId="129">
    <w:nsid w:val="44E5BEBA"/>
    <w:multiLevelType w:val="multilevel"/>
    <w:tmpl w:val="44E5BEBA"/>
    <w:lvl w:ilvl="0" w:tentative="0">
      <w:start w:val="1"/>
      <w:numFmt w:val="decimal"/>
      <w:suff w:val="space"/>
      <w:lvlText w:val="(%1)"/>
      <w:lvlJc w:val="left"/>
      <w:pPr>
        <w:ind w:left="425" w:hanging="425"/>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30">
    <w:nsid w:val="45DDD2C2"/>
    <w:multiLevelType w:val="multilevel"/>
    <w:tmpl w:val="45DDD2C2"/>
    <w:lvl w:ilvl="0" w:tentative="0">
      <w:start w:val="1"/>
      <w:numFmt w:val="decimal"/>
      <w:suff w:val="nothing"/>
      <w:lvlText w:val="%1"/>
      <w:lvlJc w:val="left"/>
      <w:pPr>
        <w:ind w:left="0" w:firstLine="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1">
    <w:nsid w:val="478AC067"/>
    <w:multiLevelType w:val="singleLevel"/>
    <w:tmpl w:val="478AC067"/>
    <w:lvl w:ilvl="0" w:tentative="0">
      <w:start w:val="1"/>
      <w:numFmt w:val="decimal"/>
      <w:suff w:val="space"/>
      <w:lvlText w:val="(%1)"/>
      <w:lvlJc w:val="left"/>
      <w:pPr>
        <w:ind w:left="425" w:hanging="425"/>
      </w:pPr>
      <w:rPr>
        <w:rFonts w:hint="default" w:ascii="宋体" w:hAnsi="宋体" w:eastAsia="宋体" w:cs="宋体"/>
      </w:rPr>
    </w:lvl>
  </w:abstractNum>
  <w:abstractNum w:abstractNumId="132">
    <w:nsid w:val="4CFC2125"/>
    <w:multiLevelType w:val="multilevel"/>
    <w:tmpl w:val="4CFC2125"/>
    <w:lvl w:ilvl="0" w:tentative="0">
      <w:start w:val="1"/>
      <w:numFmt w:val="decimal"/>
      <w:suff w:val="nothing"/>
      <w:lvlText w:val="%1"/>
      <w:lvlJc w:val="left"/>
      <w:pPr>
        <w:ind w:left="0" w:firstLine="210"/>
      </w:pPr>
      <w:rPr>
        <w:rFonts w:hint="eastAsia"/>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33">
    <w:nsid w:val="4F78D8E6"/>
    <w:multiLevelType w:val="singleLevel"/>
    <w:tmpl w:val="4F78D8E6"/>
    <w:lvl w:ilvl="0" w:tentative="0">
      <w:start w:val="1"/>
      <w:numFmt w:val="decimal"/>
      <w:suff w:val="nothing"/>
      <w:lvlText w:val="%1．"/>
      <w:lvlJc w:val="left"/>
    </w:lvl>
  </w:abstractNum>
  <w:abstractNum w:abstractNumId="134">
    <w:nsid w:val="51A7EF85"/>
    <w:multiLevelType w:val="multilevel"/>
    <w:tmpl w:val="51A7EF85"/>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5">
    <w:nsid w:val="53B635DC"/>
    <w:multiLevelType w:val="multilevel"/>
    <w:tmpl w:val="53B635DC"/>
    <w:lvl w:ilvl="0" w:tentative="0">
      <w:start w:val="1"/>
      <w:numFmt w:val="decimal"/>
      <w:suff w:val="nothing"/>
      <w:lvlText w:val="%1"/>
      <w:lvlJc w:val="left"/>
      <w:pPr>
        <w:ind w:left="0" w:firstLine="210"/>
      </w:pPr>
      <w:rPr>
        <w:rFonts w:hint="eastAsia"/>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36">
    <w:nsid w:val="53C212A9"/>
    <w:multiLevelType w:val="multilevel"/>
    <w:tmpl w:val="53C212A9"/>
    <w:lvl w:ilvl="0" w:tentative="0">
      <w:start w:val="1"/>
      <w:numFmt w:val="decimal"/>
      <w:suff w:val="nothing"/>
      <w:lvlText w:val="%1"/>
      <w:lvlJc w:val="left"/>
      <w:pPr>
        <w:ind w:left="-210" w:firstLine="210"/>
      </w:pPr>
    </w:lvl>
    <w:lvl w:ilvl="1" w:tentative="0">
      <w:start w:val="1"/>
      <w:numFmt w:val="lowerLetter"/>
      <w:lvlText w:val="%2)"/>
      <w:lvlJc w:val="left"/>
      <w:pPr>
        <w:tabs>
          <w:tab w:val="left" w:pos="630"/>
        </w:tabs>
        <w:ind w:left="630" w:hanging="420"/>
      </w:pPr>
    </w:lvl>
    <w:lvl w:ilvl="2" w:tentative="0">
      <w:start w:val="1"/>
      <w:numFmt w:val="lowerRoman"/>
      <w:lvlText w:val="%3."/>
      <w:lvlJc w:val="right"/>
      <w:pPr>
        <w:tabs>
          <w:tab w:val="left" w:pos="1050"/>
        </w:tabs>
        <w:ind w:left="1050" w:hanging="420"/>
      </w:pPr>
    </w:lvl>
    <w:lvl w:ilvl="3" w:tentative="0">
      <w:start w:val="1"/>
      <w:numFmt w:val="decimal"/>
      <w:lvlText w:val="%4."/>
      <w:lvlJc w:val="left"/>
      <w:pPr>
        <w:tabs>
          <w:tab w:val="left" w:pos="1470"/>
        </w:tabs>
        <w:ind w:left="1470" w:hanging="420"/>
      </w:pPr>
    </w:lvl>
    <w:lvl w:ilvl="4" w:tentative="0">
      <w:start w:val="1"/>
      <w:numFmt w:val="lowerLetter"/>
      <w:lvlText w:val="%5)"/>
      <w:lvlJc w:val="left"/>
      <w:pPr>
        <w:tabs>
          <w:tab w:val="left" w:pos="1890"/>
        </w:tabs>
        <w:ind w:left="1890" w:hanging="420"/>
      </w:pPr>
    </w:lvl>
    <w:lvl w:ilvl="5" w:tentative="0">
      <w:start w:val="1"/>
      <w:numFmt w:val="lowerRoman"/>
      <w:lvlText w:val="%6."/>
      <w:lvlJc w:val="right"/>
      <w:pPr>
        <w:tabs>
          <w:tab w:val="left" w:pos="2310"/>
        </w:tabs>
        <w:ind w:left="2310" w:hanging="420"/>
      </w:pPr>
    </w:lvl>
    <w:lvl w:ilvl="6" w:tentative="0">
      <w:start w:val="1"/>
      <w:numFmt w:val="decimal"/>
      <w:lvlText w:val="%7."/>
      <w:lvlJc w:val="left"/>
      <w:pPr>
        <w:tabs>
          <w:tab w:val="left" w:pos="2730"/>
        </w:tabs>
        <w:ind w:left="2730" w:hanging="420"/>
      </w:pPr>
    </w:lvl>
    <w:lvl w:ilvl="7" w:tentative="0">
      <w:start w:val="1"/>
      <w:numFmt w:val="lowerLetter"/>
      <w:lvlText w:val="%8)"/>
      <w:lvlJc w:val="left"/>
      <w:pPr>
        <w:tabs>
          <w:tab w:val="left" w:pos="3150"/>
        </w:tabs>
        <w:ind w:left="3150" w:hanging="420"/>
      </w:pPr>
    </w:lvl>
    <w:lvl w:ilvl="8" w:tentative="0">
      <w:start w:val="1"/>
      <w:numFmt w:val="lowerRoman"/>
      <w:lvlText w:val="%9."/>
      <w:lvlJc w:val="right"/>
      <w:pPr>
        <w:tabs>
          <w:tab w:val="left" w:pos="3570"/>
        </w:tabs>
        <w:ind w:left="3570" w:hanging="420"/>
      </w:pPr>
    </w:lvl>
  </w:abstractNum>
  <w:abstractNum w:abstractNumId="137">
    <w:nsid w:val="54F38E6F"/>
    <w:multiLevelType w:val="singleLevel"/>
    <w:tmpl w:val="54F38E6F"/>
    <w:lvl w:ilvl="0" w:tentative="0">
      <w:start w:val="1"/>
      <w:numFmt w:val="decimal"/>
      <w:suff w:val="nothing"/>
      <w:lvlText w:val="%1"/>
      <w:lvlJc w:val="left"/>
      <w:pPr>
        <w:ind w:left="425" w:hanging="425"/>
      </w:pPr>
      <w:rPr>
        <w:rFonts w:hint="default"/>
      </w:rPr>
    </w:lvl>
  </w:abstractNum>
  <w:abstractNum w:abstractNumId="138">
    <w:nsid w:val="56BC3970"/>
    <w:multiLevelType w:val="singleLevel"/>
    <w:tmpl w:val="56BC3970"/>
    <w:lvl w:ilvl="0" w:tentative="0">
      <w:start w:val="1"/>
      <w:numFmt w:val="decimal"/>
      <w:suff w:val="nothing"/>
      <w:lvlText w:val="（%1）"/>
      <w:lvlJc w:val="left"/>
      <w:pPr>
        <w:tabs>
          <w:tab w:val="left" w:pos="0"/>
        </w:tabs>
        <w:ind w:left="420" w:hanging="420"/>
      </w:pPr>
      <w:rPr>
        <w:rFonts w:hint="default"/>
      </w:rPr>
    </w:lvl>
  </w:abstractNum>
  <w:abstractNum w:abstractNumId="139">
    <w:nsid w:val="580C35E4"/>
    <w:multiLevelType w:val="singleLevel"/>
    <w:tmpl w:val="580C35E4"/>
    <w:lvl w:ilvl="0" w:tentative="0">
      <w:start w:val="1"/>
      <w:numFmt w:val="decimal"/>
      <w:lvlText w:val="(%1)"/>
      <w:lvlJc w:val="left"/>
      <w:pPr>
        <w:tabs>
          <w:tab w:val="left" w:pos="397"/>
        </w:tabs>
        <w:ind w:left="454" w:leftChars="0" w:hanging="454" w:firstLineChars="0"/>
      </w:pPr>
      <w:rPr>
        <w:rFonts w:hint="default"/>
      </w:rPr>
    </w:lvl>
  </w:abstractNum>
  <w:abstractNum w:abstractNumId="140">
    <w:nsid w:val="58B84393"/>
    <w:multiLevelType w:val="singleLevel"/>
    <w:tmpl w:val="58B84393"/>
    <w:lvl w:ilvl="0" w:tentative="0">
      <w:start w:val="1"/>
      <w:numFmt w:val="decimal"/>
      <w:suff w:val="nothing"/>
      <w:lvlText w:val="%1"/>
      <w:lvlJc w:val="left"/>
      <w:pPr>
        <w:tabs>
          <w:tab w:val="left" w:pos="0"/>
        </w:tabs>
      </w:pPr>
      <w:rPr>
        <w:rFonts w:hint="default"/>
      </w:rPr>
    </w:lvl>
  </w:abstractNum>
  <w:abstractNum w:abstractNumId="141">
    <w:nsid w:val="5A043BCF"/>
    <w:multiLevelType w:val="singleLevel"/>
    <w:tmpl w:val="5A043BCF"/>
    <w:lvl w:ilvl="0" w:tentative="0">
      <w:start w:val="1"/>
      <w:numFmt w:val="chineseCounting"/>
      <w:suff w:val="nothing"/>
      <w:lvlText w:val="（%1）"/>
      <w:lvlJc w:val="left"/>
      <w:pPr>
        <w:ind w:left="0" w:firstLine="420"/>
      </w:pPr>
      <w:rPr>
        <w:rFonts w:hint="eastAsia"/>
      </w:rPr>
    </w:lvl>
  </w:abstractNum>
  <w:abstractNum w:abstractNumId="142">
    <w:nsid w:val="5AAE28C1"/>
    <w:multiLevelType w:val="singleLevel"/>
    <w:tmpl w:val="5AAE28C1"/>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143">
    <w:nsid w:val="5B595653"/>
    <w:multiLevelType w:val="multilevel"/>
    <w:tmpl w:val="5B595653"/>
    <w:lvl w:ilvl="0" w:tentative="0">
      <w:start w:val="1"/>
      <w:numFmt w:val="decimal"/>
      <w:suff w:val="nothing"/>
      <w:lvlText w:val="%1"/>
      <w:lvlJc w:val="center"/>
      <w:pPr>
        <w:ind w:left="0" w:firstLine="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4">
    <w:nsid w:val="5B7307F8"/>
    <w:multiLevelType w:val="singleLevel"/>
    <w:tmpl w:val="5B7307F8"/>
    <w:lvl w:ilvl="0" w:tentative="0">
      <w:start w:val="1"/>
      <w:numFmt w:val="decimal"/>
      <w:suff w:val="nothing"/>
      <w:lvlText w:val="（%1）"/>
      <w:lvlJc w:val="left"/>
      <w:pPr>
        <w:tabs>
          <w:tab w:val="left" w:pos="0"/>
        </w:tabs>
        <w:ind w:left="420" w:hanging="420"/>
      </w:pPr>
      <w:rPr>
        <w:rFonts w:hint="default"/>
      </w:rPr>
    </w:lvl>
  </w:abstractNum>
  <w:abstractNum w:abstractNumId="145">
    <w:nsid w:val="5D2D775E"/>
    <w:multiLevelType w:val="singleLevel"/>
    <w:tmpl w:val="5D2D775E"/>
    <w:lvl w:ilvl="0" w:tentative="0">
      <w:start w:val="1"/>
      <w:numFmt w:val="decimal"/>
      <w:suff w:val="space"/>
      <w:lvlText w:val="(%1)"/>
      <w:lvlJc w:val="left"/>
      <w:pPr>
        <w:ind w:left="425" w:hanging="425"/>
      </w:pPr>
      <w:rPr>
        <w:rFonts w:hint="default"/>
      </w:rPr>
    </w:lvl>
  </w:abstractNum>
  <w:abstractNum w:abstractNumId="146">
    <w:nsid w:val="5E61AAD3"/>
    <w:multiLevelType w:val="singleLevel"/>
    <w:tmpl w:val="5E61AAD3"/>
    <w:lvl w:ilvl="0" w:tentative="0">
      <w:start w:val="1"/>
      <w:numFmt w:val="decimal"/>
      <w:suff w:val="nothing"/>
      <w:lvlText w:val="%1"/>
      <w:lvlJc w:val="left"/>
      <w:pPr>
        <w:tabs>
          <w:tab w:val="left" w:pos="397"/>
        </w:tabs>
        <w:ind w:left="454" w:leftChars="0" w:hanging="454" w:firstLineChars="0"/>
      </w:pPr>
      <w:rPr>
        <w:rFonts w:hint="default"/>
      </w:rPr>
    </w:lvl>
  </w:abstractNum>
  <w:abstractNum w:abstractNumId="147">
    <w:nsid w:val="5EAF7193"/>
    <w:multiLevelType w:val="singleLevel"/>
    <w:tmpl w:val="5EAF7193"/>
    <w:lvl w:ilvl="0" w:tentative="0">
      <w:start w:val="1"/>
      <w:numFmt w:val="decimalEnclosedCircleChinese"/>
      <w:suff w:val="nothing"/>
      <w:lvlText w:val="%1　"/>
      <w:lvlJc w:val="left"/>
      <w:pPr>
        <w:ind w:left="0" w:firstLine="400"/>
      </w:pPr>
      <w:rPr>
        <w:rFonts w:hint="eastAsia"/>
      </w:rPr>
    </w:lvl>
  </w:abstractNum>
  <w:abstractNum w:abstractNumId="148">
    <w:nsid w:val="5F13EAF3"/>
    <w:multiLevelType w:val="singleLevel"/>
    <w:tmpl w:val="5F13EAF3"/>
    <w:lvl w:ilvl="0" w:tentative="0">
      <w:start w:val="1"/>
      <w:numFmt w:val="decimal"/>
      <w:lvlText w:val="(%1)"/>
      <w:lvlJc w:val="left"/>
      <w:pPr>
        <w:ind w:left="425" w:hanging="425"/>
      </w:pPr>
      <w:rPr>
        <w:rFonts w:hint="default"/>
      </w:rPr>
    </w:lvl>
  </w:abstractNum>
  <w:abstractNum w:abstractNumId="149">
    <w:nsid w:val="60BB3191"/>
    <w:multiLevelType w:val="singleLevel"/>
    <w:tmpl w:val="60BB3191"/>
    <w:lvl w:ilvl="0" w:tentative="0">
      <w:start w:val="1"/>
      <w:numFmt w:val="decimal"/>
      <w:suff w:val="nothing"/>
      <w:lvlText w:val="(%1)"/>
      <w:lvlJc w:val="left"/>
      <w:pPr>
        <w:tabs>
          <w:tab w:val="left" w:pos="397"/>
        </w:tabs>
        <w:ind w:left="454" w:leftChars="0" w:hanging="454" w:firstLineChars="0"/>
      </w:pPr>
      <w:rPr>
        <w:rFonts w:hint="default"/>
      </w:rPr>
    </w:lvl>
  </w:abstractNum>
  <w:abstractNum w:abstractNumId="150">
    <w:nsid w:val="60CC9058"/>
    <w:multiLevelType w:val="singleLevel"/>
    <w:tmpl w:val="60CC9058"/>
    <w:lvl w:ilvl="0" w:tentative="0">
      <w:start w:val="1"/>
      <w:numFmt w:val="decimal"/>
      <w:suff w:val="nothing"/>
      <w:lvlText w:val="%1．"/>
      <w:lvlJc w:val="left"/>
      <w:pPr>
        <w:ind w:left="0" w:firstLine="400"/>
      </w:pPr>
      <w:rPr>
        <w:rFonts w:hint="default"/>
      </w:rPr>
    </w:lvl>
  </w:abstractNum>
  <w:abstractNum w:abstractNumId="151">
    <w:nsid w:val="61695EC3"/>
    <w:multiLevelType w:val="singleLevel"/>
    <w:tmpl w:val="61695EC3"/>
    <w:lvl w:ilvl="0" w:tentative="0">
      <w:start w:val="1"/>
      <w:numFmt w:val="decimalEnclosedCircleChinese"/>
      <w:suff w:val="nothing"/>
      <w:lvlText w:val="%1"/>
      <w:lvlJc w:val="left"/>
      <w:pPr>
        <w:tabs>
          <w:tab w:val="left" w:pos="0"/>
        </w:tabs>
        <w:ind w:left="0" w:firstLine="397"/>
      </w:pPr>
      <w:rPr>
        <w:rFonts w:hint="eastAsia"/>
      </w:rPr>
    </w:lvl>
  </w:abstractNum>
  <w:abstractNum w:abstractNumId="152">
    <w:nsid w:val="656CE7EC"/>
    <w:multiLevelType w:val="singleLevel"/>
    <w:tmpl w:val="656CE7EC"/>
    <w:lvl w:ilvl="0" w:tentative="0">
      <w:start w:val="1"/>
      <w:numFmt w:val="decimal"/>
      <w:lvlText w:val="(%1)"/>
      <w:lvlJc w:val="left"/>
      <w:pPr>
        <w:ind w:left="425" w:hanging="425"/>
      </w:pPr>
      <w:rPr>
        <w:rFonts w:hint="default"/>
      </w:rPr>
    </w:lvl>
  </w:abstractNum>
  <w:abstractNum w:abstractNumId="153">
    <w:nsid w:val="67560E29"/>
    <w:multiLevelType w:val="singleLevel"/>
    <w:tmpl w:val="67560E29"/>
    <w:lvl w:ilvl="0" w:tentative="0">
      <w:start w:val="1"/>
      <w:numFmt w:val="decimalEnclosedCircleChinese"/>
      <w:suff w:val="nothing"/>
      <w:lvlText w:val="%1"/>
      <w:lvlJc w:val="left"/>
      <w:pPr>
        <w:tabs>
          <w:tab w:val="left" w:pos="0"/>
        </w:tabs>
        <w:ind w:left="0" w:firstLine="397"/>
      </w:pPr>
      <w:rPr>
        <w:rFonts w:hint="eastAsia"/>
      </w:rPr>
    </w:lvl>
  </w:abstractNum>
  <w:abstractNum w:abstractNumId="154">
    <w:nsid w:val="679C23DD"/>
    <w:multiLevelType w:val="multilevel"/>
    <w:tmpl w:val="679C23DD"/>
    <w:lvl w:ilvl="0" w:tentative="0">
      <w:start w:val="1"/>
      <w:numFmt w:val="decimal"/>
      <w:suff w:val="nothing"/>
      <w:lvlText w:val="%1"/>
      <w:lvlJc w:val="left"/>
      <w:pPr>
        <w:ind w:left="0" w:firstLine="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5">
    <w:nsid w:val="6AA22599"/>
    <w:multiLevelType w:val="multilevel"/>
    <w:tmpl w:val="6AA22599"/>
    <w:lvl w:ilvl="0" w:tentative="0">
      <w:start w:val="1"/>
      <w:numFmt w:val="decimal"/>
      <w:suff w:val="nothing"/>
      <w:lvlText w:val="%1"/>
      <w:lvlJc w:val="left"/>
      <w:pPr>
        <w:ind w:left="0" w:firstLine="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6">
    <w:nsid w:val="6AEBDF86"/>
    <w:multiLevelType w:val="singleLevel"/>
    <w:tmpl w:val="6AEBDF86"/>
    <w:lvl w:ilvl="0" w:tentative="0">
      <w:start w:val="1"/>
      <w:numFmt w:val="decimalEnclosedCircleChinese"/>
      <w:suff w:val="nothing"/>
      <w:lvlText w:val="%1 "/>
      <w:lvlJc w:val="left"/>
      <w:pPr>
        <w:ind w:left="0" w:firstLine="397"/>
      </w:pPr>
      <w:rPr>
        <w:rFonts w:hint="eastAsia"/>
      </w:rPr>
    </w:lvl>
  </w:abstractNum>
  <w:abstractNum w:abstractNumId="157">
    <w:nsid w:val="6B552B37"/>
    <w:multiLevelType w:val="singleLevel"/>
    <w:tmpl w:val="6B552B37"/>
    <w:lvl w:ilvl="0" w:tentative="0">
      <w:start w:val="1"/>
      <w:numFmt w:val="decimal"/>
      <w:suff w:val="nothing"/>
      <w:lvlText w:val="（%1）"/>
      <w:lvlJc w:val="left"/>
      <w:pPr>
        <w:tabs>
          <w:tab w:val="left" w:pos="0"/>
        </w:tabs>
        <w:ind w:left="420" w:hanging="420"/>
      </w:pPr>
      <w:rPr>
        <w:rFonts w:hint="default"/>
      </w:rPr>
    </w:lvl>
  </w:abstractNum>
  <w:abstractNum w:abstractNumId="158">
    <w:nsid w:val="6B5CB5AD"/>
    <w:multiLevelType w:val="singleLevel"/>
    <w:tmpl w:val="6B5CB5AD"/>
    <w:lvl w:ilvl="0" w:tentative="0">
      <w:start w:val="1"/>
      <w:numFmt w:val="decimal"/>
      <w:suff w:val="space"/>
      <w:lvlText w:val="(%1)"/>
      <w:lvlJc w:val="left"/>
      <w:pPr>
        <w:ind w:left="425" w:hanging="425"/>
      </w:pPr>
      <w:rPr>
        <w:rFonts w:hint="default"/>
      </w:rPr>
    </w:lvl>
  </w:abstractNum>
  <w:abstractNum w:abstractNumId="159">
    <w:nsid w:val="72531A76"/>
    <w:multiLevelType w:val="singleLevel"/>
    <w:tmpl w:val="72531A76"/>
    <w:lvl w:ilvl="0" w:tentative="0">
      <w:start w:val="1"/>
      <w:numFmt w:val="decimal"/>
      <w:suff w:val="space"/>
      <w:lvlText w:val="(%1)"/>
      <w:lvlJc w:val="left"/>
      <w:pPr>
        <w:ind w:left="425" w:hanging="425"/>
      </w:pPr>
      <w:rPr>
        <w:rFonts w:hint="default"/>
      </w:rPr>
    </w:lvl>
  </w:abstractNum>
  <w:abstractNum w:abstractNumId="160">
    <w:nsid w:val="74330EB9"/>
    <w:multiLevelType w:val="singleLevel"/>
    <w:tmpl w:val="74330EB9"/>
    <w:lvl w:ilvl="0" w:tentative="0">
      <w:start w:val="1"/>
      <w:numFmt w:val="decimal"/>
      <w:suff w:val="nothing"/>
      <w:lvlText w:val="%1．"/>
      <w:lvlJc w:val="left"/>
    </w:lvl>
  </w:abstractNum>
  <w:abstractNum w:abstractNumId="161">
    <w:nsid w:val="761986EC"/>
    <w:multiLevelType w:val="singleLevel"/>
    <w:tmpl w:val="761986EC"/>
    <w:lvl w:ilvl="0" w:tentative="0">
      <w:start w:val="1"/>
      <w:numFmt w:val="decimal"/>
      <w:suff w:val="space"/>
      <w:lvlText w:val="(%1)"/>
      <w:lvlJc w:val="left"/>
      <w:pPr>
        <w:ind w:left="425" w:hanging="425"/>
      </w:pPr>
      <w:rPr>
        <w:rFonts w:hint="default"/>
      </w:rPr>
    </w:lvl>
  </w:abstractNum>
  <w:abstractNum w:abstractNumId="162">
    <w:nsid w:val="765CEC9A"/>
    <w:multiLevelType w:val="singleLevel"/>
    <w:tmpl w:val="765CEC9A"/>
    <w:lvl w:ilvl="0" w:tentative="0">
      <w:start w:val="1"/>
      <w:numFmt w:val="decimal"/>
      <w:suff w:val="space"/>
      <w:lvlText w:val="(%1)"/>
      <w:lvlJc w:val="left"/>
      <w:pPr>
        <w:ind w:left="425" w:hanging="425"/>
      </w:pPr>
      <w:rPr>
        <w:rFonts w:hint="default"/>
      </w:rPr>
    </w:lvl>
  </w:abstractNum>
  <w:abstractNum w:abstractNumId="163">
    <w:nsid w:val="77090F7D"/>
    <w:multiLevelType w:val="singleLevel"/>
    <w:tmpl w:val="77090F7D"/>
    <w:lvl w:ilvl="0" w:tentative="0">
      <w:start w:val="1"/>
      <w:numFmt w:val="decimal"/>
      <w:suff w:val="space"/>
      <w:lvlText w:val="(%1)"/>
      <w:lvlJc w:val="left"/>
      <w:pPr>
        <w:ind w:left="425" w:hanging="425"/>
      </w:pPr>
      <w:rPr>
        <w:rFonts w:hint="default"/>
      </w:rPr>
    </w:lvl>
  </w:abstractNum>
  <w:abstractNum w:abstractNumId="164">
    <w:nsid w:val="78B7E12A"/>
    <w:multiLevelType w:val="singleLevel"/>
    <w:tmpl w:val="78B7E12A"/>
    <w:lvl w:ilvl="0" w:tentative="0">
      <w:start w:val="1"/>
      <w:numFmt w:val="decimal"/>
      <w:suff w:val="nothing"/>
      <w:lvlText w:val="%1．"/>
      <w:lvlJc w:val="left"/>
      <w:pPr>
        <w:ind w:left="0" w:firstLine="400"/>
      </w:pPr>
      <w:rPr>
        <w:rFonts w:hint="default"/>
      </w:rPr>
    </w:lvl>
  </w:abstractNum>
  <w:abstractNum w:abstractNumId="165">
    <w:nsid w:val="7B163461"/>
    <w:multiLevelType w:val="singleLevel"/>
    <w:tmpl w:val="7B163461"/>
    <w:lvl w:ilvl="0" w:tentative="0">
      <w:start w:val="1"/>
      <w:numFmt w:val="decimal"/>
      <w:suff w:val="nothing"/>
      <w:lvlText w:val="（%1）"/>
      <w:lvlJc w:val="left"/>
      <w:pPr>
        <w:tabs>
          <w:tab w:val="left" w:pos="0"/>
        </w:tabs>
        <w:ind w:left="420" w:hanging="420"/>
      </w:pPr>
      <w:rPr>
        <w:rFonts w:hint="default"/>
      </w:rPr>
    </w:lvl>
  </w:abstractNum>
  <w:abstractNum w:abstractNumId="166">
    <w:nsid w:val="7BFC02F3"/>
    <w:multiLevelType w:val="singleLevel"/>
    <w:tmpl w:val="7BFC02F3"/>
    <w:lvl w:ilvl="0" w:tentative="0">
      <w:start w:val="1"/>
      <w:numFmt w:val="decimal"/>
      <w:suff w:val="nothing"/>
      <w:lvlText w:val="%1"/>
      <w:lvlJc w:val="left"/>
      <w:pPr>
        <w:ind w:left="0" w:firstLine="403"/>
      </w:pPr>
      <w:rPr>
        <w:rFonts w:hint="default"/>
      </w:rPr>
    </w:lvl>
  </w:abstractNum>
  <w:abstractNum w:abstractNumId="167">
    <w:nsid w:val="7C4250DE"/>
    <w:multiLevelType w:val="multilevel"/>
    <w:tmpl w:val="7C4250DE"/>
    <w:lvl w:ilvl="0" w:tentative="0">
      <w:start w:val="1"/>
      <w:numFmt w:val="decimal"/>
      <w:suff w:val="nothing"/>
      <w:lvlText w:val="%1"/>
      <w:lvlJc w:val="left"/>
      <w:pPr>
        <w:ind w:left="0" w:firstLine="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8">
    <w:nsid w:val="7D05E1A0"/>
    <w:multiLevelType w:val="singleLevel"/>
    <w:tmpl w:val="7D05E1A0"/>
    <w:lvl w:ilvl="0" w:tentative="0">
      <w:start w:val="1"/>
      <w:numFmt w:val="decimal"/>
      <w:suff w:val="space"/>
      <w:lvlText w:val="(%1)"/>
      <w:lvlJc w:val="left"/>
      <w:pPr>
        <w:ind w:left="425" w:hanging="425"/>
      </w:pPr>
      <w:rPr>
        <w:rFonts w:hint="default"/>
      </w:rPr>
    </w:lvl>
  </w:abstractNum>
  <w:abstractNum w:abstractNumId="169">
    <w:nsid w:val="7DD8C27A"/>
    <w:multiLevelType w:val="singleLevel"/>
    <w:tmpl w:val="7DD8C27A"/>
    <w:lvl w:ilvl="0" w:tentative="0">
      <w:start w:val="1"/>
      <w:numFmt w:val="chineseCounting"/>
      <w:suff w:val="nothing"/>
      <w:lvlText w:val="%1、"/>
      <w:lvlJc w:val="left"/>
      <w:rPr>
        <w:rFonts w:hint="eastAsia"/>
      </w:rPr>
    </w:lvl>
  </w:abstractNum>
  <w:abstractNum w:abstractNumId="170">
    <w:nsid w:val="7F4A5FFE"/>
    <w:multiLevelType w:val="singleLevel"/>
    <w:tmpl w:val="7F4A5FFE"/>
    <w:lvl w:ilvl="0" w:tentative="0">
      <w:start w:val="1"/>
      <w:numFmt w:val="decimal"/>
      <w:lvlText w:val="(%1)"/>
      <w:lvlJc w:val="left"/>
      <w:pPr>
        <w:ind w:left="425" w:hanging="425"/>
      </w:pPr>
      <w:rPr>
        <w:rFonts w:hint="default" w:ascii="宋体" w:hAnsi="宋体" w:eastAsia="宋体" w:cs="宋体"/>
        <w:sz w:val="28"/>
        <w:szCs w:val="28"/>
      </w:rPr>
    </w:lvl>
  </w:abstractNum>
  <w:num w:numId="1">
    <w:abstractNumId w:val="67"/>
  </w:num>
  <w:num w:numId="2">
    <w:abstractNumId w:val="110"/>
  </w:num>
  <w:num w:numId="3">
    <w:abstractNumId w:val="13"/>
  </w:num>
  <w:num w:numId="4">
    <w:abstractNumId w:val="116"/>
  </w:num>
  <w:num w:numId="5">
    <w:abstractNumId w:val="127"/>
  </w:num>
  <w:num w:numId="6">
    <w:abstractNumId w:val="63"/>
  </w:num>
  <w:num w:numId="7">
    <w:abstractNumId w:val="5"/>
  </w:num>
  <w:num w:numId="8">
    <w:abstractNumId w:val="70"/>
  </w:num>
  <w:num w:numId="9">
    <w:abstractNumId w:val="81"/>
  </w:num>
  <w:num w:numId="10">
    <w:abstractNumId w:val="142"/>
  </w:num>
  <w:num w:numId="11">
    <w:abstractNumId w:val="107"/>
  </w:num>
  <w:num w:numId="12">
    <w:abstractNumId w:val="17"/>
  </w:num>
  <w:num w:numId="13">
    <w:abstractNumId w:val="33"/>
  </w:num>
  <w:num w:numId="14">
    <w:abstractNumId w:val="52"/>
  </w:num>
  <w:num w:numId="15">
    <w:abstractNumId w:val="15"/>
  </w:num>
  <w:num w:numId="16">
    <w:abstractNumId w:val="140"/>
  </w:num>
  <w:num w:numId="17">
    <w:abstractNumId w:val="88"/>
  </w:num>
  <w:num w:numId="18">
    <w:abstractNumId w:val="3"/>
  </w:num>
  <w:num w:numId="19">
    <w:abstractNumId w:val="126"/>
  </w:num>
  <w:num w:numId="20">
    <w:abstractNumId w:val="57"/>
  </w:num>
  <w:num w:numId="21">
    <w:abstractNumId w:val="146"/>
  </w:num>
  <w:num w:numId="22">
    <w:abstractNumId w:val="42"/>
  </w:num>
  <w:num w:numId="23">
    <w:abstractNumId w:val="0"/>
  </w:num>
  <w:num w:numId="24">
    <w:abstractNumId w:val="164"/>
  </w:num>
  <w:num w:numId="25">
    <w:abstractNumId w:val="9"/>
  </w:num>
  <w:num w:numId="26">
    <w:abstractNumId w:val="150"/>
  </w:num>
  <w:num w:numId="27">
    <w:abstractNumId w:val="44"/>
  </w:num>
  <w:num w:numId="28">
    <w:abstractNumId w:val="85"/>
  </w:num>
  <w:num w:numId="29">
    <w:abstractNumId w:val="30"/>
  </w:num>
  <w:num w:numId="30">
    <w:abstractNumId w:val="158"/>
  </w:num>
  <w:num w:numId="31">
    <w:abstractNumId w:val="161"/>
  </w:num>
  <w:num w:numId="32">
    <w:abstractNumId w:val="69"/>
  </w:num>
  <w:num w:numId="33">
    <w:abstractNumId w:val="101"/>
  </w:num>
  <w:num w:numId="34">
    <w:abstractNumId w:val="78"/>
  </w:num>
  <w:num w:numId="35">
    <w:abstractNumId w:val="12"/>
  </w:num>
  <w:num w:numId="36">
    <w:abstractNumId w:val="103"/>
  </w:num>
  <w:num w:numId="37">
    <w:abstractNumId w:val="66"/>
  </w:num>
  <w:num w:numId="38">
    <w:abstractNumId w:val="7"/>
  </w:num>
  <w:num w:numId="39">
    <w:abstractNumId w:val="123"/>
  </w:num>
  <w:num w:numId="40">
    <w:abstractNumId w:val="95"/>
  </w:num>
  <w:num w:numId="41">
    <w:abstractNumId w:val="153"/>
  </w:num>
  <w:num w:numId="42">
    <w:abstractNumId w:val="1"/>
  </w:num>
  <w:num w:numId="43">
    <w:abstractNumId w:val="22"/>
  </w:num>
  <w:num w:numId="44">
    <w:abstractNumId w:val="86"/>
  </w:num>
  <w:num w:numId="45">
    <w:abstractNumId w:val="159"/>
  </w:num>
  <w:num w:numId="46">
    <w:abstractNumId w:val="120"/>
  </w:num>
  <w:num w:numId="47">
    <w:abstractNumId w:val="16"/>
  </w:num>
  <w:num w:numId="48">
    <w:abstractNumId w:val="100"/>
  </w:num>
  <w:num w:numId="49">
    <w:abstractNumId w:val="156"/>
  </w:num>
  <w:num w:numId="50">
    <w:abstractNumId w:val="39"/>
  </w:num>
  <w:num w:numId="51">
    <w:abstractNumId w:val="28"/>
  </w:num>
  <w:num w:numId="52">
    <w:abstractNumId w:val="163"/>
  </w:num>
  <w:num w:numId="53">
    <w:abstractNumId w:val="32"/>
  </w:num>
  <w:num w:numId="54">
    <w:abstractNumId w:val="94"/>
  </w:num>
  <w:num w:numId="55">
    <w:abstractNumId w:val="104"/>
  </w:num>
  <w:num w:numId="56">
    <w:abstractNumId w:val="73"/>
  </w:num>
  <w:num w:numId="57">
    <w:abstractNumId w:val="23"/>
  </w:num>
  <w:num w:numId="58">
    <w:abstractNumId w:val="10"/>
  </w:num>
  <w:num w:numId="59">
    <w:abstractNumId w:val="26"/>
  </w:num>
  <w:num w:numId="60">
    <w:abstractNumId w:val="8"/>
  </w:num>
  <w:num w:numId="61">
    <w:abstractNumId w:val="125"/>
  </w:num>
  <w:num w:numId="62">
    <w:abstractNumId w:val="117"/>
  </w:num>
  <w:num w:numId="63">
    <w:abstractNumId w:val="11"/>
  </w:num>
  <w:num w:numId="64">
    <w:abstractNumId w:val="74"/>
  </w:num>
  <w:num w:numId="65">
    <w:abstractNumId w:val="145"/>
  </w:num>
  <w:num w:numId="66">
    <w:abstractNumId w:val="50"/>
  </w:num>
  <w:num w:numId="67">
    <w:abstractNumId w:val="56"/>
  </w:num>
  <w:num w:numId="68">
    <w:abstractNumId w:val="46"/>
  </w:num>
  <w:num w:numId="69">
    <w:abstractNumId w:val="119"/>
  </w:num>
  <w:num w:numId="70">
    <w:abstractNumId w:val="165"/>
  </w:num>
  <w:num w:numId="71">
    <w:abstractNumId w:val="108"/>
  </w:num>
  <w:num w:numId="72">
    <w:abstractNumId w:val="144"/>
  </w:num>
  <w:num w:numId="73">
    <w:abstractNumId w:val="19"/>
  </w:num>
  <w:num w:numId="74">
    <w:abstractNumId w:val="48"/>
  </w:num>
  <w:num w:numId="75">
    <w:abstractNumId w:val="55"/>
  </w:num>
  <w:num w:numId="76">
    <w:abstractNumId w:val="20"/>
  </w:num>
  <w:num w:numId="77">
    <w:abstractNumId w:val="53"/>
  </w:num>
  <w:num w:numId="78">
    <w:abstractNumId w:val="129"/>
  </w:num>
  <w:num w:numId="79">
    <w:abstractNumId w:val="131"/>
  </w:num>
  <w:num w:numId="80">
    <w:abstractNumId w:val="118"/>
  </w:num>
  <w:num w:numId="81">
    <w:abstractNumId w:val="51"/>
  </w:num>
  <w:num w:numId="82">
    <w:abstractNumId w:val="157"/>
  </w:num>
  <w:num w:numId="83">
    <w:abstractNumId w:val="138"/>
  </w:num>
  <w:num w:numId="84">
    <w:abstractNumId w:val="92"/>
  </w:num>
  <w:num w:numId="85">
    <w:abstractNumId w:val="169"/>
  </w:num>
  <w:num w:numId="86">
    <w:abstractNumId w:val="113"/>
  </w:num>
  <w:num w:numId="87">
    <w:abstractNumId w:val="21"/>
  </w:num>
  <w:num w:numId="88">
    <w:abstractNumId w:val="133"/>
  </w:num>
  <w:num w:numId="89">
    <w:abstractNumId w:val="141"/>
  </w:num>
  <w:num w:numId="90">
    <w:abstractNumId w:val="31"/>
  </w:num>
  <w:num w:numId="91">
    <w:abstractNumId w:val="160"/>
  </w:num>
  <w:num w:numId="92">
    <w:abstractNumId w:val="93"/>
  </w:num>
  <w:num w:numId="93">
    <w:abstractNumId w:val="147"/>
  </w:num>
  <w:num w:numId="94">
    <w:abstractNumId w:val="102"/>
  </w:num>
  <w:num w:numId="95">
    <w:abstractNumId w:val="40"/>
  </w:num>
  <w:num w:numId="96">
    <w:abstractNumId w:val="77"/>
  </w:num>
  <w:num w:numId="97">
    <w:abstractNumId w:val="4"/>
  </w:num>
  <w:num w:numId="98">
    <w:abstractNumId w:val="106"/>
  </w:num>
  <w:num w:numId="99">
    <w:abstractNumId w:val="62"/>
  </w:num>
  <w:num w:numId="100">
    <w:abstractNumId w:val="49"/>
  </w:num>
  <w:num w:numId="101">
    <w:abstractNumId w:val="168"/>
  </w:num>
  <w:num w:numId="102">
    <w:abstractNumId w:val="162"/>
  </w:num>
  <w:num w:numId="103">
    <w:abstractNumId w:val="97"/>
  </w:num>
  <w:num w:numId="104">
    <w:abstractNumId w:val="27"/>
  </w:num>
  <w:num w:numId="105">
    <w:abstractNumId w:val="80"/>
  </w:num>
  <w:num w:numId="106">
    <w:abstractNumId w:val="1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29"/>
  </w:num>
  <w:num w:numId="108">
    <w:abstractNumId w:val="82"/>
  </w:num>
  <w:num w:numId="109">
    <w:abstractNumId w:val="130"/>
  </w:num>
  <w:num w:numId="110">
    <w:abstractNumId w:val="152"/>
  </w:num>
  <w:num w:numId="111">
    <w:abstractNumId w:val="47"/>
  </w:num>
  <w:num w:numId="112">
    <w:abstractNumId w:val="99"/>
  </w:num>
  <w:num w:numId="113">
    <w:abstractNumId w:val="54"/>
  </w:num>
  <w:num w:numId="114">
    <w:abstractNumId w:val="41"/>
  </w:num>
  <w:num w:numId="115">
    <w:abstractNumId w:val="60"/>
  </w:num>
  <w:num w:numId="116">
    <w:abstractNumId w:val="122"/>
  </w:num>
  <w:num w:numId="117">
    <w:abstractNumId w:val="143"/>
  </w:num>
  <w:num w:numId="118">
    <w:abstractNumId w:val="14"/>
  </w:num>
  <w:num w:numId="119">
    <w:abstractNumId w:val="121"/>
  </w:num>
  <w:num w:numId="120">
    <w:abstractNumId w:val="115"/>
  </w:num>
  <w:num w:numId="121">
    <w:abstractNumId w:val="2"/>
  </w:num>
  <w:num w:numId="122">
    <w:abstractNumId w:val="166"/>
  </w:num>
  <w:num w:numId="123">
    <w:abstractNumId w:val="87"/>
  </w:num>
  <w:num w:numId="124">
    <w:abstractNumId w:val="98"/>
  </w:num>
  <w:num w:numId="125">
    <w:abstractNumId w:val="137"/>
  </w:num>
  <w:num w:numId="126">
    <w:abstractNumId w:val="18"/>
  </w:num>
  <w:num w:numId="127">
    <w:abstractNumId w:val="135"/>
  </w:num>
  <w:num w:numId="128">
    <w:abstractNumId w:val="43"/>
  </w:num>
  <w:num w:numId="129">
    <w:abstractNumId w:val="167"/>
  </w:num>
  <w:num w:numId="130">
    <w:abstractNumId w:val="79"/>
  </w:num>
  <w:num w:numId="131">
    <w:abstractNumId w:val="114"/>
  </w:num>
  <w:num w:numId="132">
    <w:abstractNumId w:val="24"/>
  </w:num>
  <w:num w:numId="133">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132"/>
  </w:num>
  <w:num w:numId="135">
    <w:abstractNumId w:val="109"/>
  </w:num>
  <w:num w:numId="136">
    <w:abstractNumId w:val="155"/>
  </w:num>
  <w:num w:numId="137">
    <w:abstractNumId w:val="134"/>
  </w:num>
  <w:num w:numId="138">
    <w:abstractNumId w:val="72"/>
  </w:num>
  <w:num w:numId="139">
    <w:abstractNumId w:val="37"/>
  </w:num>
  <w:num w:numId="140">
    <w:abstractNumId w:val="111"/>
  </w:num>
  <w:num w:numId="141">
    <w:abstractNumId w:val="148"/>
  </w:num>
  <w:num w:numId="142">
    <w:abstractNumId w:val="149"/>
  </w:num>
  <w:num w:numId="143">
    <w:abstractNumId w:val="96"/>
  </w:num>
  <w:num w:numId="144">
    <w:abstractNumId w:val="76"/>
  </w:num>
  <w:num w:numId="145">
    <w:abstractNumId w:val="25"/>
  </w:num>
  <w:num w:numId="146">
    <w:abstractNumId w:val="90"/>
  </w:num>
  <w:num w:numId="147">
    <w:abstractNumId w:val="65"/>
  </w:num>
  <w:num w:numId="148">
    <w:abstractNumId w:val="38"/>
  </w:num>
  <w:num w:numId="149">
    <w:abstractNumId w:val="75"/>
  </w:num>
  <w:num w:numId="150">
    <w:abstractNumId w:val="35"/>
  </w:num>
  <w:num w:numId="151">
    <w:abstractNumId w:val="71"/>
  </w:num>
  <w:num w:numId="152">
    <w:abstractNumId w:val="34"/>
  </w:num>
  <w:num w:numId="153">
    <w:abstractNumId w:val="112"/>
  </w:num>
  <w:num w:numId="154">
    <w:abstractNumId w:val="6"/>
  </w:num>
  <w:num w:numId="155">
    <w:abstractNumId w:val="105"/>
  </w:num>
  <w:num w:numId="156">
    <w:abstractNumId w:val="68"/>
  </w:num>
  <w:num w:numId="157">
    <w:abstractNumId w:val="151"/>
  </w:num>
  <w:num w:numId="158">
    <w:abstractNumId w:val="128"/>
  </w:num>
  <w:num w:numId="159">
    <w:abstractNumId w:val="64"/>
  </w:num>
  <w:num w:numId="160">
    <w:abstractNumId w:val="58"/>
  </w:num>
  <w:num w:numId="161">
    <w:abstractNumId w:val="36"/>
  </w:num>
  <w:num w:numId="162">
    <w:abstractNumId w:val="84"/>
  </w:num>
  <w:num w:numId="163">
    <w:abstractNumId w:val="139"/>
  </w:num>
  <w:num w:numId="164">
    <w:abstractNumId w:val="59"/>
  </w:num>
  <w:num w:numId="165">
    <w:abstractNumId w:val="89"/>
  </w:num>
  <w:num w:numId="166">
    <w:abstractNumId w:val="170"/>
  </w:num>
  <w:num w:numId="167">
    <w:abstractNumId w:val="45"/>
  </w:num>
  <w:num w:numId="168">
    <w:abstractNumId w:val="61"/>
  </w:num>
  <w:num w:numId="169">
    <w:abstractNumId w:val="91"/>
  </w:num>
  <w:num w:numId="170">
    <w:abstractNumId w:val="83"/>
  </w:num>
  <w:num w:numId="171">
    <w:abstractNumId w:val="1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2ZWMyNWY1YmQ3MDJiMTg2OGY1MTBmNzJjMTI4MzUifQ=="/>
  </w:docVars>
  <w:rsids>
    <w:rsidRoot w:val="00172A27"/>
    <w:rsid w:val="00051559"/>
    <w:rsid w:val="00065AE8"/>
    <w:rsid w:val="001E4264"/>
    <w:rsid w:val="001F3014"/>
    <w:rsid w:val="003D7CBB"/>
    <w:rsid w:val="00425964"/>
    <w:rsid w:val="004D613C"/>
    <w:rsid w:val="00501620"/>
    <w:rsid w:val="00623FD0"/>
    <w:rsid w:val="00916F10"/>
    <w:rsid w:val="00920750"/>
    <w:rsid w:val="00924DF3"/>
    <w:rsid w:val="009951A3"/>
    <w:rsid w:val="00A10993"/>
    <w:rsid w:val="00A95060"/>
    <w:rsid w:val="00BD23A1"/>
    <w:rsid w:val="00CB76F4"/>
    <w:rsid w:val="00CE77AE"/>
    <w:rsid w:val="00F705B3"/>
    <w:rsid w:val="00FE7B94"/>
    <w:rsid w:val="012C39BE"/>
    <w:rsid w:val="01341807"/>
    <w:rsid w:val="014359D0"/>
    <w:rsid w:val="016646EA"/>
    <w:rsid w:val="01703979"/>
    <w:rsid w:val="0184247F"/>
    <w:rsid w:val="01973B44"/>
    <w:rsid w:val="01EF3980"/>
    <w:rsid w:val="01F1594A"/>
    <w:rsid w:val="023B6BC5"/>
    <w:rsid w:val="026C5370"/>
    <w:rsid w:val="027C5214"/>
    <w:rsid w:val="03063451"/>
    <w:rsid w:val="03092820"/>
    <w:rsid w:val="030D40BE"/>
    <w:rsid w:val="03A03184"/>
    <w:rsid w:val="03BB1D6C"/>
    <w:rsid w:val="04390EE3"/>
    <w:rsid w:val="0442423B"/>
    <w:rsid w:val="0452607D"/>
    <w:rsid w:val="04EC487D"/>
    <w:rsid w:val="05143E2A"/>
    <w:rsid w:val="05157BA2"/>
    <w:rsid w:val="05340028"/>
    <w:rsid w:val="05357D27"/>
    <w:rsid w:val="053D41CD"/>
    <w:rsid w:val="05452235"/>
    <w:rsid w:val="054F680B"/>
    <w:rsid w:val="0551001F"/>
    <w:rsid w:val="055921A8"/>
    <w:rsid w:val="056E0558"/>
    <w:rsid w:val="058A40EC"/>
    <w:rsid w:val="0591547A"/>
    <w:rsid w:val="05C23886"/>
    <w:rsid w:val="05FD1E8E"/>
    <w:rsid w:val="063B192D"/>
    <w:rsid w:val="066F744B"/>
    <w:rsid w:val="06B04020"/>
    <w:rsid w:val="06F3181D"/>
    <w:rsid w:val="06F42124"/>
    <w:rsid w:val="07322345"/>
    <w:rsid w:val="07700B15"/>
    <w:rsid w:val="077566D6"/>
    <w:rsid w:val="077A1E53"/>
    <w:rsid w:val="077E32FE"/>
    <w:rsid w:val="083626A2"/>
    <w:rsid w:val="08760957"/>
    <w:rsid w:val="08836BD0"/>
    <w:rsid w:val="08915A56"/>
    <w:rsid w:val="08A6123D"/>
    <w:rsid w:val="08F752BE"/>
    <w:rsid w:val="091837BC"/>
    <w:rsid w:val="091C32AD"/>
    <w:rsid w:val="0953227E"/>
    <w:rsid w:val="09540C99"/>
    <w:rsid w:val="095F7EA3"/>
    <w:rsid w:val="096F5AD2"/>
    <w:rsid w:val="097D0606"/>
    <w:rsid w:val="097D1872"/>
    <w:rsid w:val="098B2E89"/>
    <w:rsid w:val="09DB78F5"/>
    <w:rsid w:val="0A14667A"/>
    <w:rsid w:val="0A324160"/>
    <w:rsid w:val="0A375EC4"/>
    <w:rsid w:val="0A3B18F5"/>
    <w:rsid w:val="0A4F7B25"/>
    <w:rsid w:val="0A503A39"/>
    <w:rsid w:val="0A5B187E"/>
    <w:rsid w:val="0A6D17F1"/>
    <w:rsid w:val="0A83110A"/>
    <w:rsid w:val="0AE56DFD"/>
    <w:rsid w:val="0B3D5E9E"/>
    <w:rsid w:val="0B505490"/>
    <w:rsid w:val="0B696708"/>
    <w:rsid w:val="0B786794"/>
    <w:rsid w:val="0B7F1815"/>
    <w:rsid w:val="0B9B4146"/>
    <w:rsid w:val="0BAE77DD"/>
    <w:rsid w:val="0BE300B2"/>
    <w:rsid w:val="0BEB51AE"/>
    <w:rsid w:val="0C2920BD"/>
    <w:rsid w:val="0C796C68"/>
    <w:rsid w:val="0C9D1A8A"/>
    <w:rsid w:val="0CBA72A2"/>
    <w:rsid w:val="0CD30126"/>
    <w:rsid w:val="0D091D9A"/>
    <w:rsid w:val="0D417786"/>
    <w:rsid w:val="0D533015"/>
    <w:rsid w:val="0D5600CF"/>
    <w:rsid w:val="0D5869D3"/>
    <w:rsid w:val="0D6B5913"/>
    <w:rsid w:val="0DC768CF"/>
    <w:rsid w:val="0E0C50A5"/>
    <w:rsid w:val="0E0F6830"/>
    <w:rsid w:val="0E19425F"/>
    <w:rsid w:val="0E3F5880"/>
    <w:rsid w:val="0E576C9D"/>
    <w:rsid w:val="0E750B73"/>
    <w:rsid w:val="0E9D4BE8"/>
    <w:rsid w:val="0EB34159"/>
    <w:rsid w:val="0F011A2A"/>
    <w:rsid w:val="0F072309"/>
    <w:rsid w:val="0F1D7D7F"/>
    <w:rsid w:val="0F27750A"/>
    <w:rsid w:val="0F4A4767"/>
    <w:rsid w:val="0F8F43ED"/>
    <w:rsid w:val="0FB75ADD"/>
    <w:rsid w:val="0FBD49BA"/>
    <w:rsid w:val="0FDA7A1E"/>
    <w:rsid w:val="0FF54858"/>
    <w:rsid w:val="10417A9D"/>
    <w:rsid w:val="109415C0"/>
    <w:rsid w:val="10CE1FE3"/>
    <w:rsid w:val="11005262"/>
    <w:rsid w:val="1117715B"/>
    <w:rsid w:val="11177669"/>
    <w:rsid w:val="1118721B"/>
    <w:rsid w:val="11386B87"/>
    <w:rsid w:val="1154735C"/>
    <w:rsid w:val="116D775B"/>
    <w:rsid w:val="11A47EBF"/>
    <w:rsid w:val="11D72EEB"/>
    <w:rsid w:val="12116261"/>
    <w:rsid w:val="12127ADE"/>
    <w:rsid w:val="121F1AC0"/>
    <w:rsid w:val="122A3390"/>
    <w:rsid w:val="127759F8"/>
    <w:rsid w:val="12A367ED"/>
    <w:rsid w:val="12AD7244"/>
    <w:rsid w:val="12CE33ED"/>
    <w:rsid w:val="12D4188E"/>
    <w:rsid w:val="12F47674"/>
    <w:rsid w:val="12FB51DB"/>
    <w:rsid w:val="13367945"/>
    <w:rsid w:val="138F4D20"/>
    <w:rsid w:val="13B14F39"/>
    <w:rsid w:val="13CC3B21"/>
    <w:rsid w:val="13F015BE"/>
    <w:rsid w:val="13FD28A6"/>
    <w:rsid w:val="14224636"/>
    <w:rsid w:val="14327E28"/>
    <w:rsid w:val="144A4B75"/>
    <w:rsid w:val="144E2788"/>
    <w:rsid w:val="14640699"/>
    <w:rsid w:val="14A67D08"/>
    <w:rsid w:val="14C01F6E"/>
    <w:rsid w:val="14D77487"/>
    <w:rsid w:val="14F7697C"/>
    <w:rsid w:val="15433846"/>
    <w:rsid w:val="15451DDD"/>
    <w:rsid w:val="15910B7E"/>
    <w:rsid w:val="15981F0D"/>
    <w:rsid w:val="15A00DC2"/>
    <w:rsid w:val="15BE6C45"/>
    <w:rsid w:val="15E11B06"/>
    <w:rsid w:val="16056255"/>
    <w:rsid w:val="162734E9"/>
    <w:rsid w:val="16322361"/>
    <w:rsid w:val="163634D4"/>
    <w:rsid w:val="164D0F49"/>
    <w:rsid w:val="16627A30"/>
    <w:rsid w:val="166B7621"/>
    <w:rsid w:val="166E2C6E"/>
    <w:rsid w:val="166F47AE"/>
    <w:rsid w:val="16820483"/>
    <w:rsid w:val="16A2332E"/>
    <w:rsid w:val="16AD0721"/>
    <w:rsid w:val="16B34B25"/>
    <w:rsid w:val="16CB6357"/>
    <w:rsid w:val="16D950B6"/>
    <w:rsid w:val="17127177"/>
    <w:rsid w:val="17286643"/>
    <w:rsid w:val="173619DD"/>
    <w:rsid w:val="174149A0"/>
    <w:rsid w:val="17935082"/>
    <w:rsid w:val="17C04C67"/>
    <w:rsid w:val="17D15BAA"/>
    <w:rsid w:val="17DA642C"/>
    <w:rsid w:val="188E09E6"/>
    <w:rsid w:val="18A323B2"/>
    <w:rsid w:val="18C1177B"/>
    <w:rsid w:val="190F0C44"/>
    <w:rsid w:val="19362169"/>
    <w:rsid w:val="19650358"/>
    <w:rsid w:val="1988673C"/>
    <w:rsid w:val="1A206EF6"/>
    <w:rsid w:val="1A2B194E"/>
    <w:rsid w:val="1A5F749D"/>
    <w:rsid w:val="1AA00B7F"/>
    <w:rsid w:val="1AA475E6"/>
    <w:rsid w:val="1AB01EBF"/>
    <w:rsid w:val="1AC9700C"/>
    <w:rsid w:val="1AFC2F3E"/>
    <w:rsid w:val="1AFF2A2E"/>
    <w:rsid w:val="1B1B7066"/>
    <w:rsid w:val="1B773053"/>
    <w:rsid w:val="1B79465F"/>
    <w:rsid w:val="1B93717E"/>
    <w:rsid w:val="1BB435B3"/>
    <w:rsid w:val="1BD9704B"/>
    <w:rsid w:val="1BED0AD9"/>
    <w:rsid w:val="1C1552E7"/>
    <w:rsid w:val="1C51236D"/>
    <w:rsid w:val="1CA90EA4"/>
    <w:rsid w:val="1CE845FF"/>
    <w:rsid w:val="1D4F0126"/>
    <w:rsid w:val="1D9A5A47"/>
    <w:rsid w:val="1DA23D41"/>
    <w:rsid w:val="1DBB00DD"/>
    <w:rsid w:val="1DCB1624"/>
    <w:rsid w:val="1DEA066D"/>
    <w:rsid w:val="1DF443A0"/>
    <w:rsid w:val="1DFD14A7"/>
    <w:rsid w:val="1E522E75"/>
    <w:rsid w:val="1E5666BC"/>
    <w:rsid w:val="1EB7274A"/>
    <w:rsid w:val="1F026649"/>
    <w:rsid w:val="1F234F3D"/>
    <w:rsid w:val="1F316F2E"/>
    <w:rsid w:val="1F394761"/>
    <w:rsid w:val="1F906AC3"/>
    <w:rsid w:val="1F9D242B"/>
    <w:rsid w:val="1FC55C88"/>
    <w:rsid w:val="1FD004F5"/>
    <w:rsid w:val="2023019C"/>
    <w:rsid w:val="20501E36"/>
    <w:rsid w:val="20A2387B"/>
    <w:rsid w:val="20E57FD0"/>
    <w:rsid w:val="20EA3839"/>
    <w:rsid w:val="210668C5"/>
    <w:rsid w:val="211368E4"/>
    <w:rsid w:val="21153DC5"/>
    <w:rsid w:val="213D31FC"/>
    <w:rsid w:val="215C4736"/>
    <w:rsid w:val="216C6FA0"/>
    <w:rsid w:val="21803802"/>
    <w:rsid w:val="219A2455"/>
    <w:rsid w:val="21D56297"/>
    <w:rsid w:val="21D90F4D"/>
    <w:rsid w:val="21DE339D"/>
    <w:rsid w:val="21F93D33"/>
    <w:rsid w:val="22085E65"/>
    <w:rsid w:val="22602004"/>
    <w:rsid w:val="229E7104"/>
    <w:rsid w:val="22B83BEE"/>
    <w:rsid w:val="22F56BF1"/>
    <w:rsid w:val="23255A39"/>
    <w:rsid w:val="23586002"/>
    <w:rsid w:val="23AB56A2"/>
    <w:rsid w:val="23FA61B8"/>
    <w:rsid w:val="241C1B65"/>
    <w:rsid w:val="241C7962"/>
    <w:rsid w:val="24415E66"/>
    <w:rsid w:val="24436A23"/>
    <w:rsid w:val="245060A9"/>
    <w:rsid w:val="246D1622"/>
    <w:rsid w:val="247A5215"/>
    <w:rsid w:val="24883766"/>
    <w:rsid w:val="249E6E14"/>
    <w:rsid w:val="24B26E1F"/>
    <w:rsid w:val="24C148B0"/>
    <w:rsid w:val="24C5387B"/>
    <w:rsid w:val="24E76A0D"/>
    <w:rsid w:val="253D487F"/>
    <w:rsid w:val="259C1492"/>
    <w:rsid w:val="25CA2906"/>
    <w:rsid w:val="25ED0053"/>
    <w:rsid w:val="260D24A3"/>
    <w:rsid w:val="261D2E9E"/>
    <w:rsid w:val="264439EB"/>
    <w:rsid w:val="266B541C"/>
    <w:rsid w:val="26895B50"/>
    <w:rsid w:val="26A61FB0"/>
    <w:rsid w:val="26AE69AC"/>
    <w:rsid w:val="26B57FEB"/>
    <w:rsid w:val="26BB5A5B"/>
    <w:rsid w:val="26D72D67"/>
    <w:rsid w:val="273B3040"/>
    <w:rsid w:val="274213BA"/>
    <w:rsid w:val="277D0F63"/>
    <w:rsid w:val="27B626C7"/>
    <w:rsid w:val="27D019B8"/>
    <w:rsid w:val="27F05BD9"/>
    <w:rsid w:val="27F56137"/>
    <w:rsid w:val="280276BA"/>
    <w:rsid w:val="28133675"/>
    <w:rsid w:val="281446BD"/>
    <w:rsid w:val="284101E2"/>
    <w:rsid w:val="28546167"/>
    <w:rsid w:val="285A74F6"/>
    <w:rsid w:val="28755D2E"/>
    <w:rsid w:val="2888032F"/>
    <w:rsid w:val="28A86CC9"/>
    <w:rsid w:val="290A4A78"/>
    <w:rsid w:val="294F4EA4"/>
    <w:rsid w:val="29597382"/>
    <w:rsid w:val="29671ECA"/>
    <w:rsid w:val="29870C30"/>
    <w:rsid w:val="298F31CF"/>
    <w:rsid w:val="29932CBF"/>
    <w:rsid w:val="29F64FFC"/>
    <w:rsid w:val="29F80CAF"/>
    <w:rsid w:val="2A310BBE"/>
    <w:rsid w:val="2A34012A"/>
    <w:rsid w:val="2A4E6BE6"/>
    <w:rsid w:val="2A5561C7"/>
    <w:rsid w:val="2A6B32C0"/>
    <w:rsid w:val="2A9D2E3B"/>
    <w:rsid w:val="2AB94F70"/>
    <w:rsid w:val="2BB711FB"/>
    <w:rsid w:val="2BB871F9"/>
    <w:rsid w:val="2BC52ED8"/>
    <w:rsid w:val="2BC9433B"/>
    <w:rsid w:val="2BCF3D24"/>
    <w:rsid w:val="2BD355F5"/>
    <w:rsid w:val="2BEE5FD0"/>
    <w:rsid w:val="2C2E6CCF"/>
    <w:rsid w:val="2C2F10E3"/>
    <w:rsid w:val="2C38399C"/>
    <w:rsid w:val="2C785CA5"/>
    <w:rsid w:val="2C8272B1"/>
    <w:rsid w:val="2C8E776E"/>
    <w:rsid w:val="2CB73169"/>
    <w:rsid w:val="2CC979D8"/>
    <w:rsid w:val="2D053ED4"/>
    <w:rsid w:val="2D1759B5"/>
    <w:rsid w:val="2D6230D5"/>
    <w:rsid w:val="2D630BFB"/>
    <w:rsid w:val="2D7E77E3"/>
    <w:rsid w:val="2D837B42"/>
    <w:rsid w:val="2D937732"/>
    <w:rsid w:val="2DAA6BF6"/>
    <w:rsid w:val="2DB256DE"/>
    <w:rsid w:val="2DC25921"/>
    <w:rsid w:val="2DDF4725"/>
    <w:rsid w:val="2E140276"/>
    <w:rsid w:val="2E6C62EF"/>
    <w:rsid w:val="2E787516"/>
    <w:rsid w:val="2EAA1167"/>
    <w:rsid w:val="2EFC4763"/>
    <w:rsid w:val="2F3E0930"/>
    <w:rsid w:val="2F77098D"/>
    <w:rsid w:val="2FD12F62"/>
    <w:rsid w:val="2FEA115F"/>
    <w:rsid w:val="30321BD0"/>
    <w:rsid w:val="3045283A"/>
    <w:rsid w:val="30487BC6"/>
    <w:rsid w:val="30937DC6"/>
    <w:rsid w:val="30BF25EC"/>
    <w:rsid w:val="30C52FDC"/>
    <w:rsid w:val="30EE2ED1"/>
    <w:rsid w:val="31213A03"/>
    <w:rsid w:val="3128523A"/>
    <w:rsid w:val="31514384"/>
    <w:rsid w:val="316118F5"/>
    <w:rsid w:val="31907A7C"/>
    <w:rsid w:val="31A05541"/>
    <w:rsid w:val="31A16195"/>
    <w:rsid w:val="31AD4B3A"/>
    <w:rsid w:val="31C205E6"/>
    <w:rsid w:val="31CD2AE7"/>
    <w:rsid w:val="31E167A3"/>
    <w:rsid w:val="32002EBC"/>
    <w:rsid w:val="32535008"/>
    <w:rsid w:val="328A4354"/>
    <w:rsid w:val="32B21A4F"/>
    <w:rsid w:val="32C739DA"/>
    <w:rsid w:val="32CC7242"/>
    <w:rsid w:val="32D72CC9"/>
    <w:rsid w:val="330707FF"/>
    <w:rsid w:val="33294630"/>
    <w:rsid w:val="336F02F9"/>
    <w:rsid w:val="33A87367"/>
    <w:rsid w:val="33DE722D"/>
    <w:rsid w:val="33FD3B57"/>
    <w:rsid w:val="34390907"/>
    <w:rsid w:val="345656C7"/>
    <w:rsid w:val="346F4329"/>
    <w:rsid w:val="34847DE1"/>
    <w:rsid w:val="348E47AF"/>
    <w:rsid w:val="3491604D"/>
    <w:rsid w:val="34A93539"/>
    <w:rsid w:val="34C226AB"/>
    <w:rsid w:val="34D61C7F"/>
    <w:rsid w:val="34E55B43"/>
    <w:rsid w:val="351D61DA"/>
    <w:rsid w:val="352C502F"/>
    <w:rsid w:val="3558096E"/>
    <w:rsid w:val="35A65B28"/>
    <w:rsid w:val="35E87EEF"/>
    <w:rsid w:val="36267B83"/>
    <w:rsid w:val="36DD1A1E"/>
    <w:rsid w:val="36E27034"/>
    <w:rsid w:val="36F34D9D"/>
    <w:rsid w:val="37023232"/>
    <w:rsid w:val="370D18C7"/>
    <w:rsid w:val="37441A9D"/>
    <w:rsid w:val="37465815"/>
    <w:rsid w:val="37632FF9"/>
    <w:rsid w:val="37856858"/>
    <w:rsid w:val="379B7397"/>
    <w:rsid w:val="37A6017B"/>
    <w:rsid w:val="37A75C4C"/>
    <w:rsid w:val="37DE5A4E"/>
    <w:rsid w:val="383D5549"/>
    <w:rsid w:val="38A33996"/>
    <w:rsid w:val="38B60778"/>
    <w:rsid w:val="390019F4"/>
    <w:rsid w:val="39052747"/>
    <w:rsid w:val="39161217"/>
    <w:rsid w:val="39930ABA"/>
    <w:rsid w:val="39EB6FE9"/>
    <w:rsid w:val="39F25DC0"/>
    <w:rsid w:val="39FD5F33"/>
    <w:rsid w:val="3A183629"/>
    <w:rsid w:val="3A8F74D3"/>
    <w:rsid w:val="3AA7179F"/>
    <w:rsid w:val="3AAD7141"/>
    <w:rsid w:val="3ABC7B9C"/>
    <w:rsid w:val="3AC23405"/>
    <w:rsid w:val="3AFE1F63"/>
    <w:rsid w:val="3B567D5C"/>
    <w:rsid w:val="3B581673"/>
    <w:rsid w:val="3B710987"/>
    <w:rsid w:val="3B737EDE"/>
    <w:rsid w:val="3BA448B8"/>
    <w:rsid w:val="3BB27D6A"/>
    <w:rsid w:val="3BBB7913"/>
    <w:rsid w:val="3BF53645"/>
    <w:rsid w:val="3C265C15"/>
    <w:rsid w:val="3C327B40"/>
    <w:rsid w:val="3C390DEE"/>
    <w:rsid w:val="3C4B3ABA"/>
    <w:rsid w:val="3C5C4616"/>
    <w:rsid w:val="3C95063F"/>
    <w:rsid w:val="3CB57CB2"/>
    <w:rsid w:val="3CBB45AF"/>
    <w:rsid w:val="3CC50F8A"/>
    <w:rsid w:val="3CDE029E"/>
    <w:rsid w:val="3CEA09F1"/>
    <w:rsid w:val="3CEA7FFA"/>
    <w:rsid w:val="3D875323"/>
    <w:rsid w:val="3DBD2B21"/>
    <w:rsid w:val="3DE418E4"/>
    <w:rsid w:val="3DF24001"/>
    <w:rsid w:val="3E3143FD"/>
    <w:rsid w:val="3E522CF1"/>
    <w:rsid w:val="3E570B03"/>
    <w:rsid w:val="3E6842C3"/>
    <w:rsid w:val="3EE245A2"/>
    <w:rsid w:val="3EF94F1B"/>
    <w:rsid w:val="3F3E5024"/>
    <w:rsid w:val="3F473ED8"/>
    <w:rsid w:val="3F4C624D"/>
    <w:rsid w:val="3F637905"/>
    <w:rsid w:val="3F802AF8"/>
    <w:rsid w:val="3F973859"/>
    <w:rsid w:val="3FB670CD"/>
    <w:rsid w:val="3FED0FAD"/>
    <w:rsid w:val="3FFD74CE"/>
    <w:rsid w:val="402A5643"/>
    <w:rsid w:val="403726CB"/>
    <w:rsid w:val="405C2216"/>
    <w:rsid w:val="407C5E04"/>
    <w:rsid w:val="407F6A5C"/>
    <w:rsid w:val="40830B77"/>
    <w:rsid w:val="40B9577F"/>
    <w:rsid w:val="40BE46D9"/>
    <w:rsid w:val="410460FD"/>
    <w:rsid w:val="41735459"/>
    <w:rsid w:val="417A0F43"/>
    <w:rsid w:val="41864213"/>
    <w:rsid w:val="419E624E"/>
    <w:rsid w:val="41C04416"/>
    <w:rsid w:val="41F04C62"/>
    <w:rsid w:val="42021791"/>
    <w:rsid w:val="421B1721"/>
    <w:rsid w:val="42521512"/>
    <w:rsid w:val="425B34CD"/>
    <w:rsid w:val="42651A1B"/>
    <w:rsid w:val="427F7E2D"/>
    <w:rsid w:val="42A67168"/>
    <w:rsid w:val="43470FC7"/>
    <w:rsid w:val="434A3F97"/>
    <w:rsid w:val="434C0829"/>
    <w:rsid w:val="43553165"/>
    <w:rsid w:val="438A4CDB"/>
    <w:rsid w:val="43914F51"/>
    <w:rsid w:val="439C056B"/>
    <w:rsid w:val="43B6162D"/>
    <w:rsid w:val="43DF729C"/>
    <w:rsid w:val="43F46B13"/>
    <w:rsid w:val="445A46AE"/>
    <w:rsid w:val="446612A5"/>
    <w:rsid w:val="448B0D0B"/>
    <w:rsid w:val="449B63D0"/>
    <w:rsid w:val="44CF2576"/>
    <w:rsid w:val="44FF7EAB"/>
    <w:rsid w:val="451231DA"/>
    <w:rsid w:val="4554139A"/>
    <w:rsid w:val="456B6447"/>
    <w:rsid w:val="45790B64"/>
    <w:rsid w:val="459376CB"/>
    <w:rsid w:val="459C04D2"/>
    <w:rsid w:val="45B002FD"/>
    <w:rsid w:val="45B94B92"/>
    <w:rsid w:val="45ED2898"/>
    <w:rsid w:val="465A331F"/>
    <w:rsid w:val="466467CB"/>
    <w:rsid w:val="466C3EAD"/>
    <w:rsid w:val="46A75BA4"/>
    <w:rsid w:val="46BB04B2"/>
    <w:rsid w:val="46DE44C9"/>
    <w:rsid w:val="470A0911"/>
    <w:rsid w:val="47246DE4"/>
    <w:rsid w:val="475A1D80"/>
    <w:rsid w:val="475A6773"/>
    <w:rsid w:val="47857C94"/>
    <w:rsid w:val="478A7058"/>
    <w:rsid w:val="47A345BE"/>
    <w:rsid w:val="47B84BE4"/>
    <w:rsid w:val="47D637CC"/>
    <w:rsid w:val="48054931"/>
    <w:rsid w:val="4823125B"/>
    <w:rsid w:val="4828559D"/>
    <w:rsid w:val="483F4329"/>
    <w:rsid w:val="485F744D"/>
    <w:rsid w:val="4872331B"/>
    <w:rsid w:val="48A236B1"/>
    <w:rsid w:val="48AF3893"/>
    <w:rsid w:val="48C540C0"/>
    <w:rsid w:val="48CF0379"/>
    <w:rsid w:val="48E46C3C"/>
    <w:rsid w:val="48EA1863"/>
    <w:rsid w:val="48F826E7"/>
    <w:rsid w:val="48F92149"/>
    <w:rsid w:val="4907292A"/>
    <w:rsid w:val="49331971"/>
    <w:rsid w:val="49B8032B"/>
    <w:rsid w:val="49BE748D"/>
    <w:rsid w:val="49C64593"/>
    <w:rsid w:val="49C921A5"/>
    <w:rsid w:val="4A2837B7"/>
    <w:rsid w:val="4A2B43F6"/>
    <w:rsid w:val="4A3E237C"/>
    <w:rsid w:val="4A657908"/>
    <w:rsid w:val="4A963F58"/>
    <w:rsid w:val="4A985F30"/>
    <w:rsid w:val="4AC426CF"/>
    <w:rsid w:val="4AE26D2B"/>
    <w:rsid w:val="4B0B6702"/>
    <w:rsid w:val="4B6B49B0"/>
    <w:rsid w:val="4B7C41F4"/>
    <w:rsid w:val="4B9767DE"/>
    <w:rsid w:val="4B9D159F"/>
    <w:rsid w:val="4BB23021"/>
    <w:rsid w:val="4C072EC0"/>
    <w:rsid w:val="4C3B3017"/>
    <w:rsid w:val="4C687B84"/>
    <w:rsid w:val="4C9E5354"/>
    <w:rsid w:val="4CC41E4C"/>
    <w:rsid w:val="4CE10AA7"/>
    <w:rsid w:val="4D331F40"/>
    <w:rsid w:val="4D5640CC"/>
    <w:rsid w:val="4D5A4F6C"/>
    <w:rsid w:val="4D6C7200"/>
    <w:rsid w:val="4D7D5273"/>
    <w:rsid w:val="4DB86780"/>
    <w:rsid w:val="4DD24E5C"/>
    <w:rsid w:val="4E086F29"/>
    <w:rsid w:val="4EC2357B"/>
    <w:rsid w:val="4EC74FB5"/>
    <w:rsid w:val="4ED15834"/>
    <w:rsid w:val="4ED71FE1"/>
    <w:rsid w:val="4EDD2163"/>
    <w:rsid w:val="4EE679B3"/>
    <w:rsid w:val="4F0B0137"/>
    <w:rsid w:val="4F737FDA"/>
    <w:rsid w:val="4F86189D"/>
    <w:rsid w:val="4FA84F80"/>
    <w:rsid w:val="4FD5538E"/>
    <w:rsid w:val="501F77B8"/>
    <w:rsid w:val="50362F73"/>
    <w:rsid w:val="5055143E"/>
    <w:rsid w:val="506D39BB"/>
    <w:rsid w:val="50962F12"/>
    <w:rsid w:val="50F25DC5"/>
    <w:rsid w:val="510559A1"/>
    <w:rsid w:val="510D1EA9"/>
    <w:rsid w:val="51173541"/>
    <w:rsid w:val="513F7105"/>
    <w:rsid w:val="51497F84"/>
    <w:rsid w:val="514E7348"/>
    <w:rsid w:val="517D7C2E"/>
    <w:rsid w:val="518C2F36"/>
    <w:rsid w:val="51D11D27"/>
    <w:rsid w:val="51DC220F"/>
    <w:rsid w:val="51F95A3E"/>
    <w:rsid w:val="524B7D2C"/>
    <w:rsid w:val="526249F0"/>
    <w:rsid w:val="52734B8D"/>
    <w:rsid w:val="52DB4AB5"/>
    <w:rsid w:val="53051C89"/>
    <w:rsid w:val="533802B0"/>
    <w:rsid w:val="533D68E5"/>
    <w:rsid w:val="534513A2"/>
    <w:rsid w:val="534A3B3F"/>
    <w:rsid w:val="53B33E09"/>
    <w:rsid w:val="53C66AC7"/>
    <w:rsid w:val="53C90F08"/>
    <w:rsid w:val="53CC74C9"/>
    <w:rsid w:val="53E93358"/>
    <w:rsid w:val="53F73CC7"/>
    <w:rsid w:val="53FD1738"/>
    <w:rsid w:val="540168F4"/>
    <w:rsid w:val="54404B1F"/>
    <w:rsid w:val="54596122"/>
    <w:rsid w:val="549C4376"/>
    <w:rsid w:val="54A31759"/>
    <w:rsid w:val="54B27BEE"/>
    <w:rsid w:val="553E5C20"/>
    <w:rsid w:val="559B2B61"/>
    <w:rsid w:val="55BE0F68"/>
    <w:rsid w:val="56091A90"/>
    <w:rsid w:val="56150435"/>
    <w:rsid w:val="567B2014"/>
    <w:rsid w:val="56B62190"/>
    <w:rsid w:val="56B91708"/>
    <w:rsid w:val="56E84B73"/>
    <w:rsid w:val="572B1EDA"/>
    <w:rsid w:val="576A0C54"/>
    <w:rsid w:val="576D604E"/>
    <w:rsid w:val="57824095"/>
    <w:rsid w:val="57981DED"/>
    <w:rsid w:val="57C93BCD"/>
    <w:rsid w:val="57E31A57"/>
    <w:rsid w:val="57FF75EE"/>
    <w:rsid w:val="583F4939"/>
    <w:rsid w:val="5873396D"/>
    <w:rsid w:val="588F4167"/>
    <w:rsid w:val="58A452DE"/>
    <w:rsid w:val="58AB61B0"/>
    <w:rsid w:val="58B55EFF"/>
    <w:rsid w:val="58B71C77"/>
    <w:rsid w:val="59707B69"/>
    <w:rsid w:val="59AD6BD6"/>
    <w:rsid w:val="59C20335"/>
    <w:rsid w:val="5A324166"/>
    <w:rsid w:val="5A7B61B0"/>
    <w:rsid w:val="5A81078E"/>
    <w:rsid w:val="5AA57AC4"/>
    <w:rsid w:val="5AB87F28"/>
    <w:rsid w:val="5AE70DAB"/>
    <w:rsid w:val="5B0171D9"/>
    <w:rsid w:val="5B304642"/>
    <w:rsid w:val="5B3836D4"/>
    <w:rsid w:val="5B637E94"/>
    <w:rsid w:val="5BA1276A"/>
    <w:rsid w:val="5BB4249E"/>
    <w:rsid w:val="5BF82781"/>
    <w:rsid w:val="5C4D583F"/>
    <w:rsid w:val="5C586C2F"/>
    <w:rsid w:val="5C8C074B"/>
    <w:rsid w:val="5CAA564F"/>
    <w:rsid w:val="5CC11316"/>
    <w:rsid w:val="5CFC2F9C"/>
    <w:rsid w:val="5D38453A"/>
    <w:rsid w:val="5D5104A8"/>
    <w:rsid w:val="5D5932FD"/>
    <w:rsid w:val="5D690662"/>
    <w:rsid w:val="5D700D5D"/>
    <w:rsid w:val="5D8B5D7A"/>
    <w:rsid w:val="5DB04EE7"/>
    <w:rsid w:val="5DD34B6C"/>
    <w:rsid w:val="5DD5494D"/>
    <w:rsid w:val="5DF106FD"/>
    <w:rsid w:val="5DF36E65"/>
    <w:rsid w:val="5DFE66D8"/>
    <w:rsid w:val="5EA42C9D"/>
    <w:rsid w:val="5F15437F"/>
    <w:rsid w:val="5F1C6CD8"/>
    <w:rsid w:val="5F250A9E"/>
    <w:rsid w:val="5F2B2A77"/>
    <w:rsid w:val="5F6D40E4"/>
    <w:rsid w:val="5F820AF5"/>
    <w:rsid w:val="5F906D7E"/>
    <w:rsid w:val="5FCE0484"/>
    <w:rsid w:val="5FFF5CB2"/>
    <w:rsid w:val="600F2969"/>
    <w:rsid w:val="603E704B"/>
    <w:rsid w:val="605D1A2A"/>
    <w:rsid w:val="60C413D5"/>
    <w:rsid w:val="60D65D34"/>
    <w:rsid w:val="60D90E61"/>
    <w:rsid w:val="60FA4DF7"/>
    <w:rsid w:val="60FB5EA4"/>
    <w:rsid w:val="61190D78"/>
    <w:rsid w:val="611D660A"/>
    <w:rsid w:val="61453EE2"/>
    <w:rsid w:val="617A1B7C"/>
    <w:rsid w:val="61AE798F"/>
    <w:rsid w:val="61F44B90"/>
    <w:rsid w:val="61FD17D3"/>
    <w:rsid w:val="620431BF"/>
    <w:rsid w:val="620E7DE8"/>
    <w:rsid w:val="62577341"/>
    <w:rsid w:val="627D2CBF"/>
    <w:rsid w:val="628232F6"/>
    <w:rsid w:val="63344891"/>
    <w:rsid w:val="637B5CCC"/>
    <w:rsid w:val="63A1155A"/>
    <w:rsid w:val="63A86D8C"/>
    <w:rsid w:val="63BF40D6"/>
    <w:rsid w:val="64134BFB"/>
    <w:rsid w:val="642F3009"/>
    <w:rsid w:val="64736EE5"/>
    <w:rsid w:val="647E5D3F"/>
    <w:rsid w:val="64805613"/>
    <w:rsid w:val="64B2525F"/>
    <w:rsid w:val="64DF3ED8"/>
    <w:rsid w:val="64F93617"/>
    <w:rsid w:val="65650F65"/>
    <w:rsid w:val="6593050B"/>
    <w:rsid w:val="65B12427"/>
    <w:rsid w:val="65B512EC"/>
    <w:rsid w:val="65BF660F"/>
    <w:rsid w:val="664F5355"/>
    <w:rsid w:val="665628C8"/>
    <w:rsid w:val="66665DFE"/>
    <w:rsid w:val="66754F1F"/>
    <w:rsid w:val="667A42E4"/>
    <w:rsid w:val="66A31A8D"/>
    <w:rsid w:val="66A72826"/>
    <w:rsid w:val="66C863B8"/>
    <w:rsid w:val="670154D9"/>
    <w:rsid w:val="6723175B"/>
    <w:rsid w:val="675E59B4"/>
    <w:rsid w:val="67681373"/>
    <w:rsid w:val="678426FC"/>
    <w:rsid w:val="67BF28F6"/>
    <w:rsid w:val="67DA14DE"/>
    <w:rsid w:val="67F866D5"/>
    <w:rsid w:val="68117A63"/>
    <w:rsid w:val="6832131A"/>
    <w:rsid w:val="688B4586"/>
    <w:rsid w:val="689E250C"/>
    <w:rsid w:val="68AB26E8"/>
    <w:rsid w:val="68C03F09"/>
    <w:rsid w:val="68CD2DF1"/>
    <w:rsid w:val="68D66D1E"/>
    <w:rsid w:val="68DC1286"/>
    <w:rsid w:val="6908207B"/>
    <w:rsid w:val="696077C1"/>
    <w:rsid w:val="69675EB2"/>
    <w:rsid w:val="69782D5D"/>
    <w:rsid w:val="69AF4CE2"/>
    <w:rsid w:val="69B772B0"/>
    <w:rsid w:val="69CE5022"/>
    <w:rsid w:val="6A1832ED"/>
    <w:rsid w:val="6A1B74D8"/>
    <w:rsid w:val="6A2B7DCF"/>
    <w:rsid w:val="6A941E18"/>
    <w:rsid w:val="6AA302AD"/>
    <w:rsid w:val="6AA33E09"/>
    <w:rsid w:val="6AD40C54"/>
    <w:rsid w:val="6AEB61E4"/>
    <w:rsid w:val="6B685053"/>
    <w:rsid w:val="6B737C7F"/>
    <w:rsid w:val="6B78462D"/>
    <w:rsid w:val="6B8D1753"/>
    <w:rsid w:val="6BF9283F"/>
    <w:rsid w:val="6C295312"/>
    <w:rsid w:val="6C4258A4"/>
    <w:rsid w:val="6C532E82"/>
    <w:rsid w:val="6C681906"/>
    <w:rsid w:val="6C7D68DC"/>
    <w:rsid w:val="6C831645"/>
    <w:rsid w:val="6C8C456A"/>
    <w:rsid w:val="6C916F80"/>
    <w:rsid w:val="6CD52274"/>
    <w:rsid w:val="6CF342D7"/>
    <w:rsid w:val="6D4573FA"/>
    <w:rsid w:val="6D5E495F"/>
    <w:rsid w:val="6DDB2D59"/>
    <w:rsid w:val="6DEE35FD"/>
    <w:rsid w:val="6DF75DEC"/>
    <w:rsid w:val="6E010407"/>
    <w:rsid w:val="6E296D1B"/>
    <w:rsid w:val="6E337B9A"/>
    <w:rsid w:val="6E387E9E"/>
    <w:rsid w:val="6E427DDD"/>
    <w:rsid w:val="6E44639A"/>
    <w:rsid w:val="6E5E49FE"/>
    <w:rsid w:val="6E8E5D4F"/>
    <w:rsid w:val="6EFC61DE"/>
    <w:rsid w:val="6F0568D8"/>
    <w:rsid w:val="6F131241"/>
    <w:rsid w:val="6F15211F"/>
    <w:rsid w:val="6F3B4F17"/>
    <w:rsid w:val="6F40256E"/>
    <w:rsid w:val="6F4E70D4"/>
    <w:rsid w:val="6F4F22D3"/>
    <w:rsid w:val="6F6A3147"/>
    <w:rsid w:val="6FE32EFA"/>
    <w:rsid w:val="70156B96"/>
    <w:rsid w:val="7016701A"/>
    <w:rsid w:val="70333E81"/>
    <w:rsid w:val="706A35E3"/>
    <w:rsid w:val="70761FC0"/>
    <w:rsid w:val="70C83051"/>
    <w:rsid w:val="70F81D2B"/>
    <w:rsid w:val="711C570B"/>
    <w:rsid w:val="711C6491"/>
    <w:rsid w:val="714231E0"/>
    <w:rsid w:val="717F583A"/>
    <w:rsid w:val="7251017E"/>
    <w:rsid w:val="72747DC5"/>
    <w:rsid w:val="728617DB"/>
    <w:rsid w:val="72AF5315"/>
    <w:rsid w:val="72C214EC"/>
    <w:rsid w:val="72CC236B"/>
    <w:rsid w:val="7310306D"/>
    <w:rsid w:val="732D105C"/>
    <w:rsid w:val="733E5DFC"/>
    <w:rsid w:val="73683E42"/>
    <w:rsid w:val="73722DEC"/>
    <w:rsid w:val="738467A2"/>
    <w:rsid w:val="73B1716D"/>
    <w:rsid w:val="7402235F"/>
    <w:rsid w:val="744A481A"/>
    <w:rsid w:val="7460720F"/>
    <w:rsid w:val="747C1D20"/>
    <w:rsid w:val="74CB75FE"/>
    <w:rsid w:val="74CC21AE"/>
    <w:rsid w:val="74F8600D"/>
    <w:rsid w:val="7509188F"/>
    <w:rsid w:val="753B3779"/>
    <w:rsid w:val="75882579"/>
    <w:rsid w:val="75976C60"/>
    <w:rsid w:val="759D1028"/>
    <w:rsid w:val="75B551D4"/>
    <w:rsid w:val="75CE60B8"/>
    <w:rsid w:val="75DB4D9F"/>
    <w:rsid w:val="76037060"/>
    <w:rsid w:val="761E4348"/>
    <w:rsid w:val="76243367"/>
    <w:rsid w:val="768725EE"/>
    <w:rsid w:val="76AC75D5"/>
    <w:rsid w:val="76B92C06"/>
    <w:rsid w:val="76C9623B"/>
    <w:rsid w:val="76D81BF1"/>
    <w:rsid w:val="770339C1"/>
    <w:rsid w:val="77185B7F"/>
    <w:rsid w:val="77713434"/>
    <w:rsid w:val="77C622B3"/>
    <w:rsid w:val="77DC7C90"/>
    <w:rsid w:val="780E0EE8"/>
    <w:rsid w:val="782A21B3"/>
    <w:rsid w:val="78322C70"/>
    <w:rsid w:val="787539F2"/>
    <w:rsid w:val="788E69E8"/>
    <w:rsid w:val="78921C61"/>
    <w:rsid w:val="78A43425"/>
    <w:rsid w:val="78E14D66"/>
    <w:rsid w:val="78E75809"/>
    <w:rsid w:val="79142376"/>
    <w:rsid w:val="79440260"/>
    <w:rsid w:val="79464B18"/>
    <w:rsid w:val="79562F82"/>
    <w:rsid w:val="795D2751"/>
    <w:rsid w:val="7984574E"/>
    <w:rsid w:val="79AC0C9E"/>
    <w:rsid w:val="79F30FA6"/>
    <w:rsid w:val="7A190E29"/>
    <w:rsid w:val="7A1F0098"/>
    <w:rsid w:val="7A242B0F"/>
    <w:rsid w:val="7A3F2D58"/>
    <w:rsid w:val="7A5F0B9A"/>
    <w:rsid w:val="7AAF67FA"/>
    <w:rsid w:val="7AEF4710"/>
    <w:rsid w:val="7AFA37C9"/>
    <w:rsid w:val="7AFD7566"/>
    <w:rsid w:val="7B58260F"/>
    <w:rsid w:val="7B6A4196"/>
    <w:rsid w:val="7B785A7F"/>
    <w:rsid w:val="7B7A6E08"/>
    <w:rsid w:val="7B7C18C0"/>
    <w:rsid w:val="7B851309"/>
    <w:rsid w:val="7BD55DED"/>
    <w:rsid w:val="7C3601CE"/>
    <w:rsid w:val="7C826702"/>
    <w:rsid w:val="7C905799"/>
    <w:rsid w:val="7CE0713F"/>
    <w:rsid w:val="7CFF1186"/>
    <w:rsid w:val="7D32101D"/>
    <w:rsid w:val="7D3B70ED"/>
    <w:rsid w:val="7D434C0F"/>
    <w:rsid w:val="7D434D57"/>
    <w:rsid w:val="7D6647F8"/>
    <w:rsid w:val="7D6C6195"/>
    <w:rsid w:val="7D785165"/>
    <w:rsid w:val="7D8E2708"/>
    <w:rsid w:val="7D965A4F"/>
    <w:rsid w:val="7DAF3428"/>
    <w:rsid w:val="7E023F3D"/>
    <w:rsid w:val="7E350DC4"/>
    <w:rsid w:val="7E4C2B46"/>
    <w:rsid w:val="7E4C610E"/>
    <w:rsid w:val="7E9534E5"/>
    <w:rsid w:val="7E956AB7"/>
    <w:rsid w:val="7EB0669D"/>
    <w:rsid w:val="7F231565"/>
    <w:rsid w:val="7F2A644F"/>
    <w:rsid w:val="7F4A4D43"/>
    <w:rsid w:val="7F7E15A8"/>
    <w:rsid w:val="7F8244DD"/>
    <w:rsid w:val="7FC00B62"/>
    <w:rsid w:val="7FE707E4"/>
    <w:rsid w:val="7FEC7013"/>
    <w:rsid w:val="7FF64583"/>
    <w:rsid w:val="7FFA0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nhideWhenUsed="0" w:uiPriority="99"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pageBreakBefore w:val="0"/>
      <w:widowControl w:val="0"/>
      <w:kinsoku/>
      <w:wordWrap/>
      <w:topLinePunct w:val="0"/>
      <w:bidi w:val="0"/>
      <w:adjustRightInd w:val="0"/>
      <w:snapToGrid/>
      <w:spacing w:line="500" w:lineRule="exact"/>
      <w:ind w:firstLine="0" w:firstLineChars="200"/>
      <w:jc w:val="left"/>
    </w:pPr>
    <w:rPr>
      <w:rFonts w:ascii="宋体" w:hAnsi="宋体" w:eastAsia="宋体" w:cs="Times New Roman"/>
      <w:kern w:val="2"/>
      <w:sz w:val="28"/>
      <w:szCs w:val="24"/>
      <w:lang w:val="en-US" w:eastAsia="zh-CN" w:bidi="ar-SA"/>
    </w:rPr>
  </w:style>
  <w:style w:type="paragraph" w:styleId="2">
    <w:name w:val="heading 1"/>
    <w:basedOn w:val="1"/>
    <w:next w:val="1"/>
    <w:link w:val="42"/>
    <w:autoRedefine/>
    <w:qFormat/>
    <w:uiPriority w:val="0"/>
    <w:pPr>
      <w:keepLines/>
      <w:pageBreakBefore/>
      <w:numPr>
        <w:ilvl w:val="0"/>
        <w:numId w:val="1"/>
      </w:numPr>
      <w:tabs>
        <w:tab w:val="left" w:pos="5220"/>
        <w:tab w:val="clear" w:pos="0"/>
      </w:tabs>
      <w:spacing w:before="50" w:beforeLines="50" w:after="50" w:afterLines="50" w:line="240" w:lineRule="auto"/>
      <w:ind w:firstLineChars="0"/>
      <w:jc w:val="center"/>
      <w:outlineLvl w:val="0"/>
    </w:pPr>
    <w:rPr>
      <w:rFonts w:ascii="黑体" w:hAnsi="黑体" w:eastAsia="黑体"/>
      <w:b/>
      <w:kern w:val="3"/>
      <w:sz w:val="36"/>
      <w:szCs w:val="44"/>
    </w:rPr>
  </w:style>
  <w:style w:type="paragraph" w:styleId="3">
    <w:name w:val="heading 2"/>
    <w:basedOn w:val="1"/>
    <w:next w:val="1"/>
    <w:link w:val="43"/>
    <w:autoRedefine/>
    <w:qFormat/>
    <w:uiPriority w:val="0"/>
    <w:pPr>
      <w:keepNext/>
      <w:keepLines/>
      <w:numPr>
        <w:ilvl w:val="1"/>
        <w:numId w:val="1"/>
      </w:numPr>
      <w:tabs>
        <w:tab w:val="left" w:pos="0"/>
      </w:tabs>
      <w:snapToGrid w:val="0"/>
      <w:spacing w:before="50" w:beforeLines="50" w:after="50" w:afterLines="50" w:line="240" w:lineRule="auto"/>
      <w:ind w:firstLineChars="0"/>
      <w:outlineLvl w:val="1"/>
    </w:pPr>
    <w:rPr>
      <w:rFonts w:ascii="黑体" w:hAnsi="黑体" w:eastAsia="黑体"/>
      <w:bCs/>
      <w:sz w:val="32"/>
      <w:szCs w:val="36"/>
    </w:rPr>
  </w:style>
  <w:style w:type="paragraph" w:styleId="4">
    <w:name w:val="heading 3"/>
    <w:basedOn w:val="1"/>
    <w:next w:val="1"/>
    <w:link w:val="49"/>
    <w:autoRedefine/>
    <w:qFormat/>
    <w:uiPriority w:val="9"/>
    <w:pPr>
      <w:numPr>
        <w:ilvl w:val="2"/>
        <w:numId w:val="1"/>
      </w:numPr>
      <w:snapToGrid w:val="0"/>
      <w:spacing w:before="50" w:beforeLines="50" w:after="50" w:afterLines="50" w:line="240" w:lineRule="auto"/>
      <w:ind w:firstLineChars="0"/>
      <w:outlineLvl w:val="2"/>
    </w:pPr>
    <w:rPr>
      <w:rFonts w:ascii="宋体" w:hAnsi="宋体" w:eastAsia="宋体"/>
      <w:b/>
      <w:sz w:val="30"/>
    </w:rPr>
  </w:style>
  <w:style w:type="paragraph" w:styleId="5">
    <w:name w:val="heading 4"/>
    <w:basedOn w:val="1"/>
    <w:next w:val="1"/>
    <w:link w:val="44"/>
    <w:autoRedefine/>
    <w:qFormat/>
    <w:uiPriority w:val="0"/>
    <w:pPr>
      <w:keepNext/>
      <w:keepLines/>
      <w:numPr>
        <w:ilvl w:val="3"/>
        <w:numId w:val="1"/>
      </w:numPr>
      <w:adjustRightInd w:val="0"/>
      <w:snapToGrid w:val="0"/>
      <w:spacing w:before="50" w:beforeLines="50" w:after="50" w:afterLines="50" w:line="240" w:lineRule="auto"/>
      <w:ind w:left="0" w:firstLine="0" w:firstLineChars="0"/>
      <w:outlineLvl w:val="3"/>
    </w:pPr>
    <w:rPr>
      <w:rFonts w:ascii="宋体" w:hAnsi="宋体" w:eastAsia="宋体"/>
      <w:b/>
      <w:bCs/>
      <w:sz w:val="30"/>
      <w:szCs w:val="28"/>
    </w:rPr>
  </w:style>
  <w:style w:type="paragraph" w:styleId="6">
    <w:name w:val="heading 5"/>
    <w:basedOn w:val="1"/>
    <w:next w:val="1"/>
    <w:link w:val="52"/>
    <w:autoRedefine/>
    <w:qFormat/>
    <w:uiPriority w:val="0"/>
    <w:pPr>
      <w:keepNext/>
      <w:keepLines/>
      <w:numPr>
        <w:ilvl w:val="4"/>
        <w:numId w:val="1"/>
      </w:numPr>
      <w:spacing w:before="280" w:after="290" w:line="376" w:lineRule="auto"/>
      <w:ind w:firstLineChars="0"/>
      <w:outlineLvl w:val="4"/>
    </w:pPr>
    <w:rPr>
      <w:b/>
      <w:bCs/>
      <w:sz w:val="28"/>
      <w:szCs w:val="28"/>
    </w:rPr>
  </w:style>
  <w:style w:type="paragraph" w:styleId="7">
    <w:name w:val="heading 6"/>
    <w:basedOn w:val="1"/>
    <w:next w:val="1"/>
    <w:link w:val="57"/>
    <w:autoRedefine/>
    <w:qFormat/>
    <w:uiPriority w:val="0"/>
    <w:pPr>
      <w:keepNext/>
      <w:keepLines/>
      <w:numPr>
        <w:ilvl w:val="5"/>
        <w:numId w:val="1"/>
      </w:numPr>
      <w:spacing w:before="240" w:after="64" w:line="320" w:lineRule="auto"/>
      <w:ind w:firstLineChars="0"/>
      <w:outlineLvl w:val="5"/>
    </w:pPr>
    <w:rPr>
      <w:rFonts w:ascii="Arial" w:hAnsi="Arial" w:eastAsia="黑体"/>
      <w:b/>
      <w:kern w:val="0"/>
      <w:sz w:val="24"/>
      <w:szCs w:val="20"/>
    </w:rPr>
  </w:style>
  <w:style w:type="paragraph" w:styleId="8">
    <w:name w:val="heading 7"/>
    <w:basedOn w:val="1"/>
    <w:next w:val="1"/>
    <w:link w:val="78"/>
    <w:autoRedefine/>
    <w:qFormat/>
    <w:uiPriority w:val="99"/>
    <w:pPr>
      <w:keepNext/>
      <w:keepLines/>
      <w:numPr>
        <w:ilvl w:val="6"/>
        <w:numId w:val="1"/>
      </w:numPr>
      <w:spacing w:before="240" w:after="64" w:line="320" w:lineRule="auto"/>
      <w:ind w:firstLineChars="0"/>
      <w:outlineLvl w:val="6"/>
    </w:pPr>
    <w:rPr>
      <w:b/>
      <w:kern w:val="0"/>
      <w:sz w:val="24"/>
      <w:szCs w:val="20"/>
    </w:rPr>
  </w:style>
  <w:style w:type="paragraph" w:styleId="9">
    <w:name w:val="heading 8"/>
    <w:basedOn w:val="1"/>
    <w:next w:val="1"/>
    <w:link w:val="79"/>
    <w:autoRedefine/>
    <w:qFormat/>
    <w:uiPriority w:val="99"/>
    <w:pPr>
      <w:keepNext/>
      <w:keepLines/>
      <w:numPr>
        <w:ilvl w:val="7"/>
        <w:numId w:val="1"/>
      </w:numPr>
      <w:spacing w:before="240" w:after="64" w:line="320" w:lineRule="auto"/>
      <w:ind w:firstLineChars="0"/>
      <w:outlineLvl w:val="7"/>
    </w:pPr>
    <w:rPr>
      <w:rFonts w:ascii="Arial" w:hAnsi="Arial" w:eastAsia="黑体"/>
      <w:kern w:val="0"/>
      <w:sz w:val="24"/>
      <w:szCs w:val="20"/>
    </w:rPr>
  </w:style>
  <w:style w:type="paragraph" w:styleId="10">
    <w:name w:val="heading 9"/>
    <w:basedOn w:val="1"/>
    <w:next w:val="1"/>
    <w:link w:val="80"/>
    <w:autoRedefine/>
    <w:qFormat/>
    <w:uiPriority w:val="99"/>
    <w:pPr>
      <w:keepNext/>
      <w:keepLines/>
      <w:numPr>
        <w:ilvl w:val="8"/>
        <w:numId w:val="1"/>
      </w:numPr>
      <w:spacing w:before="240" w:after="64" w:line="320" w:lineRule="auto"/>
      <w:ind w:firstLineChars="0"/>
      <w:outlineLvl w:val="8"/>
    </w:pPr>
    <w:rPr>
      <w:rFonts w:ascii="Arial" w:hAnsi="Arial" w:eastAsia="黑体"/>
      <w:kern w:val="0"/>
      <w:sz w:val="20"/>
      <w:szCs w:val="20"/>
    </w:rPr>
  </w:style>
  <w:style w:type="character" w:default="1" w:styleId="34">
    <w:name w:val="Default Paragraph Font"/>
    <w:autoRedefine/>
    <w:unhideWhenUsed/>
    <w:qFormat/>
    <w:uiPriority w:val="1"/>
  </w:style>
  <w:style w:type="table" w:default="1" w:styleId="32">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Normal Indent"/>
    <w:basedOn w:val="1"/>
    <w:autoRedefine/>
    <w:qFormat/>
    <w:uiPriority w:val="0"/>
    <w:pPr>
      <w:ind w:firstLine="420" w:firstLineChars="200"/>
    </w:pPr>
  </w:style>
  <w:style w:type="paragraph" w:styleId="12">
    <w:name w:val="caption"/>
    <w:basedOn w:val="1"/>
    <w:next w:val="1"/>
    <w:link w:val="87"/>
    <w:autoRedefine/>
    <w:qFormat/>
    <w:uiPriority w:val="99"/>
    <w:pPr>
      <w:spacing w:before="0" w:beforeLines="0" w:line="240" w:lineRule="auto"/>
      <w:ind w:firstLine="0" w:firstLineChars="0"/>
      <w:jc w:val="center"/>
    </w:pPr>
    <w:rPr>
      <w:rFonts w:ascii="宋体" w:hAnsi="宋体" w:eastAsia="宋体" w:cs="宋体"/>
      <w:b/>
      <w:sz w:val="24"/>
      <w:szCs w:val="28"/>
    </w:rPr>
  </w:style>
  <w:style w:type="paragraph" w:styleId="13">
    <w:name w:val="annotation text"/>
    <w:basedOn w:val="1"/>
    <w:link w:val="76"/>
    <w:autoRedefine/>
    <w:qFormat/>
    <w:uiPriority w:val="0"/>
    <w:pPr>
      <w:jc w:val="left"/>
    </w:pPr>
  </w:style>
  <w:style w:type="paragraph" w:styleId="14">
    <w:name w:val="Body Text"/>
    <w:basedOn w:val="1"/>
    <w:next w:val="1"/>
    <w:autoRedefine/>
    <w:qFormat/>
    <w:uiPriority w:val="0"/>
    <w:pPr>
      <w:widowControl w:val="0"/>
      <w:spacing w:after="0" w:afterLines="0" w:afterAutospacing="0"/>
    </w:pPr>
    <w:rPr>
      <w:rFonts w:ascii="Times New Roman" w:hAnsi="Times New Roman" w:eastAsia="宋体"/>
    </w:rPr>
  </w:style>
  <w:style w:type="paragraph" w:styleId="15">
    <w:name w:val="Body Text Indent"/>
    <w:basedOn w:val="1"/>
    <w:autoRedefine/>
    <w:qFormat/>
    <w:uiPriority w:val="0"/>
    <w:pPr>
      <w:spacing w:after="120" w:afterLines="0" w:afterAutospacing="0"/>
      <w:ind w:left="420" w:leftChars="200"/>
    </w:pPr>
  </w:style>
  <w:style w:type="paragraph" w:styleId="16">
    <w:name w:val="toc 3"/>
    <w:basedOn w:val="1"/>
    <w:next w:val="1"/>
    <w:autoRedefine/>
    <w:qFormat/>
    <w:uiPriority w:val="39"/>
    <w:pPr>
      <w:adjustRightInd w:val="0"/>
      <w:snapToGrid w:val="0"/>
      <w:spacing w:line="400" w:lineRule="exact"/>
      <w:ind w:left="0" w:leftChars="0" w:firstLine="0" w:firstLineChars="0"/>
    </w:pPr>
    <w:rPr>
      <w:rFonts w:ascii="宋体" w:hAnsi="宋体" w:eastAsia="宋体"/>
      <w:sz w:val="24"/>
    </w:rPr>
  </w:style>
  <w:style w:type="paragraph" w:styleId="17">
    <w:name w:val="Plain Text"/>
    <w:basedOn w:val="1"/>
    <w:link w:val="60"/>
    <w:autoRedefine/>
    <w:qFormat/>
    <w:uiPriority w:val="0"/>
    <w:rPr>
      <w:rFonts w:ascii="宋体" w:hAnsi="Courier New"/>
    </w:rPr>
  </w:style>
  <w:style w:type="paragraph" w:styleId="18">
    <w:name w:val="Body Text Indent 2"/>
    <w:basedOn w:val="19"/>
    <w:autoRedefine/>
    <w:qFormat/>
    <w:uiPriority w:val="0"/>
    <w:pPr>
      <w:spacing w:after="0" w:afterLines="0" w:afterAutospacing="0" w:line="500" w:lineRule="exact"/>
      <w:ind w:left="0" w:leftChars="0"/>
    </w:pPr>
    <w:rPr>
      <w:rFonts w:ascii="宋体" w:hAnsi="宋体" w:eastAsia="宋体"/>
    </w:rPr>
  </w:style>
  <w:style w:type="paragraph" w:customStyle="1" w:styleId="19">
    <w:name w:val="样式 首行缩进:  2 字符"/>
    <w:autoRedefine/>
    <w:qFormat/>
    <w:uiPriority w:val="0"/>
    <w:pPr>
      <w:widowControl w:val="0"/>
      <w:overflowPunct w:val="0"/>
      <w:adjustRightInd w:val="0"/>
      <w:snapToGrid w:val="0"/>
      <w:spacing w:line="480" w:lineRule="exact"/>
      <w:ind w:firstLine="560" w:firstLineChars="200"/>
      <w:jc w:val="both"/>
    </w:pPr>
    <w:rPr>
      <w:rFonts w:ascii="Times New Roman" w:hAnsi="Times New Roman" w:eastAsia="宋体" w:cs="Times New Roman"/>
      <w:kern w:val="2"/>
      <w:sz w:val="28"/>
      <w:szCs w:val="28"/>
      <w:lang w:val="en-US" w:eastAsia="zh-CN" w:bidi="ar-SA"/>
    </w:rPr>
  </w:style>
  <w:style w:type="paragraph" w:styleId="20">
    <w:name w:val="footer"/>
    <w:basedOn w:val="1"/>
    <w:autoRedefine/>
    <w:unhideWhenUsed/>
    <w:qFormat/>
    <w:uiPriority w:val="99"/>
    <w:pPr>
      <w:tabs>
        <w:tab w:val="center" w:pos="4153"/>
        <w:tab w:val="right" w:pos="8306"/>
      </w:tabs>
      <w:snapToGrid w:val="0"/>
      <w:jc w:val="left"/>
    </w:pPr>
    <w:rPr>
      <w:rFonts w:ascii="宋体" w:hAnsi="宋体" w:eastAsia="宋体" w:cs="Times New Roman"/>
      <w:sz w:val="21"/>
    </w:rPr>
  </w:style>
  <w:style w:type="paragraph" w:styleId="21">
    <w:name w:val="header"/>
    <w:basedOn w:val="1"/>
    <w:autoRedefine/>
    <w:unhideWhenUsed/>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22">
    <w:name w:val="toc 1"/>
    <w:basedOn w:val="1"/>
    <w:next w:val="1"/>
    <w:autoRedefine/>
    <w:qFormat/>
    <w:uiPriority w:val="39"/>
    <w:pPr>
      <w:widowControl w:val="0"/>
      <w:tabs>
        <w:tab w:val="right" w:leader="dot" w:pos="8306"/>
      </w:tabs>
      <w:spacing w:line="400" w:lineRule="exact"/>
      <w:ind w:firstLineChars="0"/>
    </w:pPr>
    <w:rPr>
      <w:rFonts w:ascii="黑体" w:hAnsi="黑体" w:eastAsia="黑体" w:cs="黑体"/>
      <w:bCs/>
      <w:sz w:val="24"/>
      <w:szCs w:val="36"/>
    </w:rPr>
  </w:style>
  <w:style w:type="paragraph" w:styleId="23">
    <w:name w:val="toc 4"/>
    <w:basedOn w:val="1"/>
    <w:next w:val="1"/>
    <w:autoRedefine/>
    <w:qFormat/>
    <w:uiPriority w:val="0"/>
    <w:pPr>
      <w:spacing w:line="400" w:lineRule="exact"/>
      <w:ind w:left="0" w:leftChars="0" w:firstLine="0" w:firstLineChars="0"/>
    </w:pPr>
    <w:rPr>
      <w:rFonts w:ascii="Times New Roman" w:hAnsi="Times New Roman" w:eastAsia="宋体"/>
      <w:sz w:val="24"/>
    </w:rPr>
  </w:style>
  <w:style w:type="paragraph" w:styleId="24">
    <w:name w:val="List"/>
    <w:basedOn w:val="1"/>
    <w:autoRedefine/>
    <w:qFormat/>
    <w:uiPriority w:val="0"/>
    <w:pPr>
      <w:ind w:left="200" w:hanging="200" w:hangingChars="200"/>
    </w:pPr>
  </w:style>
  <w:style w:type="paragraph" w:styleId="25">
    <w:name w:val="table of figures"/>
    <w:basedOn w:val="1"/>
    <w:next w:val="1"/>
    <w:autoRedefine/>
    <w:qFormat/>
    <w:uiPriority w:val="0"/>
    <w:pPr>
      <w:ind w:leftChars="200" w:hanging="200" w:hangingChars="200"/>
    </w:pPr>
  </w:style>
  <w:style w:type="paragraph" w:styleId="26">
    <w:name w:val="toc 2"/>
    <w:basedOn w:val="1"/>
    <w:next w:val="1"/>
    <w:autoRedefine/>
    <w:qFormat/>
    <w:uiPriority w:val="39"/>
    <w:pPr>
      <w:tabs>
        <w:tab w:val="right" w:leader="dot" w:pos="8306"/>
      </w:tabs>
      <w:spacing w:line="400" w:lineRule="exact"/>
      <w:ind w:firstLineChars="0"/>
    </w:pPr>
    <w:rPr>
      <w:rFonts w:ascii="Times New Roman" w:hAnsi="Times New Roman" w:eastAsia="宋体"/>
      <w:sz w:val="24"/>
    </w:rPr>
  </w:style>
  <w:style w:type="paragraph" w:styleId="2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28">
    <w:name w:val="index 1"/>
    <w:basedOn w:val="1"/>
    <w:next w:val="1"/>
    <w:autoRedefine/>
    <w:unhideWhenUsed/>
    <w:qFormat/>
    <w:uiPriority w:val="99"/>
    <w:pPr>
      <w:spacing w:line="240" w:lineRule="auto"/>
      <w:ind w:firstLine="0" w:firstLineChars="0"/>
    </w:pPr>
    <w:rPr>
      <w:rFonts w:ascii="宋体" w:hAnsi="宋体" w:eastAsia="宋体" w:cs="Times New Roman"/>
      <w:color w:val="000000"/>
      <w:szCs w:val="20"/>
    </w:rPr>
  </w:style>
  <w:style w:type="paragraph" w:styleId="29">
    <w:name w:val="annotation subject"/>
    <w:basedOn w:val="13"/>
    <w:next w:val="13"/>
    <w:link w:val="77"/>
    <w:autoRedefine/>
    <w:qFormat/>
    <w:uiPriority w:val="0"/>
    <w:rPr>
      <w:b/>
    </w:rPr>
  </w:style>
  <w:style w:type="paragraph" w:styleId="30">
    <w:name w:val="Body Text First Indent"/>
    <w:basedOn w:val="14"/>
    <w:next w:val="1"/>
    <w:autoRedefine/>
    <w:qFormat/>
    <w:uiPriority w:val="0"/>
    <w:pPr>
      <w:ind w:firstLine="640" w:firstLineChars="200"/>
    </w:pPr>
  </w:style>
  <w:style w:type="paragraph" w:styleId="31">
    <w:name w:val="Body Text First Indent 2"/>
    <w:basedOn w:val="1"/>
    <w:next w:val="1"/>
    <w:autoRedefine/>
    <w:qFormat/>
    <w:uiPriority w:val="0"/>
    <w:pPr>
      <w:ind w:firstLine="420" w:firstLineChars="200"/>
    </w:pPr>
  </w:style>
  <w:style w:type="table" w:styleId="33">
    <w:name w:val="Table Grid"/>
    <w:basedOn w:val="3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35">
    <w:name w:val="Strong"/>
    <w:basedOn w:val="34"/>
    <w:autoRedefine/>
    <w:qFormat/>
    <w:uiPriority w:val="0"/>
    <w:rPr>
      <w:b/>
    </w:rPr>
  </w:style>
  <w:style w:type="character" w:styleId="36">
    <w:name w:val="page number"/>
    <w:basedOn w:val="34"/>
    <w:autoRedefine/>
    <w:qFormat/>
    <w:uiPriority w:val="0"/>
  </w:style>
  <w:style w:type="character" w:styleId="37">
    <w:name w:val="FollowedHyperlink"/>
    <w:basedOn w:val="34"/>
    <w:autoRedefine/>
    <w:qFormat/>
    <w:uiPriority w:val="0"/>
    <w:rPr>
      <w:color w:val="800080"/>
      <w:u w:val="single"/>
    </w:rPr>
  </w:style>
  <w:style w:type="character" w:styleId="38">
    <w:name w:val="Emphasis"/>
    <w:basedOn w:val="34"/>
    <w:autoRedefine/>
    <w:qFormat/>
    <w:uiPriority w:val="20"/>
    <w:rPr>
      <w:rFonts w:ascii="Times New Roman" w:hAnsi="Times New Roman" w:eastAsia="宋体" w:cs="Times New Roman"/>
      <w:color w:val="CC0000"/>
    </w:rPr>
  </w:style>
  <w:style w:type="character" w:styleId="39">
    <w:name w:val="Hyperlink"/>
    <w:basedOn w:val="34"/>
    <w:autoRedefine/>
    <w:qFormat/>
    <w:uiPriority w:val="0"/>
    <w:rPr>
      <w:color w:val="0000FF"/>
      <w:u w:val="single"/>
    </w:rPr>
  </w:style>
  <w:style w:type="character" w:styleId="40">
    <w:name w:val="annotation reference"/>
    <w:autoRedefine/>
    <w:qFormat/>
    <w:uiPriority w:val="0"/>
    <w:rPr>
      <w:sz w:val="21"/>
      <w:szCs w:val="21"/>
    </w:rPr>
  </w:style>
  <w:style w:type="paragraph" w:customStyle="1" w:styleId="41">
    <w:name w:val="报告表格（小四）"/>
    <w:basedOn w:val="1"/>
    <w:next w:val="1"/>
    <w:autoRedefine/>
    <w:qFormat/>
    <w:uiPriority w:val="0"/>
    <w:pPr>
      <w:adjustRightInd w:val="0"/>
      <w:snapToGrid w:val="0"/>
      <w:spacing w:line="240" w:lineRule="auto"/>
      <w:ind w:firstLine="0" w:firstLineChars="0"/>
      <w:jc w:val="center"/>
    </w:pPr>
    <w:rPr>
      <w:rFonts w:hint="eastAsia" w:ascii="Times New Roman" w:hAnsi="Times New Roman"/>
      <w:sz w:val="24"/>
      <w:szCs w:val="21"/>
    </w:rPr>
  </w:style>
  <w:style w:type="character" w:customStyle="1" w:styleId="42">
    <w:name w:val="标题 1 字符"/>
    <w:link w:val="2"/>
    <w:autoRedefine/>
    <w:qFormat/>
    <w:uiPriority w:val="0"/>
    <w:rPr>
      <w:rFonts w:ascii="黑体" w:hAnsi="黑体" w:eastAsia="黑体"/>
      <w:b/>
      <w:kern w:val="3"/>
      <w:sz w:val="36"/>
      <w:szCs w:val="44"/>
    </w:rPr>
  </w:style>
  <w:style w:type="character" w:customStyle="1" w:styleId="43">
    <w:name w:val="标题 2 字符"/>
    <w:link w:val="3"/>
    <w:autoRedefine/>
    <w:qFormat/>
    <w:uiPriority w:val="0"/>
    <w:rPr>
      <w:rFonts w:ascii="黑体" w:hAnsi="黑体" w:eastAsia="黑体"/>
      <w:bCs/>
      <w:sz w:val="32"/>
      <w:szCs w:val="36"/>
    </w:rPr>
  </w:style>
  <w:style w:type="character" w:customStyle="1" w:styleId="44">
    <w:name w:val="标题 4 字符"/>
    <w:link w:val="5"/>
    <w:autoRedefine/>
    <w:qFormat/>
    <w:uiPriority w:val="0"/>
    <w:rPr>
      <w:rFonts w:ascii="宋体" w:hAnsi="宋体" w:eastAsia="宋体"/>
      <w:b/>
      <w:bCs/>
      <w:sz w:val="30"/>
      <w:szCs w:val="28"/>
    </w:rPr>
  </w:style>
  <w:style w:type="character" w:customStyle="1" w:styleId="45">
    <w:name w:val="样式1"/>
    <w:basedOn w:val="34"/>
    <w:autoRedefine/>
    <w:qFormat/>
    <w:uiPriority w:val="0"/>
    <w:rPr>
      <w:rFonts w:hint="eastAsia" w:ascii="宋体" w:hAnsi="宋体" w:cs="宋体"/>
      <w:sz w:val="24"/>
      <w:szCs w:val="24"/>
    </w:rPr>
  </w:style>
  <w:style w:type="paragraph" w:customStyle="1" w:styleId="46">
    <w:name w:val="表格"/>
    <w:basedOn w:val="1"/>
    <w:next w:val="47"/>
    <w:link w:val="53"/>
    <w:autoRedefine/>
    <w:qFormat/>
    <w:uiPriority w:val="0"/>
    <w:pPr>
      <w:adjustRightInd w:val="0"/>
      <w:spacing w:line="240" w:lineRule="auto"/>
      <w:ind w:firstLine="0" w:firstLineChars="0"/>
      <w:jc w:val="center"/>
      <w:textAlignment w:val="baseline"/>
    </w:pPr>
    <w:rPr>
      <w:rFonts w:ascii="Times New Roman" w:hAnsi="Times New Roman"/>
      <w:kern w:val="0"/>
      <w:sz w:val="24"/>
      <w:szCs w:val="20"/>
    </w:rPr>
  </w:style>
  <w:style w:type="paragraph" w:customStyle="1" w:styleId="47">
    <w:name w:val="表格注译"/>
    <w:basedOn w:val="1"/>
    <w:next w:val="48"/>
    <w:qFormat/>
    <w:uiPriority w:val="0"/>
    <w:pPr>
      <w:snapToGrid w:val="0"/>
      <w:spacing w:beforeLines="25" w:afterLines="25"/>
    </w:pPr>
    <w:rPr>
      <w:rFonts w:cs="Times New Roman"/>
      <w:color w:val="7030A0"/>
      <w:szCs w:val="22"/>
    </w:rPr>
  </w:style>
  <w:style w:type="paragraph" w:customStyle="1" w:styleId="48">
    <w:name w:val="缩进正文"/>
    <w:basedOn w:val="15"/>
    <w:qFormat/>
    <w:uiPriority w:val="0"/>
    <w:pPr>
      <w:adjustRightInd w:val="0"/>
      <w:snapToGrid w:val="0"/>
      <w:spacing w:after="0" w:line="300" w:lineRule="auto"/>
      <w:ind w:left="0" w:leftChars="0" w:firstLine="200"/>
      <w:jc w:val="left"/>
    </w:pPr>
    <w:rPr>
      <w:rFonts w:ascii="宋体"/>
      <w:sz w:val="28"/>
      <w:szCs w:val="20"/>
    </w:rPr>
  </w:style>
  <w:style w:type="character" w:customStyle="1" w:styleId="49">
    <w:name w:val="标题 3 字符"/>
    <w:link w:val="4"/>
    <w:autoRedefine/>
    <w:qFormat/>
    <w:uiPriority w:val="9"/>
    <w:rPr>
      <w:rFonts w:ascii="宋体" w:hAnsi="宋体" w:eastAsia="宋体"/>
      <w:b/>
      <w:kern w:val="2"/>
      <w:sz w:val="30"/>
      <w:szCs w:val="24"/>
    </w:rPr>
  </w:style>
  <w:style w:type="paragraph" w:customStyle="1" w:styleId="50">
    <w:name w:val="正文样式"/>
    <w:basedOn w:val="1"/>
    <w:link w:val="51"/>
    <w:autoRedefine/>
    <w:qFormat/>
    <w:uiPriority w:val="0"/>
    <w:pPr>
      <w:adjustRightInd w:val="0"/>
      <w:snapToGrid w:val="0"/>
      <w:spacing w:line="500" w:lineRule="exact"/>
      <w:ind w:firstLine="560" w:firstLineChars="200"/>
    </w:pPr>
    <w:rPr>
      <w:rFonts w:ascii="Times New Roman" w:hAnsi="Times New Roman" w:eastAsia="宋体"/>
      <w:kern w:val="0"/>
      <w:sz w:val="28"/>
      <w:szCs w:val="20"/>
    </w:rPr>
  </w:style>
  <w:style w:type="character" w:customStyle="1" w:styleId="51">
    <w:name w:val="正文样式 Char Char"/>
    <w:link w:val="50"/>
    <w:autoRedefine/>
    <w:qFormat/>
    <w:uiPriority w:val="0"/>
    <w:rPr>
      <w:rFonts w:ascii="Times New Roman" w:hAnsi="Times New Roman" w:eastAsia="宋体"/>
      <w:kern w:val="0"/>
      <w:sz w:val="28"/>
      <w:szCs w:val="20"/>
    </w:rPr>
  </w:style>
  <w:style w:type="character" w:customStyle="1" w:styleId="52">
    <w:name w:val="标题 5 字符"/>
    <w:link w:val="6"/>
    <w:autoRedefine/>
    <w:qFormat/>
    <w:uiPriority w:val="0"/>
    <w:rPr>
      <w:b/>
      <w:bCs/>
      <w:sz w:val="28"/>
      <w:szCs w:val="28"/>
    </w:rPr>
  </w:style>
  <w:style w:type="character" w:customStyle="1" w:styleId="53">
    <w:name w:val="表格 Char Char"/>
    <w:link w:val="46"/>
    <w:autoRedefine/>
    <w:qFormat/>
    <w:locked/>
    <w:uiPriority w:val="0"/>
    <w:rPr>
      <w:rFonts w:ascii="Times New Roman" w:hAnsi="Times New Roman"/>
      <w:kern w:val="0"/>
      <w:sz w:val="24"/>
      <w:szCs w:val="20"/>
    </w:rPr>
  </w:style>
  <w:style w:type="paragraph" w:customStyle="1" w:styleId="54">
    <w:name w:val="表格（小四）"/>
    <w:basedOn w:val="1"/>
    <w:next w:val="1"/>
    <w:autoRedefine/>
    <w:qFormat/>
    <w:uiPriority w:val="0"/>
    <w:pPr>
      <w:adjustRightInd w:val="0"/>
      <w:snapToGrid w:val="0"/>
      <w:spacing w:line="240" w:lineRule="auto"/>
      <w:ind w:firstLine="0" w:firstLineChars="0"/>
      <w:jc w:val="center"/>
    </w:pPr>
    <w:rPr>
      <w:rFonts w:ascii="Times New Roman" w:hAnsi="Times New Roman" w:eastAsia="宋体" w:cs="Times New Roman"/>
      <w:b/>
      <w:bCs/>
      <w:sz w:val="24"/>
    </w:rPr>
  </w:style>
  <w:style w:type="paragraph" w:customStyle="1" w:styleId="55">
    <w:name w:val="表头"/>
    <w:basedOn w:val="1"/>
    <w:next w:val="1"/>
    <w:autoRedefine/>
    <w:qFormat/>
    <w:uiPriority w:val="0"/>
    <w:pPr>
      <w:spacing w:line="240" w:lineRule="auto"/>
      <w:ind w:firstLine="0" w:firstLineChars="0"/>
      <w:jc w:val="center"/>
    </w:pPr>
    <w:rPr>
      <w:rFonts w:ascii="Times New Roman" w:hAnsi="Times New Roman" w:eastAsia="宋体" w:cs="Times New Roman"/>
      <w:b/>
      <w:sz w:val="24"/>
      <w:szCs w:val="28"/>
    </w:rPr>
  </w:style>
  <w:style w:type="paragraph" w:customStyle="1" w:styleId="56">
    <w:name w:val="表格1"/>
    <w:autoRedefine/>
    <w:qFormat/>
    <w:uiPriority w:val="0"/>
    <w:pPr>
      <w:adjustRightInd w:val="0"/>
      <w:spacing w:line="360" w:lineRule="auto"/>
      <w:jc w:val="center"/>
      <w:textAlignment w:val="center"/>
    </w:pPr>
    <w:rPr>
      <w:rFonts w:ascii="Times New Roman" w:hAnsi="Times New Roman" w:eastAsia="宋体" w:cs="Times New Roman"/>
      <w:sz w:val="21"/>
      <w:lang w:val="en-US" w:eastAsia="zh-CN" w:bidi="ar-SA"/>
    </w:rPr>
  </w:style>
  <w:style w:type="character" w:customStyle="1" w:styleId="57">
    <w:name w:val="标题 6 字符"/>
    <w:link w:val="7"/>
    <w:autoRedefine/>
    <w:qFormat/>
    <w:uiPriority w:val="0"/>
    <w:rPr>
      <w:rFonts w:ascii="Arial" w:hAnsi="Arial" w:eastAsia="黑体"/>
      <w:b/>
      <w:kern w:val="0"/>
      <w:sz w:val="24"/>
      <w:szCs w:val="20"/>
    </w:rPr>
  </w:style>
  <w:style w:type="paragraph" w:customStyle="1" w:styleId="58">
    <w:name w:val="Table Text"/>
    <w:basedOn w:val="1"/>
    <w:autoRedefine/>
    <w:semiHidden/>
    <w:qFormat/>
    <w:uiPriority w:val="0"/>
    <w:rPr>
      <w:rFonts w:ascii="宋体" w:hAnsi="宋体" w:eastAsia="宋体" w:cs="宋体"/>
      <w:sz w:val="21"/>
      <w:szCs w:val="21"/>
      <w:lang w:val="en-US" w:eastAsia="en-US" w:bidi="ar-SA"/>
    </w:rPr>
  </w:style>
  <w:style w:type="paragraph" w:customStyle="1" w:styleId="59">
    <w:name w:val="首行缩进"/>
    <w:basedOn w:val="1"/>
    <w:autoRedefine/>
    <w:qFormat/>
    <w:uiPriority w:val="0"/>
    <w:pPr>
      <w:snapToGrid w:val="0"/>
      <w:ind w:firstLine="482"/>
    </w:pPr>
    <w:rPr>
      <w:rFonts w:ascii="宋体" w:hAnsi="宋体" w:cs="宋体"/>
    </w:rPr>
  </w:style>
  <w:style w:type="character" w:customStyle="1" w:styleId="60">
    <w:name w:val="纯文本 字符"/>
    <w:link w:val="17"/>
    <w:autoRedefine/>
    <w:qFormat/>
    <w:uiPriority w:val="0"/>
    <w:rPr>
      <w:rFonts w:ascii="宋体" w:hAnsi="Courier New"/>
    </w:rPr>
  </w:style>
  <w:style w:type="paragraph" w:customStyle="1" w:styleId="61">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62">
    <w:name w:val="正文文本 (2)_"/>
    <w:link w:val="63"/>
    <w:autoRedefine/>
    <w:unhideWhenUsed/>
    <w:qFormat/>
    <w:uiPriority w:val="99"/>
    <w:rPr>
      <w:rFonts w:hint="eastAsia" w:ascii="宋体" w:hAnsi="宋体"/>
      <w:kern w:val="0"/>
      <w:sz w:val="13"/>
      <w:szCs w:val="13"/>
    </w:rPr>
  </w:style>
  <w:style w:type="paragraph" w:customStyle="1" w:styleId="63">
    <w:name w:val="正文文本 (2)"/>
    <w:basedOn w:val="1"/>
    <w:link w:val="62"/>
    <w:autoRedefine/>
    <w:unhideWhenUsed/>
    <w:qFormat/>
    <w:uiPriority w:val="99"/>
    <w:pPr>
      <w:shd w:val="clear" w:color="auto" w:fill="FFFFFF"/>
      <w:spacing w:line="237" w:lineRule="exact"/>
      <w:ind w:firstLine="420"/>
      <w:jc w:val="distribute"/>
    </w:pPr>
    <w:rPr>
      <w:rFonts w:hint="eastAsia" w:ascii="宋体" w:hAnsi="宋体"/>
      <w:kern w:val="0"/>
      <w:sz w:val="13"/>
      <w:szCs w:val="13"/>
    </w:rPr>
  </w:style>
  <w:style w:type="paragraph" w:customStyle="1" w:styleId="64">
    <w:name w:val="表文(G)"/>
    <w:autoRedefine/>
    <w:semiHidden/>
    <w:qFormat/>
    <w:uiPriority w:val="0"/>
    <w:pPr>
      <w:widowControl w:val="0"/>
      <w:tabs>
        <w:tab w:val="left" w:pos="1021"/>
      </w:tabs>
      <w:jc w:val="center"/>
    </w:pPr>
    <w:rPr>
      <w:rFonts w:ascii="Times New Roman" w:hAnsi="宋体" w:eastAsia="宋体" w:cs="Times New Roman"/>
      <w:position w:val="-24"/>
      <w:sz w:val="21"/>
      <w:szCs w:val="21"/>
      <w:lang w:val="en-US" w:eastAsia="zh-CN" w:bidi="ar-SA"/>
    </w:rPr>
  </w:style>
  <w:style w:type="paragraph" w:customStyle="1" w:styleId="65">
    <w:name w:val="正文首行缩进2个字"/>
    <w:autoRedefine/>
    <w:qFormat/>
    <w:uiPriority w:val="0"/>
    <w:pPr>
      <w:widowControl w:val="0"/>
      <w:spacing w:line="540" w:lineRule="exact"/>
      <w:ind w:firstLine="200" w:firstLineChars="200"/>
      <w:jc w:val="both"/>
    </w:pPr>
    <w:rPr>
      <w:rFonts w:ascii="Times New Roman" w:hAnsi="Times New Roman" w:eastAsia="宋体" w:cs="Times New Roman"/>
      <w:kern w:val="2"/>
      <w:sz w:val="28"/>
      <w:szCs w:val="28"/>
      <w:lang w:val="en-US" w:eastAsia="zh-CN" w:bidi="ar-SA"/>
    </w:rPr>
  </w:style>
  <w:style w:type="paragraph" w:customStyle="1" w:styleId="66">
    <w:name w:val="正文（4号字 首行缩2）"/>
    <w:autoRedefine/>
    <w:qFormat/>
    <w:uiPriority w:val="0"/>
    <w:pPr>
      <w:widowControl w:val="0"/>
      <w:tabs>
        <w:tab w:val="left" w:pos="4830"/>
      </w:tabs>
      <w:ind w:firstLine="560" w:firstLineChars="200"/>
      <w:jc w:val="both"/>
    </w:pPr>
    <w:rPr>
      <w:rFonts w:ascii="宋体" w:hAnsi="宋体" w:eastAsia="宋体" w:cs="Times New Roman"/>
      <w:kern w:val="2"/>
      <w:sz w:val="28"/>
      <w:szCs w:val="24"/>
      <w:lang w:val="en-US" w:eastAsia="zh-CN" w:bidi="ar-SA"/>
    </w:rPr>
  </w:style>
  <w:style w:type="paragraph" w:customStyle="1" w:styleId="67">
    <w:name w:val="正文缩进1"/>
    <w:basedOn w:val="1"/>
    <w:autoRedefine/>
    <w:qFormat/>
    <w:uiPriority w:val="0"/>
    <w:pPr>
      <w:snapToGrid w:val="0"/>
      <w:spacing w:line="360" w:lineRule="auto"/>
      <w:ind w:firstLine="200"/>
    </w:pPr>
    <w:rPr>
      <w:sz w:val="24"/>
    </w:rPr>
  </w:style>
  <w:style w:type="character" w:customStyle="1" w:styleId="68">
    <w:name w:val="font21"/>
    <w:basedOn w:val="34"/>
    <w:autoRedefine/>
    <w:qFormat/>
    <w:uiPriority w:val="0"/>
    <w:rPr>
      <w:rFonts w:hint="eastAsia" w:ascii="宋体" w:hAnsi="宋体" w:eastAsia="宋体" w:cs="宋体"/>
      <w:color w:val="000000"/>
      <w:sz w:val="24"/>
      <w:szCs w:val="24"/>
      <w:u w:val="none"/>
    </w:rPr>
  </w:style>
  <w:style w:type="character" w:customStyle="1" w:styleId="69">
    <w:name w:val="font01"/>
    <w:basedOn w:val="34"/>
    <w:autoRedefine/>
    <w:qFormat/>
    <w:uiPriority w:val="0"/>
    <w:rPr>
      <w:rFonts w:ascii="宋体" w:hAnsi="宋体" w:eastAsia="宋体" w:cs="宋体"/>
      <w:color w:val="000000"/>
      <w:sz w:val="24"/>
      <w:szCs w:val="24"/>
      <w:u w:val="none"/>
    </w:rPr>
  </w:style>
  <w:style w:type="paragraph" w:styleId="70">
    <w:name w:val="List Paragraph"/>
    <w:basedOn w:val="1"/>
    <w:autoRedefine/>
    <w:qFormat/>
    <w:uiPriority w:val="34"/>
    <w:pPr>
      <w:ind w:firstLine="420"/>
    </w:pPr>
    <w:rPr>
      <w:rFonts w:ascii="Calibri" w:hAnsi="Calibri"/>
    </w:rPr>
  </w:style>
  <w:style w:type="character" w:customStyle="1" w:styleId="71">
    <w:name w:val="font11"/>
    <w:basedOn w:val="34"/>
    <w:autoRedefine/>
    <w:qFormat/>
    <w:uiPriority w:val="0"/>
    <w:rPr>
      <w:rFonts w:hint="eastAsia" w:ascii="宋体" w:hAnsi="宋体" w:eastAsia="宋体" w:cs="宋体"/>
      <w:color w:val="000000"/>
      <w:sz w:val="28"/>
      <w:szCs w:val="28"/>
      <w:u w:val="none"/>
    </w:rPr>
  </w:style>
  <w:style w:type="character" w:customStyle="1" w:styleId="72">
    <w:name w:val="t_tag"/>
    <w:autoRedefine/>
    <w:semiHidden/>
    <w:qFormat/>
    <w:uiPriority w:val="0"/>
  </w:style>
  <w:style w:type="paragraph" w:customStyle="1" w:styleId="73">
    <w:name w:val="WPSOffice手动目录 1"/>
    <w:autoRedefine/>
    <w:qFormat/>
    <w:uiPriority w:val="0"/>
    <w:rPr>
      <w:rFonts w:ascii="Times New Roman" w:hAnsi="Times New Roman" w:eastAsia="宋体" w:cs="Times New Roman"/>
      <w:lang w:val="en-US" w:eastAsia="zh-CN" w:bidi="ar-SA"/>
    </w:rPr>
  </w:style>
  <w:style w:type="character" w:customStyle="1" w:styleId="74">
    <w:name w:val="font31"/>
    <w:basedOn w:val="34"/>
    <w:autoRedefine/>
    <w:qFormat/>
    <w:uiPriority w:val="0"/>
    <w:rPr>
      <w:rFonts w:ascii="宋体" w:hAnsi="宋体" w:eastAsia="宋体" w:cs="宋体"/>
      <w:color w:val="000000"/>
      <w:sz w:val="26"/>
      <w:szCs w:val="26"/>
      <w:u w:val="none"/>
    </w:rPr>
  </w:style>
  <w:style w:type="paragraph" w:customStyle="1" w:styleId="75">
    <w:name w:val="Revision"/>
    <w:autoRedefine/>
    <w:hidden/>
    <w:unhideWhenUsed/>
    <w:qFormat/>
    <w:uiPriority w:val="99"/>
    <w:rPr>
      <w:rFonts w:ascii="Times New Roman" w:hAnsi="Times New Roman" w:eastAsia="宋体" w:cstheme="minorBidi"/>
      <w:kern w:val="2"/>
      <w:sz w:val="28"/>
      <w:szCs w:val="22"/>
      <w:lang w:val="en-US" w:eastAsia="zh-CN" w:bidi="ar-SA"/>
    </w:rPr>
  </w:style>
  <w:style w:type="character" w:customStyle="1" w:styleId="76">
    <w:name w:val="批注文字 字符"/>
    <w:link w:val="13"/>
    <w:autoRedefine/>
    <w:qFormat/>
    <w:uiPriority w:val="0"/>
  </w:style>
  <w:style w:type="character" w:customStyle="1" w:styleId="77">
    <w:name w:val="批注主题 字符"/>
    <w:link w:val="29"/>
    <w:autoRedefine/>
    <w:qFormat/>
    <w:uiPriority w:val="0"/>
    <w:rPr>
      <w:b/>
    </w:rPr>
  </w:style>
  <w:style w:type="character" w:customStyle="1" w:styleId="78">
    <w:name w:val="标题 7 字符"/>
    <w:link w:val="8"/>
    <w:autoRedefine/>
    <w:qFormat/>
    <w:uiPriority w:val="99"/>
    <w:rPr>
      <w:b/>
      <w:kern w:val="0"/>
      <w:sz w:val="24"/>
      <w:szCs w:val="20"/>
    </w:rPr>
  </w:style>
  <w:style w:type="character" w:customStyle="1" w:styleId="79">
    <w:name w:val="标题 8 字符"/>
    <w:link w:val="9"/>
    <w:autoRedefine/>
    <w:qFormat/>
    <w:uiPriority w:val="99"/>
    <w:rPr>
      <w:rFonts w:ascii="Arial" w:hAnsi="Arial" w:eastAsia="黑体"/>
      <w:kern w:val="0"/>
      <w:sz w:val="24"/>
      <w:szCs w:val="20"/>
    </w:rPr>
  </w:style>
  <w:style w:type="character" w:customStyle="1" w:styleId="80">
    <w:name w:val="标题 9 字符"/>
    <w:link w:val="10"/>
    <w:autoRedefine/>
    <w:qFormat/>
    <w:uiPriority w:val="99"/>
    <w:rPr>
      <w:rFonts w:ascii="Arial" w:hAnsi="Arial" w:eastAsia="黑体"/>
      <w:kern w:val="0"/>
      <w:sz w:val="20"/>
      <w:szCs w:val="20"/>
    </w:rPr>
  </w:style>
  <w:style w:type="character" w:customStyle="1" w:styleId="81">
    <w:name w:val="题注 字符"/>
    <w:link w:val="12"/>
    <w:autoRedefine/>
    <w:qFormat/>
    <w:uiPriority w:val="0"/>
    <w:rPr>
      <w:rFonts w:ascii="宋体" w:hAnsi="宋体" w:cs="宋体"/>
      <w:b/>
      <w:sz w:val="24"/>
      <w:szCs w:val="28"/>
    </w:rPr>
  </w:style>
  <w:style w:type="paragraph" w:customStyle="1" w:styleId="82">
    <w:name w:val="样式 宋体 首行缩进:  1.11 厘米"/>
    <w:autoRedefine/>
    <w:qFormat/>
    <w:uiPriority w:val="99"/>
    <w:pPr>
      <w:widowControl w:val="0"/>
      <w:spacing w:line="600" w:lineRule="exact"/>
      <w:ind w:firstLine="629" w:firstLineChars="200"/>
      <w:jc w:val="both"/>
    </w:pPr>
    <w:rPr>
      <w:rFonts w:ascii="宋体" w:hAnsi="宋体" w:eastAsia="宋体" w:cs="Times New Roman"/>
      <w:kern w:val="2"/>
      <w:sz w:val="28"/>
      <w:lang w:val="en-US" w:eastAsia="zh-CN" w:bidi="ar-SA"/>
    </w:rPr>
  </w:style>
  <w:style w:type="paragraph" w:customStyle="1" w:styleId="83">
    <w:name w:val="表格内容"/>
    <w:autoRedefine/>
    <w:qFormat/>
    <w:uiPriority w:val="0"/>
    <w:pPr>
      <w:widowControl w:val="0"/>
      <w:overflowPunct w:val="0"/>
      <w:adjustRightInd w:val="0"/>
      <w:spacing w:before="40" w:after="60" w:line="200" w:lineRule="atLeast"/>
      <w:jc w:val="both"/>
      <w:textAlignment w:val="baseline"/>
    </w:pPr>
    <w:rPr>
      <w:rFonts w:ascii="Arial" w:hAnsi="Arial" w:eastAsia="仿宋_GB2312" w:cs="Times New Roman"/>
      <w:sz w:val="24"/>
      <w:lang w:val="en-US" w:eastAsia="zh-CN" w:bidi="ar-SA"/>
    </w:rPr>
  </w:style>
  <w:style w:type="character" w:customStyle="1" w:styleId="84">
    <w:name w:val="安专-待整理内容 Char"/>
    <w:link w:val="85"/>
    <w:autoRedefine/>
    <w:qFormat/>
    <w:uiPriority w:val="0"/>
    <w:rPr>
      <w:rFonts w:ascii="Times New Roman" w:hAnsi="Times New Roman" w:eastAsia="宋体"/>
      <w:color w:val="00B050"/>
      <w:kern w:val="0"/>
      <w:sz w:val="28"/>
      <w:szCs w:val="20"/>
      <w:lang w:val="en-US" w:eastAsia="zh-CN" w:bidi="ar-SA"/>
    </w:rPr>
  </w:style>
  <w:style w:type="paragraph" w:customStyle="1" w:styleId="85">
    <w:name w:val="安专-待整理内容"/>
    <w:next w:val="1"/>
    <w:link w:val="84"/>
    <w:autoRedefine/>
    <w:qFormat/>
    <w:uiPriority w:val="0"/>
    <w:pPr>
      <w:widowControl w:val="0"/>
      <w:spacing w:line="500" w:lineRule="exact"/>
      <w:ind w:firstLine="560" w:firstLineChars="200"/>
      <w:jc w:val="left"/>
    </w:pPr>
    <w:rPr>
      <w:rFonts w:ascii="Times New Roman" w:hAnsi="Times New Roman" w:eastAsia="宋体" w:cs="Times New Roman"/>
      <w:color w:val="00B050"/>
      <w:kern w:val="0"/>
      <w:sz w:val="28"/>
      <w:szCs w:val="20"/>
      <w:lang w:val="en-US" w:eastAsia="zh-CN" w:bidi="ar-SA"/>
    </w:rPr>
  </w:style>
  <w:style w:type="paragraph" w:customStyle="1" w:styleId="86">
    <w:name w:val="安专-表格内容"/>
    <w:autoRedefine/>
    <w:qFormat/>
    <w:uiPriority w:val="0"/>
    <w:pPr>
      <w:widowControl w:val="0"/>
      <w:adjustRightInd w:val="0"/>
      <w:snapToGrid w:val="0"/>
      <w:spacing w:line="240" w:lineRule="auto"/>
      <w:ind w:firstLine="0" w:firstLineChars="0"/>
      <w:jc w:val="center"/>
    </w:pPr>
    <w:rPr>
      <w:rFonts w:ascii="Times New Roman" w:hAnsi="Times New Roman" w:eastAsia="宋体" w:cs="Times New Roman"/>
      <w:kern w:val="0"/>
      <w:sz w:val="24"/>
      <w:szCs w:val="24"/>
      <w:lang w:val="en-US" w:eastAsia="zh-CN" w:bidi="ar-SA"/>
    </w:rPr>
  </w:style>
  <w:style w:type="character" w:customStyle="1" w:styleId="87">
    <w:name w:val="题注 Char"/>
    <w:link w:val="12"/>
    <w:autoRedefine/>
    <w:qFormat/>
    <w:uiPriority w:val="0"/>
    <w:rPr>
      <w:rFonts w:ascii="宋体" w:hAnsi="宋体" w:eastAsia="宋体" w:cs="宋体"/>
      <w:b/>
      <w:sz w:val="24"/>
      <w:szCs w:val="28"/>
    </w:rPr>
  </w:style>
  <w:style w:type="paragraph" w:customStyle="1" w:styleId="88">
    <w:name w:val="Date1"/>
    <w:next w:val="1"/>
    <w:autoRedefine/>
    <w:qFormat/>
    <w:uiPriority w:val="0"/>
    <w:pPr>
      <w:widowControl w:val="0"/>
      <w:adjustRightInd w:val="0"/>
      <w:textAlignment w:val="baseline"/>
    </w:pPr>
    <w:rPr>
      <w:rFonts w:ascii="宋体" w:hAnsi="宋体" w:eastAsia="宋体" w:cs="Times New Roman"/>
      <w:kern w:val="2"/>
      <w:sz w:val="28"/>
      <w:szCs w:val="24"/>
      <w:lang w:val="en-US" w:eastAsia="zh-CN" w:bidi="ar-SA"/>
    </w:rPr>
  </w:style>
  <w:style w:type="paragraph" w:customStyle="1" w:styleId="89">
    <w:name w:val="报告书表格"/>
    <w:autoRedefine/>
    <w:qFormat/>
    <w:uiPriority w:val="0"/>
    <w:pPr>
      <w:widowControl w:val="0"/>
      <w:adjustRightInd w:val="0"/>
      <w:spacing w:before="60" w:beforeLines="0" w:beforeAutospacing="0" w:after="60" w:afterLines="0" w:afterAutospacing="0" w:line="240" w:lineRule="atLeast"/>
      <w:ind w:firstLine="0" w:firstLineChars="0"/>
      <w:jc w:val="center"/>
      <w:textAlignment w:val="baseline"/>
    </w:pPr>
    <w:rPr>
      <w:rFonts w:ascii="Times New Roman" w:hAnsi="Times New Roman" w:eastAsia="宋体" w:cs="Times New Roman"/>
      <w:kern w:val="0"/>
      <w:sz w:val="28"/>
      <w:szCs w:val="20"/>
      <w:lang w:val="en-US" w:eastAsia="zh-CN" w:bidi="ar-SA"/>
    </w:rPr>
  </w:style>
  <w:style w:type="paragraph" w:customStyle="1" w:styleId="90">
    <w:name w:val="标题 #1"/>
    <w:basedOn w:val="1"/>
    <w:autoRedefine/>
    <w:qFormat/>
    <w:uiPriority w:val="0"/>
    <w:pPr>
      <w:widowControl w:val="0"/>
      <w:shd w:val="clear" w:color="auto" w:fill="auto"/>
      <w:spacing w:after="100"/>
      <w:jc w:val="center"/>
      <w:outlineLvl w:val="0"/>
    </w:pPr>
    <w:rPr>
      <w:rFonts w:ascii="宋体" w:hAnsi="宋体" w:eastAsia="宋体" w:cs="宋体"/>
      <w:sz w:val="50"/>
      <w:szCs w:val="50"/>
      <w:u w:val="none"/>
      <w:lang w:val="zh-CN" w:eastAsia="zh-CN" w:bidi="zh-CN"/>
    </w:rPr>
  </w:style>
  <w:style w:type="table" w:customStyle="1" w:styleId="91">
    <w:name w:val="Table Normal"/>
    <w:autoRedefine/>
    <w:semiHidden/>
    <w:unhideWhenUsed/>
    <w:qFormat/>
    <w:uiPriority w:val="0"/>
    <w:tblPr>
      <w:tblCellMar>
        <w:top w:w="0" w:type="dxa"/>
        <w:left w:w="0" w:type="dxa"/>
        <w:bottom w:w="0" w:type="dxa"/>
        <w:right w:w="0" w:type="dxa"/>
      </w:tblCellMar>
    </w:tblPr>
  </w:style>
  <w:style w:type="paragraph" w:customStyle="1" w:styleId="92">
    <w:name w:val="其他"/>
    <w:basedOn w:val="1"/>
    <w:autoRedefine/>
    <w:qFormat/>
    <w:uiPriority w:val="0"/>
    <w:pPr>
      <w:widowControl w:val="0"/>
      <w:shd w:val="clear" w:color="auto" w:fill="auto"/>
    </w:pPr>
    <w:rPr>
      <w:rFonts w:ascii="宋体" w:hAnsi="宋体" w:eastAsia="宋体" w:cs="宋体"/>
      <w:sz w:val="18"/>
      <w:szCs w:val="18"/>
      <w:u w:val="none"/>
      <w:lang w:val="zh-CN" w:eastAsia="zh-CN" w:bidi="zh-CN"/>
    </w:rPr>
  </w:style>
  <w:style w:type="paragraph" w:customStyle="1" w:styleId="93">
    <w:name w:val="样式 宋体 首行缩进: 1.11 厘米"/>
    <w:basedOn w:val="1"/>
    <w:autoRedefine/>
    <w:qFormat/>
    <w:uiPriority w:val="0"/>
    <w:pPr>
      <w:keepNext w:val="0"/>
      <w:keepLines w:val="0"/>
      <w:widowControl w:val="0"/>
      <w:suppressLineNumbers w:val="0"/>
      <w:spacing w:before="0" w:beforeAutospacing="0" w:after="0" w:afterAutospacing="0" w:line="600" w:lineRule="exact"/>
      <w:ind w:left="0" w:right="0" w:firstLine="629" w:firstLineChars="200"/>
      <w:jc w:val="both"/>
    </w:pPr>
    <w:rPr>
      <w:rFonts w:hint="eastAsia" w:ascii="宋体" w:hAnsi="宋体" w:eastAsia="宋体" w:cs="Times New Roman"/>
      <w:kern w:val="2"/>
      <w:sz w:val="28"/>
      <w:szCs w:val="28"/>
      <w:lang w:val="en-US" w:eastAsia="zh-CN" w:bidi="ar"/>
    </w:rPr>
  </w:style>
  <w:style w:type="paragraph" w:customStyle="1" w:styleId="94">
    <w:name w:val="正文 + 首行缩进"/>
    <w:basedOn w:val="1"/>
    <w:autoRedefine/>
    <w:qFormat/>
    <w:uiPriority w:val="0"/>
    <w:pPr>
      <w:spacing w:line="500" w:lineRule="exact"/>
      <w:ind w:firstLine="560" w:firstLineChars="200"/>
    </w:pPr>
    <w:rPr>
      <w:rFonts w:cs="宋体"/>
      <w:sz w:val="28"/>
      <w:szCs w:val="20"/>
    </w:rPr>
  </w:style>
  <w:style w:type="paragraph" w:customStyle="1" w:styleId="95">
    <w:name w:val="样式"/>
    <w:autoRedefine/>
    <w:qFormat/>
    <w:uiPriority w:val="0"/>
    <w:pPr>
      <w:widowControl w:val="0"/>
      <w:autoSpaceDE w:val="0"/>
      <w:autoSpaceDN w:val="0"/>
      <w:adjustRightInd w:val="0"/>
    </w:pPr>
    <w:rPr>
      <w:rFonts w:ascii="Courier New" w:hAnsi="Courier New" w:eastAsia="宋体" w:cs="Times New Roman"/>
      <w:sz w:val="24"/>
      <w:lang w:val="en-US" w:eastAsia="zh-CN" w:bidi="ar-SA"/>
    </w:rPr>
  </w:style>
  <w:style w:type="paragraph" w:customStyle="1" w:styleId="96">
    <w:name w:val="Normal Indent1"/>
    <w:basedOn w:val="1"/>
    <w:qFormat/>
    <w:uiPriority w:val="0"/>
    <w:pPr>
      <w:ind w:firstLine="420"/>
    </w:pPr>
  </w:style>
  <w:style w:type="paragraph" w:customStyle="1" w:styleId="97">
    <w:name w:val="报告正文"/>
    <w:basedOn w:val="1"/>
    <w:qFormat/>
    <w:uiPriority w:val="0"/>
    <w:pPr>
      <w:spacing w:line="360" w:lineRule="auto"/>
      <w:ind w:firstLine="480"/>
    </w:pPr>
    <w:rPr>
      <w:rFonts w:ascii="宋体" w:hAnsi="宋体" w:cs="Times New Roman"/>
      <w:kern w:val="1"/>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4" Type="http://schemas.openxmlformats.org/officeDocument/2006/relationships/fontTable" Target="fontTable.xml"/><Relationship Id="rId63" Type="http://schemas.openxmlformats.org/officeDocument/2006/relationships/numbering" Target="numbering.xml"/><Relationship Id="rId62" Type="http://schemas.openxmlformats.org/officeDocument/2006/relationships/customXml" Target="../customXml/item1.xml"/><Relationship Id="rId61" Type="http://schemas.openxmlformats.org/officeDocument/2006/relationships/image" Target="media/image39.jpeg"/><Relationship Id="rId60" Type="http://schemas.openxmlformats.org/officeDocument/2006/relationships/image" Target="media/image38.png"/><Relationship Id="rId6" Type="http://schemas.openxmlformats.org/officeDocument/2006/relationships/footer" Target="footer1.xml"/><Relationship Id="rId59" Type="http://schemas.openxmlformats.org/officeDocument/2006/relationships/image" Target="media/image37.jpeg"/><Relationship Id="rId58" Type="http://schemas.openxmlformats.org/officeDocument/2006/relationships/image" Target="media/image36.jpeg"/><Relationship Id="rId57" Type="http://schemas.openxmlformats.org/officeDocument/2006/relationships/image" Target="media/image35.jpeg"/><Relationship Id="rId56" Type="http://schemas.openxmlformats.org/officeDocument/2006/relationships/image" Target="media/image34.jpeg"/><Relationship Id="rId55" Type="http://schemas.openxmlformats.org/officeDocument/2006/relationships/image" Target="media/image33.jpeg"/><Relationship Id="rId54" Type="http://schemas.openxmlformats.org/officeDocument/2006/relationships/image" Target="media/image32.wmf"/><Relationship Id="rId53" Type="http://schemas.openxmlformats.org/officeDocument/2006/relationships/oleObject" Target="embeddings/oleObject2.bin"/><Relationship Id="rId52" Type="http://schemas.openxmlformats.org/officeDocument/2006/relationships/image" Target="media/image31.wmf"/><Relationship Id="rId51" Type="http://schemas.openxmlformats.org/officeDocument/2006/relationships/oleObject" Target="embeddings/oleObject1.bin"/><Relationship Id="rId50" Type="http://schemas.openxmlformats.org/officeDocument/2006/relationships/image" Target="media/image30.png"/><Relationship Id="rId5" Type="http://schemas.openxmlformats.org/officeDocument/2006/relationships/header" Target="header1.xml"/><Relationship Id="rId49" Type="http://schemas.openxmlformats.org/officeDocument/2006/relationships/image" Target="media/image29.png"/><Relationship Id="rId48" Type="http://schemas.openxmlformats.org/officeDocument/2006/relationships/image" Target="media/image28.png"/><Relationship Id="rId47" Type="http://schemas.openxmlformats.org/officeDocument/2006/relationships/image" Target="media/image27.jpeg"/><Relationship Id="rId46" Type="http://schemas.openxmlformats.org/officeDocument/2006/relationships/image" Target="media/image26.png"/><Relationship Id="rId45" Type="http://schemas.openxmlformats.org/officeDocument/2006/relationships/image" Target="media/image25.jpeg"/><Relationship Id="rId44" Type="http://schemas.openxmlformats.org/officeDocument/2006/relationships/image" Target="media/image24.jpeg"/><Relationship Id="rId43" Type="http://schemas.openxmlformats.org/officeDocument/2006/relationships/image" Target="media/image23.jpeg"/><Relationship Id="rId42" Type="http://schemas.openxmlformats.org/officeDocument/2006/relationships/image" Target="media/image22.jpeg"/><Relationship Id="rId41" Type="http://schemas.openxmlformats.org/officeDocument/2006/relationships/image" Target="media/image21.jpeg"/><Relationship Id="rId40" Type="http://schemas.openxmlformats.org/officeDocument/2006/relationships/image" Target="media/image20.jpeg"/><Relationship Id="rId4" Type="http://schemas.openxmlformats.org/officeDocument/2006/relationships/endnotes" Target="endnotes.xml"/><Relationship Id="rId39" Type="http://schemas.openxmlformats.org/officeDocument/2006/relationships/image" Target="media/image19.jpeg"/><Relationship Id="rId38" Type="http://schemas.openxmlformats.org/officeDocument/2006/relationships/image" Target="media/image18.jpeg"/><Relationship Id="rId37" Type="http://schemas.openxmlformats.org/officeDocument/2006/relationships/image" Target="media/image17.jpeg"/><Relationship Id="rId36" Type="http://schemas.openxmlformats.org/officeDocument/2006/relationships/image" Target="media/image16.jpeg"/><Relationship Id="rId35" Type="http://schemas.openxmlformats.org/officeDocument/2006/relationships/image" Target="media/image15.jpeg"/><Relationship Id="rId34" Type="http://schemas.openxmlformats.org/officeDocument/2006/relationships/image" Target="media/image14.jpeg"/><Relationship Id="rId33" Type="http://schemas.openxmlformats.org/officeDocument/2006/relationships/image" Target="media/image13.jpeg"/><Relationship Id="rId32" Type="http://schemas.openxmlformats.org/officeDocument/2006/relationships/image" Target="media/image12.jpeg"/><Relationship Id="rId31" Type="http://schemas.openxmlformats.org/officeDocument/2006/relationships/image" Target="media/image11.jpeg"/><Relationship Id="rId30" Type="http://schemas.openxmlformats.org/officeDocument/2006/relationships/image" Target="media/image10.jpeg"/><Relationship Id="rId3" Type="http://schemas.openxmlformats.org/officeDocument/2006/relationships/footnotes" Target="footnotes.xml"/><Relationship Id="rId29" Type="http://schemas.openxmlformats.org/officeDocument/2006/relationships/image" Target="media/image9.jpeg"/><Relationship Id="rId28" Type="http://schemas.openxmlformats.org/officeDocument/2006/relationships/image" Target="media/image8.jpeg"/><Relationship Id="rId27" Type="http://schemas.openxmlformats.org/officeDocument/2006/relationships/image" Target="media/image7.jpeg"/><Relationship Id="rId26" Type="http://schemas.openxmlformats.org/officeDocument/2006/relationships/image" Target="media/image6.jpeg"/><Relationship Id="rId25" Type="http://schemas.openxmlformats.org/officeDocument/2006/relationships/image" Target="media/image5.jpeg"/><Relationship Id="rId24" Type="http://schemas.openxmlformats.org/officeDocument/2006/relationships/image" Target="media/image4.jpeg"/><Relationship Id="rId23" Type="http://schemas.openxmlformats.org/officeDocument/2006/relationships/image" Target="media/image3.jpeg"/><Relationship Id="rId22" Type="http://schemas.openxmlformats.org/officeDocument/2006/relationships/image" Target="media/image2.jpeg"/><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header" Target="header4.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"/>
    </extobj>
    <extobj name="ECB019B1-382A-4266-B25C-5B523AA43C14-2">
      <extobjdata type="ECB019B1-382A-4266-B25C-5B523AA43C14" data="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安全验收评价报告(样式）.dotx</Template>
  <Pages>214</Pages>
  <Words>135621</Words>
  <Characters>147903</Characters>
  <Lines>1</Lines>
  <Paragraphs>1</Paragraphs>
  <TotalTime>1</TotalTime>
  <ScaleCrop>false</ScaleCrop>
  <LinksUpToDate>false</LinksUpToDate>
  <CharactersWithSpaces>149069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2024-01-23T09:28:00Z</dcterms:created>
  <dc:creator>Administrator</dc:creator>
  <cp:lastModifiedBy>Administrator</cp:lastModifiedBy>
  <dcterms:modified xsi:type="dcterms:W3CDTF">2024-09-10T03:31:46Z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C980156F765E4EE691CCB4A9B74C7E53_13</vt:lpwstr>
  </property>
</Properties>
</file>